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1C27F8" w:rsidP="008B2B31">
      <w:pPr>
        <w:tabs>
          <w:tab w:val="left" w:pos="5529"/>
        </w:tabs>
        <w:jc w:val="center"/>
        <w:rPr>
          <w:rFonts w:ascii="Times New Roman" w:hAnsi="Times New Roman" w:cs="Times New Roman"/>
          <w:lang w:val="uk-UA"/>
        </w:rPr>
      </w:pPr>
      <w:r w:rsidRPr="00F0117E">
        <w:rPr>
          <w:rFonts w:ascii="Times New Roman" w:hAnsi="Times New Roman" w:cs="Times New Roman"/>
          <w:lang w:val="uk-UA"/>
        </w:rPr>
        <w:t>ВЕЛИКА ПАЛАТА</w:t>
      </w: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4C57E4" w:rsidP="008B2B31">
      <w:pPr>
        <w:jc w:val="center"/>
        <w:rPr>
          <w:rFonts w:ascii="Times New Roman" w:hAnsi="Times New Roman" w:cs="Times New Roman"/>
          <w:b/>
          <w:lang w:val="uk-UA"/>
        </w:rPr>
      </w:pPr>
      <w:r w:rsidRPr="00F0117E">
        <w:rPr>
          <w:rFonts w:ascii="Times New Roman" w:hAnsi="Times New Roman" w:cs="Times New Roman"/>
          <w:b/>
          <w:lang w:val="uk-UA"/>
        </w:rPr>
        <w:t>БАРБУЛЕСКУ</w:t>
      </w:r>
      <w:r w:rsidR="001C27F8" w:rsidRPr="00F0117E">
        <w:rPr>
          <w:rFonts w:ascii="Times New Roman" w:hAnsi="Times New Roman" w:cs="Times New Roman"/>
          <w:b/>
          <w:lang w:val="uk-UA"/>
        </w:rPr>
        <w:t xml:space="preserve"> проти РУМУНІЇ</w:t>
      </w: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i/>
          <w:lang w:val="uk-UA"/>
        </w:rPr>
      </w:pPr>
      <w:r w:rsidRPr="00F0117E">
        <w:rPr>
          <w:rFonts w:ascii="Times New Roman" w:hAnsi="Times New Roman" w:cs="Times New Roman"/>
          <w:i/>
          <w:lang w:val="uk-UA"/>
        </w:rPr>
        <w:t>(</w:t>
      </w:r>
      <w:r w:rsidR="001C27F8" w:rsidRPr="00F0117E">
        <w:rPr>
          <w:rFonts w:ascii="Times New Roman" w:hAnsi="Times New Roman" w:cs="Times New Roman"/>
          <w:i/>
          <w:lang w:val="uk-UA"/>
        </w:rPr>
        <w:t>Заява №</w:t>
      </w:r>
      <w:r w:rsidRPr="00F0117E">
        <w:rPr>
          <w:rFonts w:ascii="Times New Roman" w:hAnsi="Times New Roman" w:cs="Times New Roman"/>
          <w:i/>
          <w:lang w:val="uk-UA"/>
        </w:rPr>
        <w:t xml:space="preserve"> </w:t>
      </w:r>
      <w:r w:rsidR="00E81B07" w:rsidRPr="00F0117E">
        <w:rPr>
          <w:rFonts w:ascii="Times New Roman" w:hAnsi="Times New Roman" w:cs="Times New Roman"/>
          <w:i/>
          <w:lang w:val="uk-UA"/>
        </w:rPr>
        <w:t>61496/08</w:t>
      </w:r>
      <w:r w:rsidRPr="00F0117E">
        <w:rPr>
          <w:rFonts w:ascii="Times New Roman" w:hAnsi="Times New Roman" w:cs="Times New Roman"/>
          <w:i/>
          <w:lang w:val="uk-UA"/>
        </w:rPr>
        <w:t>)</w:t>
      </w: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1C27F8" w:rsidP="008B2B31">
      <w:pPr>
        <w:jc w:val="center"/>
        <w:rPr>
          <w:rFonts w:ascii="Times New Roman" w:hAnsi="Times New Roman" w:cs="Times New Roman"/>
          <w:lang w:val="uk-UA"/>
        </w:rPr>
      </w:pPr>
      <w:r w:rsidRPr="00F0117E">
        <w:rPr>
          <w:rFonts w:ascii="Times New Roman" w:hAnsi="Times New Roman" w:cs="Times New Roman"/>
          <w:lang w:val="uk-UA"/>
        </w:rPr>
        <w:t>РІШЕННЯ</w:t>
      </w:r>
    </w:p>
    <w:p w:rsidR="00DC4033" w:rsidRPr="00F0117E" w:rsidRDefault="00DC4033" w:rsidP="008B2B31">
      <w:pPr>
        <w:jc w:val="center"/>
        <w:rPr>
          <w:rFonts w:asciiTheme="majorHAnsi" w:hAnsiTheme="majorHAnsi" w:cstheme="majorHAnsi"/>
          <w:i/>
          <w:szCs w:val="24"/>
          <w:lang w:val="uk-UA"/>
        </w:rPr>
      </w:pP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1C27F8" w:rsidP="008B2B31">
      <w:pPr>
        <w:jc w:val="center"/>
        <w:rPr>
          <w:rFonts w:ascii="Times New Roman" w:hAnsi="Times New Roman" w:cs="Times New Roman"/>
          <w:lang w:val="uk-UA"/>
        </w:rPr>
      </w:pPr>
      <w:r w:rsidRPr="00F0117E">
        <w:rPr>
          <w:rFonts w:ascii="Times New Roman" w:hAnsi="Times New Roman" w:cs="Times New Roman"/>
          <w:lang w:val="uk-UA"/>
        </w:rPr>
        <w:t>СТРАСБУРГ</w:t>
      </w: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E81B07" w:rsidP="008B2B31">
      <w:pPr>
        <w:jc w:val="center"/>
        <w:rPr>
          <w:rFonts w:ascii="Times New Roman" w:hAnsi="Times New Roman" w:cs="Times New Roman"/>
          <w:lang w:val="uk-UA"/>
        </w:rPr>
      </w:pPr>
      <w:r w:rsidRPr="00F0117E">
        <w:rPr>
          <w:rFonts w:ascii="Times New Roman" w:hAnsi="Times New Roman" w:cs="Times New Roman"/>
          <w:lang w:val="uk-UA"/>
        </w:rPr>
        <w:t xml:space="preserve">5 </w:t>
      </w:r>
      <w:r w:rsidR="001C27F8" w:rsidRPr="00F0117E">
        <w:rPr>
          <w:rFonts w:ascii="Times New Roman" w:hAnsi="Times New Roman" w:cs="Times New Roman"/>
          <w:lang w:val="uk-UA"/>
        </w:rPr>
        <w:t>вересня</w:t>
      </w:r>
      <w:r w:rsidRPr="00F0117E">
        <w:rPr>
          <w:rFonts w:ascii="Times New Roman" w:hAnsi="Times New Roman" w:cs="Times New Roman"/>
          <w:lang w:val="uk-UA"/>
        </w:rPr>
        <w:t xml:space="preserve"> 2017</w:t>
      </w: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DC4033" w:rsidRPr="00F0117E" w:rsidRDefault="00DC4033" w:rsidP="008B2B31">
      <w:pPr>
        <w:jc w:val="center"/>
        <w:rPr>
          <w:rFonts w:ascii="Times New Roman" w:hAnsi="Times New Roman" w:cs="Times New Roman"/>
          <w:lang w:val="uk-UA"/>
        </w:rPr>
      </w:pPr>
    </w:p>
    <w:p w:rsidR="00E36F4C" w:rsidRPr="00F0117E" w:rsidRDefault="00E36F4C" w:rsidP="008B2B31">
      <w:pPr>
        <w:jc w:val="center"/>
        <w:rPr>
          <w:rFonts w:ascii="Times New Roman" w:hAnsi="Times New Roman" w:cs="Times New Roman"/>
          <w:lang w:val="uk-UA"/>
        </w:rPr>
      </w:pPr>
    </w:p>
    <w:p w:rsidR="006B0F25" w:rsidRPr="00F0117E" w:rsidRDefault="001C27F8" w:rsidP="008B2B31">
      <w:pPr>
        <w:rPr>
          <w:rFonts w:ascii="Times New Roman" w:hAnsi="Times New Roman" w:cs="Times New Roman"/>
          <w:i/>
          <w:sz w:val="22"/>
          <w:lang w:val="uk-UA"/>
        </w:rPr>
      </w:pPr>
      <w:r w:rsidRPr="00F0117E">
        <w:rPr>
          <w:rFonts w:ascii="Times New Roman" w:hAnsi="Times New Roman" w:cs="Times New Roman"/>
          <w:i/>
          <w:sz w:val="22"/>
          <w:lang w:val="uk-UA"/>
        </w:rPr>
        <w:t>Це рішення є остаточним. До нього можуть бути внесені редакційні зміни</w:t>
      </w:r>
      <w:r w:rsidR="00DC4033" w:rsidRPr="00F0117E">
        <w:rPr>
          <w:rFonts w:ascii="Times New Roman" w:hAnsi="Times New Roman" w:cs="Times New Roman"/>
          <w:i/>
          <w:sz w:val="22"/>
          <w:lang w:val="uk-UA"/>
        </w:rPr>
        <w:t>.</w:t>
      </w:r>
    </w:p>
    <w:p w:rsidR="00DC4033" w:rsidRPr="00F0117E" w:rsidRDefault="00DC4033" w:rsidP="008B2B31">
      <w:pPr>
        <w:rPr>
          <w:rFonts w:ascii="Times New Roman" w:hAnsi="Times New Roman" w:cs="Times New Roman"/>
          <w:sz w:val="22"/>
          <w:lang w:val="uk-UA"/>
        </w:rPr>
      </w:pPr>
    </w:p>
    <w:p w:rsidR="00E36F4C" w:rsidRPr="00F0117E" w:rsidRDefault="00E36F4C" w:rsidP="008B2B31">
      <w:pPr>
        <w:rPr>
          <w:rFonts w:ascii="Times New Roman" w:hAnsi="Times New Roman" w:cs="Times New Roman"/>
          <w:sz w:val="22"/>
          <w:lang w:val="uk-UA"/>
        </w:rPr>
        <w:sectPr w:rsidR="00E36F4C" w:rsidRPr="00F0117E" w:rsidSect="001F1CD9">
          <w:headerReference w:type="default" r:id="rId11"/>
          <w:footerReference w:type="default" r:id="rId12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</w:sectPr>
      </w:pPr>
    </w:p>
    <w:p w:rsidR="00DC4033" w:rsidRPr="00F0117E" w:rsidRDefault="00D15F2C" w:rsidP="008B2B31">
      <w:pPr>
        <w:pStyle w:val="JuCase"/>
        <w:rPr>
          <w:rFonts w:ascii="Times New Roman" w:hAnsi="Times New Roman" w:cs="Times New Roman"/>
          <w:lang w:val="uk-UA"/>
        </w:rPr>
      </w:pPr>
      <w:r w:rsidRPr="00F0117E">
        <w:rPr>
          <w:rFonts w:ascii="Times New Roman" w:hAnsi="Times New Roman" w:cs="Times New Roman"/>
          <w:lang w:val="uk-UA"/>
        </w:rPr>
        <w:lastRenderedPageBreak/>
        <w:t xml:space="preserve">У справі </w:t>
      </w:r>
      <w:proofErr w:type="spellStart"/>
      <w:r w:rsidRPr="00F0117E">
        <w:rPr>
          <w:rFonts w:ascii="Times New Roman" w:hAnsi="Times New Roman" w:cs="Times New Roman"/>
          <w:lang w:val="uk-UA"/>
        </w:rPr>
        <w:t>Барбулеску</w:t>
      </w:r>
      <w:proofErr w:type="spellEnd"/>
      <w:r w:rsidRPr="00F0117E">
        <w:rPr>
          <w:rFonts w:ascii="Times New Roman" w:hAnsi="Times New Roman" w:cs="Times New Roman"/>
          <w:lang w:val="uk-UA"/>
        </w:rPr>
        <w:t xml:space="preserve"> проти Румунії</w:t>
      </w:r>
      <w:r w:rsidR="00DC4033" w:rsidRPr="00F0117E">
        <w:rPr>
          <w:rFonts w:ascii="Times New Roman" w:hAnsi="Times New Roman" w:cs="Times New Roman"/>
          <w:lang w:val="uk-UA"/>
        </w:rPr>
        <w:t>,</w:t>
      </w:r>
    </w:p>
    <w:p w:rsidR="00E81B07" w:rsidRPr="00F0117E" w:rsidRDefault="00D15F2C" w:rsidP="008B2B31">
      <w:pPr>
        <w:pStyle w:val="ECHRPara"/>
        <w:rPr>
          <w:lang w:val="uk-UA"/>
        </w:rPr>
      </w:pPr>
      <w:r w:rsidRPr="00F0117E">
        <w:rPr>
          <w:lang w:val="uk-UA"/>
        </w:rPr>
        <w:t>Європейський Суд з прав людини, засідаючи Великою Палатою у складі</w:t>
      </w:r>
      <w:r w:rsidR="00E81B07" w:rsidRPr="00F0117E">
        <w:rPr>
          <w:lang w:val="uk-UA"/>
        </w:rPr>
        <w:t>:</w:t>
      </w:r>
    </w:p>
    <w:p w:rsidR="00E81B07" w:rsidRPr="00F0117E" w:rsidRDefault="00E81B07" w:rsidP="008B2B31">
      <w:pPr>
        <w:pStyle w:val="ECHRDecisionBody"/>
        <w:rPr>
          <w:lang w:val="uk-UA"/>
        </w:rPr>
      </w:pPr>
      <w:r w:rsidRPr="00F0117E">
        <w:rPr>
          <w:lang w:val="uk-UA"/>
        </w:rPr>
        <w:tab/>
      </w:r>
      <w:r w:rsidR="00E91D00" w:rsidRPr="008B2B31">
        <w:rPr>
          <w:lang w:val="en-GB"/>
        </w:rPr>
        <w:t>Guido</w:t>
      </w:r>
      <w:r w:rsidR="00E91D00" w:rsidRPr="00D15F2C">
        <w:rPr>
          <w:lang w:val="uk-UA"/>
        </w:rPr>
        <w:t xml:space="preserve"> </w:t>
      </w:r>
      <w:r w:rsidR="00E91D00" w:rsidRPr="008B2B31">
        <w:rPr>
          <w:lang w:val="en-GB"/>
        </w:rPr>
        <w:t>Raimondi</w:t>
      </w:r>
      <w:r w:rsidR="00E91D00" w:rsidRPr="00D15F2C">
        <w:rPr>
          <w:lang w:val="uk-UA"/>
        </w:rPr>
        <w:t>,</w:t>
      </w:r>
      <w:r w:rsidR="00E91D00" w:rsidRPr="00D15F2C">
        <w:rPr>
          <w:i/>
          <w:lang w:val="uk-UA"/>
        </w:rPr>
        <w:t xml:space="preserve"> </w:t>
      </w:r>
      <w:r w:rsidR="00E91D00">
        <w:rPr>
          <w:i/>
          <w:lang w:val="uk-UA"/>
        </w:rPr>
        <w:t>головуючий</w:t>
      </w:r>
      <w:r w:rsidR="00E91D00" w:rsidRPr="00D15F2C">
        <w:rPr>
          <w:lang w:val="uk-UA"/>
        </w:rPr>
        <w:t>,</w:t>
      </w:r>
      <w:r w:rsidR="00E91D00" w:rsidRPr="00D15F2C">
        <w:rPr>
          <w:i/>
          <w:lang w:val="uk-UA"/>
        </w:rPr>
        <w:br/>
      </w:r>
      <w:r w:rsidR="00E91D00" w:rsidRPr="00D15F2C">
        <w:rPr>
          <w:lang w:val="uk-UA"/>
        </w:rPr>
        <w:tab/>
      </w:r>
      <w:r w:rsidR="00E91D00" w:rsidRPr="008B2B31">
        <w:rPr>
          <w:lang w:val="en-GB"/>
        </w:rPr>
        <w:t>Angelika</w:t>
      </w:r>
      <w:r w:rsidR="00E91D00" w:rsidRPr="00D15F2C">
        <w:rPr>
          <w:lang w:val="uk-UA"/>
        </w:rPr>
        <w:t xml:space="preserve"> </w:t>
      </w:r>
      <w:r w:rsidR="00E91D00" w:rsidRPr="008B2B31">
        <w:rPr>
          <w:lang w:val="en-GB"/>
        </w:rPr>
        <w:t>Nu</w:t>
      </w:r>
      <w:r w:rsidR="00E91D00" w:rsidRPr="00D15F2C">
        <w:rPr>
          <w:lang w:val="uk-UA"/>
        </w:rPr>
        <w:t>ß</w:t>
      </w:r>
      <w:proofErr w:type="spellStart"/>
      <w:r w:rsidR="00E91D00" w:rsidRPr="008B2B31">
        <w:rPr>
          <w:lang w:val="en-GB"/>
        </w:rPr>
        <w:t>berger</w:t>
      </w:r>
      <w:proofErr w:type="spellEnd"/>
      <w:r w:rsidR="00E91D00" w:rsidRPr="00D15F2C">
        <w:rPr>
          <w:lang w:val="uk-UA"/>
        </w:rPr>
        <w:t>,</w:t>
      </w:r>
      <w:r w:rsidR="00E91D00" w:rsidRPr="00D15F2C">
        <w:rPr>
          <w:i/>
          <w:lang w:val="uk-UA"/>
        </w:rPr>
        <w:br/>
      </w:r>
      <w:r w:rsidR="00E91D00" w:rsidRPr="00D15F2C">
        <w:rPr>
          <w:lang w:val="uk-UA"/>
        </w:rPr>
        <w:tab/>
      </w:r>
      <w:proofErr w:type="spellStart"/>
      <w:r w:rsidR="00E91D00" w:rsidRPr="008B2B31">
        <w:rPr>
          <w:lang w:val="en-GB"/>
        </w:rPr>
        <w:t>Mirjana</w:t>
      </w:r>
      <w:proofErr w:type="spellEnd"/>
      <w:r w:rsidR="00E91D00" w:rsidRPr="00D15F2C">
        <w:rPr>
          <w:lang w:val="uk-UA"/>
        </w:rPr>
        <w:t xml:space="preserve"> </w:t>
      </w:r>
      <w:proofErr w:type="spellStart"/>
      <w:r w:rsidR="00E91D00" w:rsidRPr="008B2B31">
        <w:rPr>
          <w:lang w:val="en-GB"/>
        </w:rPr>
        <w:t>Lazarova</w:t>
      </w:r>
      <w:proofErr w:type="spellEnd"/>
      <w:r w:rsidR="00E91D00" w:rsidRPr="00D15F2C">
        <w:rPr>
          <w:lang w:val="uk-UA"/>
        </w:rPr>
        <w:t xml:space="preserve"> </w:t>
      </w:r>
      <w:proofErr w:type="spellStart"/>
      <w:r w:rsidR="00E91D00" w:rsidRPr="008B2B31">
        <w:rPr>
          <w:lang w:val="en-GB"/>
        </w:rPr>
        <w:t>Trajkovska</w:t>
      </w:r>
      <w:proofErr w:type="spellEnd"/>
      <w:r w:rsidR="00E91D00" w:rsidRPr="00D15F2C">
        <w:rPr>
          <w:lang w:val="uk-UA"/>
        </w:rPr>
        <w:t>,</w:t>
      </w:r>
      <w:r w:rsidR="00E91D00" w:rsidRPr="00D15F2C">
        <w:rPr>
          <w:i/>
          <w:lang w:val="uk-UA"/>
        </w:rPr>
        <w:t xml:space="preserve"> </w:t>
      </w:r>
      <w:r w:rsidR="00E91D00">
        <w:rPr>
          <w:i/>
          <w:lang w:val="uk-UA"/>
        </w:rPr>
        <w:t>судді</w:t>
      </w:r>
      <w:r w:rsidR="00E91D00" w:rsidRPr="00D15F2C">
        <w:rPr>
          <w:lang w:val="uk-UA"/>
        </w:rPr>
        <w:t>,</w:t>
      </w:r>
      <w:r w:rsidR="00E91D00" w:rsidRPr="00D15F2C">
        <w:rPr>
          <w:i/>
          <w:lang w:val="uk-UA"/>
        </w:rPr>
        <w:br/>
      </w:r>
      <w:r w:rsidR="00E91D00" w:rsidRPr="00D15F2C">
        <w:rPr>
          <w:lang w:val="uk-UA"/>
        </w:rPr>
        <w:tab/>
      </w:r>
      <w:r w:rsidR="00E91D00" w:rsidRPr="008B2B31">
        <w:rPr>
          <w:lang w:val="en-GB"/>
        </w:rPr>
        <w:t>Luis</w:t>
      </w:r>
      <w:r w:rsidR="00E91D00" w:rsidRPr="00D15F2C">
        <w:rPr>
          <w:lang w:val="uk-UA"/>
        </w:rPr>
        <w:t xml:space="preserve"> </w:t>
      </w:r>
      <w:r w:rsidR="00E91D00" w:rsidRPr="008B2B31">
        <w:rPr>
          <w:lang w:val="en-GB"/>
        </w:rPr>
        <w:t>L</w:t>
      </w:r>
      <w:r w:rsidR="00E91D00" w:rsidRPr="00D15F2C">
        <w:rPr>
          <w:lang w:val="uk-UA"/>
        </w:rPr>
        <w:t>ó</w:t>
      </w:r>
      <w:proofErr w:type="spellStart"/>
      <w:r w:rsidR="00E91D00" w:rsidRPr="008B2B31">
        <w:rPr>
          <w:lang w:val="en-GB"/>
        </w:rPr>
        <w:t>pez</w:t>
      </w:r>
      <w:proofErr w:type="spellEnd"/>
      <w:r w:rsidR="00E91D00" w:rsidRPr="00D15F2C">
        <w:rPr>
          <w:lang w:val="uk-UA"/>
        </w:rPr>
        <w:t xml:space="preserve"> </w:t>
      </w:r>
      <w:r w:rsidR="00E91D00" w:rsidRPr="008B2B31">
        <w:rPr>
          <w:lang w:val="en-GB"/>
        </w:rPr>
        <w:t>Guerra</w:t>
      </w:r>
      <w:r w:rsidR="00E91D00" w:rsidRPr="00D15F2C">
        <w:rPr>
          <w:lang w:val="uk-UA"/>
        </w:rPr>
        <w:t>,</w:t>
      </w:r>
      <w:r w:rsidR="00E91D00" w:rsidRPr="00D15F2C">
        <w:rPr>
          <w:i/>
          <w:lang w:val="uk-UA"/>
        </w:rPr>
        <w:t xml:space="preserve"> </w:t>
      </w:r>
      <w:r w:rsidR="00E91D00" w:rsidRPr="008B2B31">
        <w:rPr>
          <w:lang w:val="en-GB"/>
        </w:rPr>
        <w:t>ad</w:t>
      </w:r>
      <w:r w:rsidR="00E91D00" w:rsidRPr="00D15F2C">
        <w:rPr>
          <w:lang w:val="uk-UA"/>
        </w:rPr>
        <w:t xml:space="preserve"> </w:t>
      </w:r>
      <w:r w:rsidR="00E91D00" w:rsidRPr="008B2B31">
        <w:rPr>
          <w:lang w:val="en-GB"/>
        </w:rPr>
        <w:t>hoc</w:t>
      </w:r>
      <w:r w:rsidR="00E91D00" w:rsidRPr="00D15F2C">
        <w:rPr>
          <w:i/>
          <w:lang w:val="uk-UA"/>
        </w:rPr>
        <w:t xml:space="preserve"> </w:t>
      </w:r>
      <w:r w:rsidR="00E91D00">
        <w:rPr>
          <w:i/>
          <w:lang w:val="uk-UA"/>
        </w:rPr>
        <w:t>суддя</w:t>
      </w:r>
      <w:r w:rsidR="00E91D00" w:rsidRPr="00D15F2C">
        <w:rPr>
          <w:lang w:val="uk-UA"/>
        </w:rPr>
        <w:t>,</w:t>
      </w:r>
      <w:r w:rsidR="00E91D00" w:rsidRPr="00D15F2C">
        <w:rPr>
          <w:i/>
          <w:lang w:val="uk-UA"/>
        </w:rPr>
        <w:br/>
      </w:r>
      <w:r w:rsidR="00E91D00" w:rsidRPr="00D15F2C">
        <w:rPr>
          <w:lang w:val="uk-UA"/>
        </w:rPr>
        <w:tab/>
      </w:r>
      <w:proofErr w:type="spellStart"/>
      <w:r w:rsidR="00E91D00" w:rsidRPr="008B2B31">
        <w:rPr>
          <w:lang w:val="en-GB"/>
        </w:rPr>
        <w:t>Ledi</w:t>
      </w:r>
      <w:proofErr w:type="spellEnd"/>
      <w:r w:rsidR="00E91D00" w:rsidRPr="00D15F2C">
        <w:rPr>
          <w:lang w:val="uk-UA"/>
        </w:rPr>
        <w:t xml:space="preserve"> </w:t>
      </w:r>
      <w:proofErr w:type="spellStart"/>
      <w:r w:rsidR="00E91D00" w:rsidRPr="008B2B31">
        <w:rPr>
          <w:lang w:val="en-GB"/>
        </w:rPr>
        <w:t>Bianku</w:t>
      </w:r>
      <w:proofErr w:type="spellEnd"/>
      <w:r w:rsidR="00E91D00" w:rsidRPr="00D15F2C">
        <w:rPr>
          <w:lang w:val="uk-UA"/>
        </w:rPr>
        <w:t>,</w:t>
      </w:r>
      <w:r w:rsidR="00E91D00" w:rsidRPr="00D15F2C">
        <w:rPr>
          <w:i/>
          <w:lang w:val="uk-UA"/>
        </w:rPr>
        <w:br/>
      </w:r>
      <w:r w:rsidR="00E91D00" w:rsidRPr="00D15F2C">
        <w:rPr>
          <w:lang w:val="uk-UA"/>
        </w:rPr>
        <w:tab/>
      </w:r>
      <w:r w:rsidR="00E91D00" w:rsidRPr="008B2B31">
        <w:rPr>
          <w:lang w:val="en-GB"/>
        </w:rPr>
        <w:t>I</w:t>
      </w:r>
      <w:r w:rsidR="00E91D00" w:rsidRPr="00D15F2C">
        <w:rPr>
          <w:lang w:val="uk-UA"/>
        </w:rPr>
        <w:t>şı</w:t>
      </w:r>
      <w:r w:rsidR="00E91D00" w:rsidRPr="008B2B31">
        <w:rPr>
          <w:lang w:val="en-GB"/>
        </w:rPr>
        <w:t>l</w:t>
      </w:r>
      <w:r w:rsidR="00E91D00" w:rsidRPr="00D15F2C">
        <w:rPr>
          <w:lang w:val="uk-UA"/>
        </w:rPr>
        <w:t xml:space="preserve"> </w:t>
      </w:r>
      <w:r w:rsidR="00E91D00" w:rsidRPr="008B2B31">
        <w:rPr>
          <w:lang w:val="en-GB"/>
        </w:rPr>
        <w:t>Karaka</w:t>
      </w:r>
      <w:r w:rsidR="00E91D00" w:rsidRPr="00D15F2C">
        <w:rPr>
          <w:lang w:val="uk-UA"/>
        </w:rPr>
        <w:t>ş,</w:t>
      </w:r>
      <w:r w:rsidR="00E91D00" w:rsidRPr="00D15F2C">
        <w:rPr>
          <w:i/>
          <w:lang w:val="uk-UA"/>
        </w:rPr>
        <w:br/>
      </w:r>
      <w:r w:rsidR="00E91D00" w:rsidRPr="00D15F2C">
        <w:rPr>
          <w:lang w:val="uk-UA"/>
        </w:rPr>
        <w:tab/>
      </w:r>
      <w:proofErr w:type="spellStart"/>
      <w:r w:rsidR="00E91D00" w:rsidRPr="008B2B31">
        <w:rPr>
          <w:lang w:val="en-GB"/>
        </w:rPr>
        <w:t>Neboj</w:t>
      </w:r>
      <w:proofErr w:type="spellEnd"/>
      <w:r w:rsidR="00E91D00" w:rsidRPr="00D15F2C">
        <w:rPr>
          <w:lang w:val="uk-UA"/>
        </w:rPr>
        <w:t>š</w:t>
      </w:r>
      <w:r w:rsidR="00E91D00" w:rsidRPr="008B2B31">
        <w:rPr>
          <w:lang w:val="en-GB"/>
        </w:rPr>
        <w:t>a</w:t>
      </w:r>
      <w:r w:rsidR="00E91D00" w:rsidRPr="00D15F2C">
        <w:rPr>
          <w:lang w:val="uk-UA"/>
        </w:rPr>
        <w:t xml:space="preserve"> </w:t>
      </w:r>
      <w:r w:rsidR="00E91D00" w:rsidRPr="008B2B31">
        <w:rPr>
          <w:lang w:val="en-GB"/>
        </w:rPr>
        <w:t>Vu</w:t>
      </w:r>
      <w:r w:rsidR="00E91D00" w:rsidRPr="00D15F2C">
        <w:rPr>
          <w:lang w:val="uk-UA"/>
        </w:rPr>
        <w:t>č</w:t>
      </w:r>
      <w:proofErr w:type="spellStart"/>
      <w:r w:rsidR="00E91D00" w:rsidRPr="008B2B31">
        <w:rPr>
          <w:lang w:val="en-GB"/>
        </w:rPr>
        <w:t>ini</w:t>
      </w:r>
      <w:proofErr w:type="spellEnd"/>
      <w:r w:rsidR="00E91D00" w:rsidRPr="00D15F2C">
        <w:rPr>
          <w:lang w:val="uk-UA"/>
        </w:rPr>
        <w:t>ć,</w:t>
      </w:r>
      <w:r w:rsidR="00E91D00" w:rsidRPr="00D15F2C">
        <w:rPr>
          <w:i/>
          <w:lang w:val="uk-UA"/>
        </w:rPr>
        <w:br/>
      </w:r>
      <w:r w:rsidR="00E91D00" w:rsidRPr="00D15F2C">
        <w:rPr>
          <w:lang w:val="uk-UA"/>
        </w:rPr>
        <w:tab/>
      </w:r>
      <w:proofErr w:type="spellStart"/>
      <w:r w:rsidR="00E91D00" w:rsidRPr="008B2B31">
        <w:rPr>
          <w:lang w:val="en-GB"/>
        </w:rPr>
        <w:t>Andr</w:t>
      </w:r>
      <w:proofErr w:type="spellEnd"/>
      <w:r w:rsidR="00E91D00" w:rsidRPr="00D15F2C">
        <w:rPr>
          <w:lang w:val="uk-UA"/>
        </w:rPr>
        <w:t xml:space="preserve">é </w:t>
      </w:r>
      <w:proofErr w:type="spellStart"/>
      <w:r w:rsidR="00E91D00" w:rsidRPr="008B2B31">
        <w:rPr>
          <w:lang w:val="en-GB"/>
        </w:rPr>
        <w:t>Potocki</w:t>
      </w:r>
      <w:proofErr w:type="spellEnd"/>
      <w:r w:rsidR="00E91D00" w:rsidRPr="00D15F2C">
        <w:rPr>
          <w:lang w:val="uk-UA"/>
        </w:rPr>
        <w:t>,</w:t>
      </w:r>
      <w:r w:rsidR="00E91D00" w:rsidRPr="00D15F2C">
        <w:rPr>
          <w:i/>
          <w:lang w:val="uk-UA"/>
        </w:rPr>
        <w:br/>
      </w:r>
      <w:r w:rsidR="00E91D00" w:rsidRPr="00D15F2C">
        <w:rPr>
          <w:lang w:val="uk-UA"/>
        </w:rPr>
        <w:tab/>
      </w:r>
      <w:r w:rsidR="00E91D00" w:rsidRPr="008B2B31">
        <w:rPr>
          <w:lang w:val="en-GB"/>
        </w:rPr>
        <w:t>Paul</w:t>
      </w:r>
      <w:r w:rsidR="00E91D00" w:rsidRPr="00D15F2C">
        <w:rPr>
          <w:lang w:val="uk-UA"/>
        </w:rPr>
        <w:t xml:space="preserve"> </w:t>
      </w:r>
      <w:proofErr w:type="spellStart"/>
      <w:r w:rsidR="00E91D00" w:rsidRPr="008B2B31">
        <w:rPr>
          <w:lang w:val="en-GB"/>
        </w:rPr>
        <w:t>Lemmens</w:t>
      </w:r>
      <w:proofErr w:type="spellEnd"/>
      <w:r w:rsidR="00E91D00" w:rsidRPr="00D15F2C">
        <w:rPr>
          <w:lang w:val="uk-UA"/>
        </w:rPr>
        <w:t>,</w:t>
      </w:r>
      <w:r w:rsidR="00E91D00" w:rsidRPr="00D15F2C">
        <w:rPr>
          <w:i/>
          <w:lang w:val="uk-UA"/>
        </w:rPr>
        <w:br/>
      </w:r>
      <w:r w:rsidR="00E91D00" w:rsidRPr="00D15F2C">
        <w:rPr>
          <w:lang w:val="uk-UA"/>
        </w:rPr>
        <w:tab/>
      </w:r>
      <w:r w:rsidR="00E91D00" w:rsidRPr="008B2B31">
        <w:rPr>
          <w:lang w:val="en-GB"/>
        </w:rPr>
        <w:t>Dmitry</w:t>
      </w:r>
      <w:r w:rsidR="00E91D00" w:rsidRPr="00D15F2C">
        <w:rPr>
          <w:lang w:val="uk-UA"/>
        </w:rPr>
        <w:t xml:space="preserve"> </w:t>
      </w:r>
      <w:proofErr w:type="spellStart"/>
      <w:r w:rsidR="00E91D00" w:rsidRPr="008B2B31">
        <w:rPr>
          <w:lang w:val="en-GB"/>
        </w:rPr>
        <w:t>Dedov</w:t>
      </w:r>
      <w:proofErr w:type="spellEnd"/>
      <w:r w:rsidR="00E91D00" w:rsidRPr="00D15F2C">
        <w:rPr>
          <w:lang w:val="uk-UA"/>
        </w:rPr>
        <w:t>,</w:t>
      </w:r>
      <w:r w:rsidR="00E91D00" w:rsidRPr="00D15F2C">
        <w:rPr>
          <w:i/>
          <w:lang w:val="uk-UA"/>
        </w:rPr>
        <w:br/>
      </w:r>
      <w:r w:rsidR="00E91D00" w:rsidRPr="00D15F2C">
        <w:rPr>
          <w:lang w:val="uk-UA"/>
        </w:rPr>
        <w:tab/>
      </w:r>
      <w:r w:rsidR="00E91D00" w:rsidRPr="008B2B31">
        <w:rPr>
          <w:lang w:val="en-GB"/>
        </w:rPr>
        <w:t>Jon</w:t>
      </w:r>
      <w:r w:rsidR="00E91D00" w:rsidRPr="00D15F2C">
        <w:rPr>
          <w:lang w:val="uk-UA"/>
        </w:rPr>
        <w:t xml:space="preserve"> </w:t>
      </w:r>
      <w:proofErr w:type="spellStart"/>
      <w:r w:rsidR="00E91D00" w:rsidRPr="008B2B31">
        <w:rPr>
          <w:lang w:val="en-GB"/>
        </w:rPr>
        <w:t>Fridrik</w:t>
      </w:r>
      <w:proofErr w:type="spellEnd"/>
      <w:r w:rsidR="00E91D00" w:rsidRPr="00D15F2C">
        <w:rPr>
          <w:lang w:val="uk-UA"/>
        </w:rPr>
        <w:t xml:space="preserve"> </w:t>
      </w:r>
      <w:proofErr w:type="spellStart"/>
      <w:r w:rsidR="00E91D00" w:rsidRPr="008B2B31">
        <w:rPr>
          <w:lang w:val="en-GB"/>
        </w:rPr>
        <w:t>Kj</w:t>
      </w:r>
      <w:proofErr w:type="spellEnd"/>
      <w:r w:rsidR="00E91D00" w:rsidRPr="00D15F2C">
        <w:rPr>
          <w:lang w:val="uk-UA"/>
        </w:rPr>
        <w:t>ø</w:t>
      </w:r>
      <w:proofErr w:type="spellStart"/>
      <w:r w:rsidR="00E91D00" w:rsidRPr="008B2B31">
        <w:rPr>
          <w:lang w:val="en-GB"/>
        </w:rPr>
        <w:t>lbro</w:t>
      </w:r>
      <w:proofErr w:type="spellEnd"/>
      <w:r w:rsidR="00E91D00" w:rsidRPr="00D15F2C">
        <w:rPr>
          <w:lang w:val="uk-UA"/>
        </w:rPr>
        <w:t>,</w:t>
      </w:r>
      <w:r w:rsidR="00E91D00" w:rsidRPr="00D15F2C">
        <w:rPr>
          <w:i/>
          <w:lang w:val="uk-UA"/>
        </w:rPr>
        <w:br/>
      </w:r>
      <w:r w:rsidR="00E91D00" w:rsidRPr="00D15F2C">
        <w:rPr>
          <w:lang w:val="uk-UA"/>
        </w:rPr>
        <w:tab/>
      </w:r>
      <w:r w:rsidR="00E91D00" w:rsidRPr="008B2B31">
        <w:rPr>
          <w:lang w:val="en-GB"/>
        </w:rPr>
        <w:t>M</w:t>
      </w:r>
      <w:r w:rsidR="00E91D00" w:rsidRPr="00D15F2C">
        <w:rPr>
          <w:lang w:val="uk-UA"/>
        </w:rPr>
        <w:t>ā</w:t>
      </w:r>
      <w:proofErr w:type="spellStart"/>
      <w:r w:rsidR="00E91D00" w:rsidRPr="008B2B31">
        <w:rPr>
          <w:lang w:val="en-GB"/>
        </w:rPr>
        <w:t>rti</w:t>
      </w:r>
      <w:proofErr w:type="spellEnd"/>
      <w:r w:rsidR="00E91D00" w:rsidRPr="00D15F2C">
        <w:rPr>
          <w:lang w:val="uk-UA"/>
        </w:rPr>
        <w:t xml:space="preserve">ņš </w:t>
      </w:r>
      <w:proofErr w:type="spellStart"/>
      <w:r w:rsidR="00E91D00" w:rsidRPr="008B2B31">
        <w:rPr>
          <w:lang w:val="en-GB"/>
        </w:rPr>
        <w:t>Mits</w:t>
      </w:r>
      <w:proofErr w:type="spellEnd"/>
      <w:r w:rsidR="00E91D00" w:rsidRPr="00D15F2C">
        <w:rPr>
          <w:lang w:val="uk-UA"/>
        </w:rPr>
        <w:t>,</w:t>
      </w:r>
      <w:r w:rsidR="00E91D00" w:rsidRPr="00D15F2C">
        <w:rPr>
          <w:i/>
          <w:lang w:val="uk-UA"/>
        </w:rPr>
        <w:br/>
      </w:r>
      <w:r w:rsidR="00E91D00" w:rsidRPr="00D15F2C">
        <w:rPr>
          <w:lang w:val="uk-UA"/>
        </w:rPr>
        <w:tab/>
      </w:r>
      <w:proofErr w:type="spellStart"/>
      <w:r w:rsidR="00E91D00" w:rsidRPr="008B2B31">
        <w:rPr>
          <w:lang w:val="en-GB"/>
        </w:rPr>
        <w:t>Armen</w:t>
      </w:r>
      <w:proofErr w:type="spellEnd"/>
      <w:r w:rsidR="00E91D00" w:rsidRPr="00D15F2C">
        <w:rPr>
          <w:lang w:val="uk-UA"/>
        </w:rPr>
        <w:t xml:space="preserve"> </w:t>
      </w:r>
      <w:proofErr w:type="spellStart"/>
      <w:r w:rsidR="00E91D00" w:rsidRPr="008B2B31">
        <w:rPr>
          <w:lang w:val="en-GB"/>
        </w:rPr>
        <w:t>Harutyunyan</w:t>
      </w:r>
      <w:proofErr w:type="spellEnd"/>
      <w:r w:rsidR="00E91D00" w:rsidRPr="00D15F2C">
        <w:rPr>
          <w:lang w:val="uk-UA"/>
        </w:rPr>
        <w:t>,</w:t>
      </w:r>
      <w:r w:rsidR="00E91D00" w:rsidRPr="00D15F2C">
        <w:rPr>
          <w:i/>
          <w:lang w:val="uk-UA"/>
        </w:rPr>
        <w:br/>
      </w:r>
      <w:r w:rsidR="00E91D00" w:rsidRPr="00D15F2C">
        <w:rPr>
          <w:lang w:val="uk-UA"/>
        </w:rPr>
        <w:tab/>
      </w:r>
      <w:r w:rsidR="00E91D00" w:rsidRPr="008B2B31">
        <w:rPr>
          <w:lang w:val="en-GB"/>
        </w:rPr>
        <w:t>St</w:t>
      </w:r>
      <w:r w:rsidR="00E91D00" w:rsidRPr="00D15F2C">
        <w:rPr>
          <w:lang w:val="uk-UA"/>
        </w:rPr>
        <w:t>é</w:t>
      </w:r>
      <w:proofErr w:type="spellStart"/>
      <w:r w:rsidR="00E91D00" w:rsidRPr="008B2B31">
        <w:rPr>
          <w:lang w:val="en-GB"/>
        </w:rPr>
        <w:t>phanie</w:t>
      </w:r>
      <w:proofErr w:type="spellEnd"/>
      <w:r w:rsidR="00E91D00" w:rsidRPr="00D15F2C">
        <w:rPr>
          <w:lang w:val="uk-UA"/>
        </w:rPr>
        <w:t xml:space="preserve"> </w:t>
      </w:r>
      <w:proofErr w:type="spellStart"/>
      <w:r w:rsidR="00E91D00" w:rsidRPr="008B2B31">
        <w:rPr>
          <w:lang w:val="en-GB"/>
        </w:rPr>
        <w:t>Mourou</w:t>
      </w:r>
      <w:proofErr w:type="spellEnd"/>
      <w:r w:rsidR="00E91D00" w:rsidRPr="00D15F2C">
        <w:rPr>
          <w:lang w:val="uk-UA"/>
        </w:rPr>
        <w:t>-</w:t>
      </w:r>
      <w:proofErr w:type="spellStart"/>
      <w:r w:rsidR="00E91D00" w:rsidRPr="008B2B31">
        <w:rPr>
          <w:lang w:val="en-GB"/>
        </w:rPr>
        <w:t>Vikstr</w:t>
      </w:r>
      <w:proofErr w:type="spellEnd"/>
      <w:r w:rsidR="00E91D00" w:rsidRPr="00D15F2C">
        <w:rPr>
          <w:lang w:val="uk-UA"/>
        </w:rPr>
        <w:t>ö</w:t>
      </w:r>
      <w:r w:rsidR="00E91D00" w:rsidRPr="008B2B31">
        <w:rPr>
          <w:lang w:val="en-GB"/>
        </w:rPr>
        <w:t>m</w:t>
      </w:r>
      <w:r w:rsidR="00E91D00" w:rsidRPr="00D15F2C">
        <w:rPr>
          <w:lang w:val="uk-UA"/>
        </w:rPr>
        <w:t>,</w:t>
      </w:r>
      <w:r w:rsidR="00E91D00" w:rsidRPr="00D15F2C">
        <w:rPr>
          <w:i/>
          <w:lang w:val="uk-UA"/>
        </w:rPr>
        <w:br/>
      </w:r>
      <w:r w:rsidR="00E91D00" w:rsidRPr="00D15F2C">
        <w:rPr>
          <w:lang w:val="uk-UA"/>
        </w:rPr>
        <w:tab/>
      </w:r>
      <w:r w:rsidR="00E91D00" w:rsidRPr="008B2B31">
        <w:rPr>
          <w:lang w:val="en-GB"/>
        </w:rPr>
        <w:t>Georges</w:t>
      </w:r>
      <w:r w:rsidR="00E91D00" w:rsidRPr="00D15F2C">
        <w:rPr>
          <w:lang w:val="uk-UA"/>
        </w:rPr>
        <w:t xml:space="preserve"> </w:t>
      </w:r>
      <w:proofErr w:type="spellStart"/>
      <w:r w:rsidR="00E91D00" w:rsidRPr="008B2B31">
        <w:rPr>
          <w:lang w:val="en-GB"/>
        </w:rPr>
        <w:t>Ravarani</w:t>
      </w:r>
      <w:proofErr w:type="spellEnd"/>
      <w:r w:rsidR="00E91D00" w:rsidRPr="00D15F2C">
        <w:rPr>
          <w:lang w:val="uk-UA"/>
        </w:rPr>
        <w:t>,</w:t>
      </w:r>
      <w:r w:rsidR="00E91D00" w:rsidRPr="00D15F2C">
        <w:rPr>
          <w:i/>
          <w:lang w:val="uk-UA"/>
        </w:rPr>
        <w:br/>
      </w:r>
      <w:r w:rsidR="00E91D00" w:rsidRPr="00D15F2C">
        <w:rPr>
          <w:lang w:val="uk-UA"/>
        </w:rPr>
        <w:tab/>
      </w:r>
      <w:r w:rsidR="00E91D00" w:rsidRPr="008B2B31">
        <w:rPr>
          <w:lang w:val="en-GB"/>
        </w:rPr>
        <w:t>Marko</w:t>
      </w:r>
      <w:r w:rsidR="00E91D00" w:rsidRPr="00D15F2C">
        <w:rPr>
          <w:lang w:val="uk-UA"/>
        </w:rPr>
        <w:t xml:space="preserve"> </w:t>
      </w:r>
      <w:r w:rsidR="00E91D00" w:rsidRPr="008B2B31">
        <w:rPr>
          <w:lang w:val="en-GB"/>
        </w:rPr>
        <w:t>Bo</w:t>
      </w:r>
      <w:r w:rsidR="00E91D00" w:rsidRPr="00D15F2C">
        <w:rPr>
          <w:lang w:val="uk-UA"/>
        </w:rPr>
        <w:t>š</w:t>
      </w:r>
      <w:proofErr w:type="spellStart"/>
      <w:r w:rsidR="00E91D00" w:rsidRPr="008B2B31">
        <w:rPr>
          <w:lang w:val="en-GB"/>
        </w:rPr>
        <w:t>njak</w:t>
      </w:r>
      <w:proofErr w:type="spellEnd"/>
      <w:r w:rsidR="00E91D00" w:rsidRPr="00D15F2C">
        <w:rPr>
          <w:lang w:val="uk-UA"/>
        </w:rPr>
        <w:t>,</w:t>
      </w:r>
      <w:r w:rsidR="00E91D00" w:rsidRPr="00D15F2C">
        <w:rPr>
          <w:i/>
          <w:lang w:val="uk-UA"/>
        </w:rPr>
        <w:br/>
      </w:r>
      <w:r w:rsidR="00E91D00" w:rsidRPr="00D15F2C">
        <w:rPr>
          <w:lang w:val="uk-UA"/>
        </w:rPr>
        <w:tab/>
      </w:r>
      <w:r w:rsidR="00E91D00" w:rsidRPr="008B2B31">
        <w:rPr>
          <w:lang w:val="en-GB"/>
        </w:rPr>
        <w:t>Tim</w:t>
      </w:r>
      <w:r w:rsidR="00E91D00" w:rsidRPr="00D15F2C">
        <w:rPr>
          <w:lang w:val="uk-UA"/>
        </w:rPr>
        <w:t xml:space="preserve"> </w:t>
      </w:r>
      <w:proofErr w:type="spellStart"/>
      <w:r w:rsidR="00E91D00" w:rsidRPr="008B2B31">
        <w:rPr>
          <w:lang w:val="en-GB"/>
        </w:rPr>
        <w:t>Eicke</w:t>
      </w:r>
      <w:proofErr w:type="spellEnd"/>
      <w:r w:rsidR="00E91D00" w:rsidRPr="00D15F2C">
        <w:rPr>
          <w:lang w:val="uk-UA"/>
        </w:rPr>
        <w:t>,</w:t>
      </w:r>
      <w:r w:rsidR="00E91D00" w:rsidRPr="00D15F2C">
        <w:rPr>
          <w:i/>
          <w:lang w:val="uk-UA"/>
        </w:rPr>
        <w:t xml:space="preserve"> </w:t>
      </w:r>
      <w:r w:rsidR="00E91D00">
        <w:rPr>
          <w:i/>
          <w:lang w:val="uk-UA"/>
        </w:rPr>
        <w:t>судді</w:t>
      </w:r>
      <w:r w:rsidR="00E91D00" w:rsidRPr="00D15F2C">
        <w:rPr>
          <w:lang w:val="uk-UA"/>
        </w:rPr>
        <w:t>,</w:t>
      </w:r>
      <w:r w:rsidR="00E91D00" w:rsidRPr="00D15F2C">
        <w:rPr>
          <w:lang w:val="uk-UA"/>
        </w:rPr>
        <w:br/>
      </w:r>
      <w:r w:rsidR="00D15F2C" w:rsidRPr="00F0117E">
        <w:rPr>
          <w:lang w:val="uk-UA"/>
        </w:rPr>
        <w:t>а також</w:t>
      </w:r>
      <w:r w:rsidR="00E91D00" w:rsidRPr="007935AA">
        <w:rPr>
          <w:lang w:val="uk-UA"/>
        </w:rPr>
        <w:t xml:space="preserve"> </w:t>
      </w:r>
      <w:r w:rsidR="00E91D00" w:rsidRPr="008B2B31">
        <w:rPr>
          <w:lang w:val="en-GB"/>
        </w:rPr>
        <w:t>S</w:t>
      </w:r>
      <w:r w:rsidR="00E91D00" w:rsidRPr="00D15F2C">
        <w:rPr>
          <w:rFonts w:cstheme="minorHAnsi"/>
          <w:lang w:val="uk-UA"/>
        </w:rPr>
        <w:t>ø</w:t>
      </w:r>
      <w:proofErr w:type="spellStart"/>
      <w:r w:rsidR="00E91D00" w:rsidRPr="008B2B31">
        <w:rPr>
          <w:lang w:val="en-GB"/>
        </w:rPr>
        <w:t>ren</w:t>
      </w:r>
      <w:proofErr w:type="spellEnd"/>
      <w:r w:rsidR="00E91D00" w:rsidRPr="00D15F2C">
        <w:rPr>
          <w:lang w:val="uk-UA"/>
        </w:rPr>
        <w:t xml:space="preserve"> </w:t>
      </w:r>
      <w:proofErr w:type="spellStart"/>
      <w:r w:rsidR="00E91D00" w:rsidRPr="008B2B31">
        <w:rPr>
          <w:lang w:val="en-GB"/>
        </w:rPr>
        <w:t>Prebensen</w:t>
      </w:r>
      <w:proofErr w:type="spellEnd"/>
      <w:r w:rsidRPr="00F0117E">
        <w:rPr>
          <w:lang w:val="uk-UA"/>
        </w:rPr>
        <w:t xml:space="preserve">, </w:t>
      </w:r>
      <w:r w:rsidR="00D15F2C" w:rsidRPr="00F0117E">
        <w:rPr>
          <w:i/>
          <w:iCs/>
          <w:szCs w:val="24"/>
          <w:lang w:val="uk-UA"/>
        </w:rPr>
        <w:t>заступник секретаря Великої Палати</w:t>
      </w:r>
      <w:r w:rsidRPr="00F0117E">
        <w:rPr>
          <w:szCs w:val="24"/>
          <w:lang w:val="uk-UA"/>
        </w:rPr>
        <w:t>,</w:t>
      </w:r>
    </w:p>
    <w:p w:rsidR="00E81B07" w:rsidRPr="00F0117E" w:rsidRDefault="00D15F2C" w:rsidP="008B2B31">
      <w:pPr>
        <w:pStyle w:val="ECHRPara"/>
        <w:rPr>
          <w:lang w:val="uk-UA"/>
        </w:rPr>
      </w:pPr>
      <w:r w:rsidRPr="00F0117E">
        <w:rPr>
          <w:lang w:val="uk-UA"/>
        </w:rPr>
        <w:t>Провівши</w:t>
      </w:r>
      <w:r w:rsidR="00E81B07" w:rsidRPr="00F0117E">
        <w:rPr>
          <w:lang w:val="uk-UA"/>
        </w:rPr>
        <w:t xml:space="preserve"> </w:t>
      </w:r>
      <w:r w:rsidR="00455AE5" w:rsidRPr="00F0117E">
        <w:rPr>
          <w:lang w:val="uk-UA"/>
        </w:rPr>
        <w:t xml:space="preserve">30 </w:t>
      </w:r>
      <w:r w:rsidRPr="00F0117E">
        <w:rPr>
          <w:lang w:val="uk-UA"/>
        </w:rPr>
        <w:t>листопада</w:t>
      </w:r>
      <w:r w:rsidR="00455AE5" w:rsidRPr="00F0117E">
        <w:rPr>
          <w:lang w:val="uk-UA"/>
        </w:rPr>
        <w:t xml:space="preserve"> 2016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року та 8 червня</w:t>
      </w:r>
      <w:r w:rsidR="00455AE5" w:rsidRPr="00F0117E">
        <w:rPr>
          <w:lang w:val="uk-UA"/>
        </w:rPr>
        <w:t xml:space="preserve"> 2017</w:t>
      </w:r>
      <w:r w:rsidRPr="00F0117E">
        <w:rPr>
          <w:lang w:val="uk-UA"/>
        </w:rPr>
        <w:t xml:space="preserve"> слухання за закритими дверима</w:t>
      </w:r>
      <w:r w:rsidR="00E81B07" w:rsidRPr="00F0117E">
        <w:rPr>
          <w:lang w:val="uk-UA"/>
        </w:rPr>
        <w:t>,</w:t>
      </w:r>
    </w:p>
    <w:p w:rsidR="00E81B07" w:rsidRDefault="00D15F2C" w:rsidP="008B2B31">
      <w:pPr>
        <w:pStyle w:val="ECHRPara"/>
        <w:rPr>
          <w:lang w:val="uk-UA"/>
        </w:rPr>
      </w:pPr>
      <w:r w:rsidRPr="00F0117E">
        <w:rPr>
          <w:lang w:val="uk-UA"/>
        </w:rPr>
        <w:t>Проголошує наступне рішення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яке було прийнято в останній згаданий день</w:t>
      </w:r>
      <w:r w:rsidR="00E81B07" w:rsidRPr="00F0117E">
        <w:rPr>
          <w:lang w:val="uk-UA"/>
        </w:rPr>
        <w:t>:</w:t>
      </w:r>
    </w:p>
    <w:p w:rsidR="00E81B07" w:rsidRPr="00F0117E" w:rsidRDefault="00D15F2C" w:rsidP="008B2B31">
      <w:pPr>
        <w:pStyle w:val="ECHRTitle1"/>
        <w:rPr>
          <w:lang w:val="uk-UA"/>
        </w:rPr>
      </w:pPr>
      <w:r w:rsidRPr="00F0117E">
        <w:rPr>
          <w:lang w:val="uk-UA"/>
        </w:rPr>
        <w:t>ПРОЦЕДУРА</w:t>
      </w:r>
    </w:p>
    <w:p w:rsidR="00E36F4C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D15F2C" w:rsidRPr="00F0117E">
        <w:rPr>
          <w:lang w:val="uk-UA"/>
        </w:rPr>
        <w:t>Дану справу розпочато за заявою</w:t>
      </w:r>
      <w:r w:rsidR="00E81B07" w:rsidRPr="00F0117E">
        <w:rPr>
          <w:lang w:val="uk-UA"/>
        </w:rPr>
        <w:t xml:space="preserve"> (</w:t>
      </w:r>
      <w:r w:rsidR="00D15F2C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 61496/08) </w:t>
      </w:r>
      <w:r w:rsidR="00D15F2C" w:rsidRPr="00F0117E">
        <w:rPr>
          <w:lang w:val="uk-UA"/>
        </w:rPr>
        <w:t>проти Румунії,</w:t>
      </w:r>
      <w:r w:rsidR="00E81B07" w:rsidRPr="00F0117E">
        <w:rPr>
          <w:lang w:val="uk-UA"/>
        </w:rPr>
        <w:t xml:space="preserve"> </w:t>
      </w:r>
      <w:r w:rsidR="00D15F2C" w:rsidRPr="00F0117E">
        <w:rPr>
          <w:lang w:val="uk-UA"/>
        </w:rPr>
        <w:t>яку подав до Суду відповідно до статті</w:t>
      </w:r>
      <w:r w:rsidR="00E81B07" w:rsidRPr="00F0117E">
        <w:rPr>
          <w:lang w:val="uk-UA"/>
        </w:rPr>
        <w:t xml:space="preserve"> 34 </w:t>
      </w:r>
      <w:r w:rsidR="00D15F2C" w:rsidRPr="00F0117E">
        <w:rPr>
          <w:lang w:val="uk-UA"/>
        </w:rPr>
        <w:t>Конвенції про захист прав людини та основоположних свобод (надалі – «Конвенція»</w:t>
      </w:r>
      <w:r w:rsidR="00E81B07" w:rsidRPr="00F0117E">
        <w:rPr>
          <w:lang w:val="uk-UA"/>
        </w:rPr>
        <w:t xml:space="preserve">) </w:t>
      </w:r>
      <w:r w:rsidR="00D15F2C" w:rsidRPr="00F0117E">
        <w:rPr>
          <w:lang w:val="uk-UA"/>
        </w:rPr>
        <w:t xml:space="preserve">громадянин Румунії, пан Богдан </w:t>
      </w:r>
      <w:proofErr w:type="spellStart"/>
      <w:r w:rsidR="00D15F2C" w:rsidRPr="00F0117E">
        <w:rPr>
          <w:lang w:val="uk-UA"/>
        </w:rPr>
        <w:t>Михай</w:t>
      </w:r>
      <w:proofErr w:type="spellEnd"/>
      <w:r w:rsidR="00D15F2C" w:rsidRPr="00F0117E">
        <w:rPr>
          <w:lang w:val="uk-UA"/>
        </w:rPr>
        <w:t xml:space="preserve"> </w:t>
      </w:r>
      <w:proofErr w:type="spellStart"/>
      <w:r w:rsidR="00D15F2C" w:rsidRPr="00F0117E">
        <w:rPr>
          <w:lang w:val="uk-UA"/>
        </w:rPr>
        <w:t>Барбулеску</w:t>
      </w:r>
      <w:proofErr w:type="spellEnd"/>
      <w:r w:rsidR="00E81B07" w:rsidRPr="00F0117E">
        <w:rPr>
          <w:lang w:val="uk-UA"/>
        </w:rPr>
        <w:t xml:space="preserve"> </w:t>
      </w:r>
      <w:r w:rsidR="00D15F2C" w:rsidRPr="00F0117E">
        <w:rPr>
          <w:lang w:val="uk-UA"/>
        </w:rPr>
        <w:t>(надалі – «заявник»)</w:t>
      </w:r>
      <w:r w:rsidR="00E81B07" w:rsidRPr="00F0117E">
        <w:rPr>
          <w:lang w:val="uk-UA"/>
        </w:rPr>
        <w:t xml:space="preserve"> 15 </w:t>
      </w:r>
      <w:r w:rsidR="00D15F2C" w:rsidRPr="00F0117E">
        <w:rPr>
          <w:lang w:val="uk-UA"/>
        </w:rPr>
        <w:t>грудня</w:t>
      </w:r>
      <w:r w:rsidR="00E81B07" w:rsidRPr="00F0117E">
        <w:rPr>
          <w:lang w:val="uk-UA"/>
        </w:rPr>
        <w:t xml:space="preserve"> 2008</w:t>
      </w:r>
      <w:r w:rsidR="00D15F2C" w:rsidRPr="00F0117E">
        <w:rPr>
          <w:lang w:val="uk-UA"/>
        </w:rPr>
        <w:t xml:space="preserve"> року</w:t>
      </w:r>
      <w:r w:rsidR="00E81B07" w:rsidRPr="00F0117E">
        <w:rPr>
          <w:lang w:val="uk-UA"/>
        </w:rPr>
        <w:t>.</w:t>
      </w:r>
    </w:p>
    <w:p w:rsidR="00E36F4C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2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771804" w:rsidRPr="00F0117E">
        <w:rPr>
          <w:lang w:val="uk-UA"/>
        </w:rPr>
        <w:t>Заявника представляли пан</w:t>
      </w:r>
      <w:r w:rsidR="00E81B07" w:rsidRPr="00F0117E">
        <w:rPr>
          <w:lang w:val="uk-UA"/>
        </w:rPr>
        <w:t xml:space="preserve"> E. </w:t>
      </w:r>
      <w:proofErr w:type="spellStart"/>
      <w:r w:rsidR="00771804" w:rsidRPr="00F0117E">
        <w:rPr>
          <w:lang w:val="uk-UA"/>
        </w:rPr>
        <w:t>Домокос-Ханку</w:t>
      </w:r>
      <w:proofErr w:type="spellEnd"/>
      <w:r w:rsidR="00E81B07" w:rsidRPr="00F0117E">
        <w:rPr>
          <w:lang w:val="uk-UA"/>
        </w:rPr>
        <w:t xml:space="preserve"> </w:t>
      </w:r>
      <w:r w:rsidR="00771804" w:rsidRPr="00F0117E">
        <w:rPr>
          <w:lang w:val="uk-UA"/>
        </w:rPr>
        <w:t xml:space="preserve">та пан О. </w:t>
      </w:r>
      <w:proofErr w:type="spellStart"/>
      <w:r w:rsidR="00771804" w:rsidRPr="00F0117E">
        <w:rPr>
          <w:lang w:val="uk-UA"/>
        </w:rPr>
        <w:t>Ювердеану</w:t>
      </w:r>
      <w:proofErr w:type="spellEnd"/>
      <w:r w:rsidR="00E81B07" w:rsidRPr="00F0117E">
        <w:rPr>
          <w:lang w:val="uk-UA"/>
        </w:rPr>
        <w:t xml:space="preserve">, </w:t>
      </w:r>
      <w:r w:rsidR="00771804" w:rsidRPr="00F0117E">
        <w:rPr>
          <w:lang w:val="uk-UA"/>
        </w:rPr>
        <w:t>адвокати, які практикують у Бухаресті</w:t>
      </w:r>
      <w:r w:rsidR="00E81B07" w:rsidRPr="00F0117E">
        <w:rPr>
          <w:lang w:val="uk-UA"/>
        </w:rPr>
        <w:t xml:space="preserve">. </w:t>
      </w:r>
      <w:r w:rsidR="00771804" w:rsidRPr="00F0117E">
        <w:rPr>
          <w:lang w:val="uk-UA"/>
        </w:rPr>
        <w:t>Уряд Румунії (надалі – «Уряд») представляла його Уповноважена</w:t>
      </w:r>
      <w:r w:rsidR="00E81B07" w:rsidRPr="00F0117E">
        <w:rPr>
          <w:lang w:val="uk-UA"/>
        </w:rPr>
        <w:t xml:space="preserve">, </w:t>
      </w:r>
      <w:r w:rsidR="00771804" w:rsidRPr="00F0117E">
        <w:rPr>
          <w:lang w:val="uk-UA"/>
        </w:rPr>
        <w:t xml:space="preserve">пані С. </w:t>
      </w:r>
      <w:proofErr w:type="spellStart"/>
      <w:r w:rsidR="00771804" w:rsidRPr="00F0117E">
        <w:rPr>
          <w:lang w:val="uk-UA"/>
        </w:rPr>
        <w:t>Брумар</w:t>
      </w:r>
      <w:proofErr w:type="spellEnd"/>
      <w:r w:rsidR="00E81B07" w:rsidRPr="00F0117E">
        <w:rPr>
          <w:lang w:val="uk-UA"/>
        </w:rPr>
        <w:t xml:space="preserve">, </w:t>
      </w:r>
      <w:r w:rsidR="00771804" w:rsidRPr="00F0117E">
        <w:rPr>
          <w:lang w:val="uk-UA"/>
        </w:rPr>
        <w:t xml:space="preserve">з Міністерства </w:t>
      </w:r>
      <w:r w:rsidR="00934150">
        <w:rPr>
          <w:lang w:val="uk-UA"/>
        </w:rPr>
        <w:t xml:space="preserve">іноземних </w:t>
      </w:r>
      <w:r w:rsidR="00771804" w:rsidRPr="00F0117E">
        <w:rPr>
          <w:lang w:val="uk-UA"/>
        </w:rPr>
        <w:t>справ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3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771804" w:rsidRPr="00F0117E">
        <w:rPr>
          <w:lang w:val="uk-UA"/>
        </w:rPr>
        <w:t>Заявник скаржився, зокрема</w:t>
      </w:r>
      <w:r w:rsidR="00E81B07" w:rsidRPr="00F0117E">
        <w:rPr>
          <w:lang w:val="uk-UA"/>
        </w:rPr>
        <w:t xml:space="preserve">, </w:t>
      </w:r>
      <w:r w:rsidR="00771804" w:rsidRPr="00F0117E">
        <w:rPr>
          <w:lang w:val="uk-UA"/>
        </w:rPr>
        <w:t>на те, що рішення його роботодавця розірвати контракт</w:t>
      </w:r>
      <w:r w:rsidR="00E81B07" w:rsidRPr="00F0117E">
        <w:rPr>
          <w:lang w:val="uk-UA"/>
        </w:rPr>
        <w:t xml:space="preserve"> </w:t>
      </w:r>
      <w:r w:rsidR="00771804" w:rsidRPr="00F0117E">
        <w:rPr>
          <w:lang w:val="uk-UA"/>
        </w:rPr>
        <w:t>ґрунтувалося на порушенні його права</w:t>
      </w:r>
      <w:r w:rsidR="00E81B07" w:rsidRPr="00F0117E">
        <w:rPr>
          <w:lang w:val="uk-UA"/>
        </w:rPr>
        <w:t xml:space="preserve"> </w:t>
      </w:r>
      <w:r w:rsidR="00771804" w:rsidRPr="00F0117E">
        <w:rPr>
          <w:lang w:val="uk-UA"/>
        </w:rPr>
        <w:t>на повагу до його приватного життя</w:t>
      </w:r>
      <w:r w:rsidR="00E81B07" w:rsidRPr="00F0117E">
        <w:rPr>
          <w:lang w:val="uk-UA"/>
        </w:rPr>
        <w:t xml:space="preserve"> </w:t>
      </w:r>
      <w:r w:rsidR="00771804" w:rsidRPr="00F0117E">
        <w:rPr>
          <w:lang w:val="uk-UA"/>
        </w:rPr>
        <w:t>та кореспонденції, закріпленого у статті</w:t>
      </w:r>
      <w:r w:rsidR="00E81B07" w:rsidRPr="00F0117E">
        <w:rPr>
          <w:lang w:val="uk-UA"/>
        </w:rPr>
        <w:t xml:space="preserve"> 8 </w:t>
      </w:r>
      <w:r w:rsidR="00771804" w:rsidRPr="00F0117E">
        <w:rPr>
          <w:lang w:val="uk-UA"/>
        </w:rPr>
        <w:t>Конвенції,</w:t>
      </w:r>
      <w:r w:rsidR="00E81B07" w:rsidRPr="00F0117E">
        <w:rPr>
          <w:lang w:val="uk-UA"/>
        </w:rPr>
        <w:t xml:space="preserve"> </w:t>
      </w:r>
      <w:r w:rsidR="00771804" w:rsidRPr="00F0117E">
        <w:rPr>
          <w:lang w:val="uk-UA"/>
        </w:rPr>
        <w:t>і що національні суди не виконали своє зобов’язання щодо захисту цього права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lastRenderedPageBreak/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4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8503B6" w:rsidRPr="00F0117E">
        <w:rPr>
          <w:lang w:val="uk-UA"/>
        </w:rPr>
        <w:t>Заяву було передано до Четвертої секції Суду</w:t>
      </w:r>
      <w:r w:rsidR="00E81B07" w:rsidRPr="00F0117E">
        <w:rPr>
          <w:lang w:val="uk-UA"/>
        </w:rPr>
        <w:t xml:space="preserve"> (</w:t>
      </w:r>
      <w:r w:rsidR="00292923" w:rsidRPr="00F0117E">
        <w:rPr>
          <w:lang w:val="uk-UA"/>
        </w:rPr>
        <w:t>п</w:t>
      </w:r>
      <w:r w:rsidR="008503B6" w:rsidRPr="00F0117E">
        <w:rPr>
          <w:lang w:val="uk-UA"/>
        </w:rPr>
        <w:t>равило</w:t>
      </w:r>
      <w:r w:rsidR="00E81B07" w:rsidRPr="00F0117E">
        <w:rPr>
          <w:lang w:val="uk-UA"/>
        </w:rPr>
        <w:t xml:space="preserve"> 52 § 1 </w:t>
      </w:r>
      <w:r w:rsidR="008503B6" w:rsidRPr="00F0117E">
        <w:rPr>
          <w:lang w:val="uk-UA"/>
        </w:rPr>
        <w:t>Регламенту Суду</w:t>
      </w:r>
      <w:r w:rsidR="00E81B07" w:rsidRPr="00F0117E">
        <w:rPr>
          <w:lang w:val="uk-UA"/>
        </w:rPr>
        <w:t xml:space="preserve">). </w:t>
      </w:r>
      <w:r w:rsidR="008503B6" w:rsidRPr="00F0117E">
        <w:rPr>
          <w:lang w:val="uk-UA"/>
        </w:rPr>
        <w:t>12 січня</w:t>
      </w:r>
      <w:r w:rsidR="00E81B07" w:rsidRPr="00F0117E">
        <w:rPr>
          <w:lang w:val="uk-UA"/>
        </w:rPr>
        <w:t xml:space="preserve"> 2016 </w:t>
      </w:r>
      <w:r w:rsidR="008503B6" w:rsidRPr="00F0117E">
        <w:rPr>
          <w:lang w:val="uk-UA"/>
        </w:rPr>
        <w:t xml:space="preserve">року Палата цієї </w:t>
      </w:r>
      <w:r w:rsidR="00292923" w:rsidRPr="00F0117E">
        <w:rPr>
          <w:lang w:val="uk-UA"/>
        </w:rPr>
        <w:t>с</w:t>
      </w:r>
      <w:r w:rsidR="008503B6" w:rsidRPr="00F0117E">
        <w:rPr>
          <w:lang w:val="uk-UA"/>
        </w:rPr>
        <w:t>екції</w:t>
      </w:r>
      <w:r w:rsidR="00E81B07" w:rsidRPr="00F0117E">
        <w:rPr>
          <w:lang w:val="uk-UA"/>
        </w:rPr>
        <w:t xml:space="preserve">, </w:t>
      </w:r>
      <w:r w:rsidR="008503B6" w:rsidRPr="00F0117E">
        <w:rPr>
          <w:lang w:val="uk-UA"/>
        </w:rPr>
        <w:t>у складі</w:t>
      </w:r>
      <w:r w:rsidR="00E81B07" w:rsidRPr="00F0117E">
        <w:rPr>
          <w:lang w:val="uk-UA"/>
        </w:rPr>
        <w:t xml:space="preserve"> </w:t>
      </w:r>
      <w:proofErr w:type="spellStart"/>
      <w:r w:rsidR="008503B6" w:rsidRPr="00F0117E">
        <w:rPr>
          <w:lang w:val="uk-UA"/>
        </w:rPr>
        <w:t>Андраса</w:t>
      </w:r>
      <w:proofErr w:type="spellEnd"/>
      <w:r w:rsidR="008503B6" w:rsidRPr="00F0117E">
        <w:rPr>
          <w:lang w:val="uk-UA"/>
        </w:rPr>
        <w:t xml:space="preserve"> </w:t>
      </w:r>
      <w:proofErr w:type="spellStart"/>
      <w:r w:rsidR="008503B6" w:rsidRPr="00F0117E">
        <w:rPr>
          <w:lang w:val="uk-UA"/>
        </w:rPr>
        <w:t>Саджо</w:t>
      </w:r>
      <w:proofErr w:type="spellEnd"/>
      <w:r w:rsidR="00E81B07" w:rsidRPr="00F0117E">
        <w:rPr>
          <w:lang w:val="uk-UA"/>
        </w:rPr>
        <w:t xml:space="preserve">, </w:t>
      </w:r>
      <w:r w:rsidR="008503B6" w:rsidRPr="00F0117E">
        <w:rPr>
          <w:lang w:val="uk-UA"/>
        </w:rPr>
        <w:t>головуючого</w:t>
      </w:r>
      <w:r w:rsidR="00E81B07" w:rsidRPr="00F0117E">
        <w:rPr>
          <w:lang w:val="uk-UA"/>
        </w:rPr>
        <w:t xml:space="preserve">, </w:t>
      </w:r>
      <w:proofErr w:type="spellStart"/>
      <w:r w:rsidR="008503B6" w:rsidRPr="00F0117E">
        <w:rPr>
          <w:lang w:val="uk-UA"/>
        </w:rPr>
        <w:t>Вінсента</w:t>
      </w:r>
      <w:proofErr w:type="spellEnd"/>
      <w:r w:rsidR="008503B6" w:rsidRPr="00F0117E">
        <w:rPr>
          <w:lang w:val="uk-UA"/>
        </w:rPr>
        <w:t xml:space="preserve"> А. Де </w:t>
      </w:r>
      <w:proofErr w:type="spellStart"/>
      <w:r w:rsidR="008503B6" w:rsidRPr="00F0117E">
        <w:rPr>
          <w:lang w:val="uk-UA"/>
        </w:rPr>
        <w:t>Гаетано</w:t>
      </w:r>
      <w:proofErr w:type="spellEnd"/>
      <w:r w:rsidR="00E81B07" w:rsidRPr="00F0117E">
        <w:rPr>
          <w:lang w:val="uk-UA"/>
        </w:rPr>
        <w:t xml:space="preserve">, </w:t>
      </w:r>
      <w:proofErr w:type="spellStart"/>
      <w:r w:rsidR="008503B6" w:rsidRPr="00F0117E">
        <w:rPr>
          <w:lang w:val="uk-UA"/>
        </w:rPr>
        <w:t>Боштьяна</w:t>
      </w:r>
      <w:proofErr w:type="spellEnd"/>
      <w:r w:rsidR="008503B6" w:rsidRPr="00F0117E">
        <w:rPr>
          <w:lang w:val="uk-UA"/>
        </w:rPr>
        <w:t xml:space="preserve"> М. </w:t>
      </w:r>
      <w:proofErr w:type="spellStart"/>
      <w:r w:rsidR="00292923" w:rsidRPr="00F0117E">
        <w:rPr>
          <w:lang w:val="uk-UA"/>
        </w:rPr>
        <w:t>Ж</w:t>
      </w:r>
      <w:r w:rsidR="008503B6" w:rsidRPr="00F0117E">
        <w:rPr>
          <w:lang w:val="uk-UA"/>
        </w:rPr>
        <w:t>упанчича</w:t>
      </w:r>
      <w:proofErr w:type="spellEnd"/>
      <w:r w:rsidR="00E81B07" w:rsidRPr="00F0117E">
        <w:rPr>
          <w:lang w:val="uk-UA"/>
        </w:rPr>
        <w:t xml:space="preserve">, </w:t>
      </w:r>
      <w:proofErr w:type="spellStart"/>
      <w:r w:rsidR="008503B6" w:rsidRPr="00F0117E">
        <w:rPr>
          <w:lang w:val="uk-UA"/>
        </w:rPr>
        <w:t>Нони</w:t>
      </w:r>
      <w:proofErr w:type="spellEnd"/>
      <w:r w:rsidR="008503B6" w:rsidRPr="00F0117E">
        <w:rPr>
          <w:lang w:val="uk-UA"/>
        </w:rPr>
        <w:t xml:space="preserve"> </w:t>
      </w:r>
      <w:proofErr w:type="spellStart"/>
      <w:r w:rsidR="008503B6" w:rsidRPr="00F0117E">
        <w:rPr>
          <w:lang w:val="uk-UA"/>
        </w:rPr>
        <w:t>Цоцорії</w:t>
      </w:r>
      <w:proofErr w:type="spellEnd"/>
      <w:r w:rsidR="00E81B07" w:rsidRPr="00F0117E">
        <w:rPr>
          <w:lang w:val="uk-UA"/>
        </w:rPr>
        <w:t xml:space="preserve">, </w:t>
      </w:r>
      <w:proofErr w:type="spellStart"/>
      <w:r w:rsidR="008503B6" w:rsidRPr="00F0117E">
        <w:rPr>
          <w:lang w:val="uk-UA"/>
        </w:rPr>
        <w:t>Пауло</w:t>
      </w:r>
      <w:proofErr w:type="spellEnd"/>
      <w:r w:rsidR="008503B6" w:rsidRPr="00F0117E">
        <w:rPr>
          <w:lang w:val="uk-UA"/>
        </w:rPr>
        <w:t xml:space="preserve"> Пінто де </w:t>
      </w:r>
      <w:proofErr w:type="spellStart"/>
      <w:r w:rsidR="008503B6" w:rsidRPr="00F0117E">
        <w:rPr>
          <w:lang w:val="uk-UA"/>
        </w:rPr>
        <w:t>Альбукерке</w:t>
      </w:r>
      <w:proofErr w:type="spellEnd"/>
      <w:r w:rsidR="00E81B07" w:rsidRPr="00F0117E">
        <w:rPr>
          <w:lang w:val="uk-UA"/>
        </w:rPr>
        <w:t xml:space="preserve">, </w:t>
      </w:r>
      <w:proofErr w:type="spellStart"/>
      <w:r w:rsidR="008503B6" w:rsidRPr="00F0117E">
        <w:rPr>
          <w:lang w:val="uk-UA"/>
        </w:rPr>
        <w:t>Егідіюса</w:t>
      </w:r>
      <w:proofErr w:type="spellEnd"/>
      <w:r w:rsidR="008503B6" w:rsidRPr="00F0117E">
        <w:rPr>
          <w:lang w:val="uk-UA"/>
        </w:rPr>
        <w:t xml:space="preserve"> </w:t>
      </w:r>
      <w:proofErr w:type="spellStart"/>
      <w:r w:rsidR="008503B6" w:rsidRPr="00F0117E">
        <w:rPr>
          <w:lang w:val="uk-UA"/>
        </w:rPr>
        <w:t>Куріса</w:t>
      </w:r>
      <w:proofErr w:type="spellEnd"/>
      <w:r w:rsidR="00E81B07" w:rsidRPr="00F0117E">
        <w:rPr>
          <w:lang w:val="uk-UA"/>
        </w:rPr>
        <w:t xml:space="preserve"> </w:t>
      </w:r>
      <w:r w:rsidR="008503B6" w:rsidRPr="00F0117E">
        <w:rPr>
          <w:lang w:val="uk-UA"/>
        </w:rPr>
        <w:t xml:space="preserve">та Юлії </w:t>
      </w:r>
      <w:proofErr w:type="spellStart"/>
      <w:r w:rsidR="008503B6" w:rsidRPr="00F0117E">
        <w:rPr>
          <w:lang w:val="uk-UA"/>
        </w:rPr>
        <w:t>Мотоц</w:t>
      </w:r>
      <w:proofErr w:type="spellEnd"/>
      <w:r w:rsidR="00E81B07" w:rsidRPr="00F0117E">
        <w:rPr>
          <w:lang w:val="uk-UA"/>
        </w:rPr>
        <w:t xml:space="preserve">, </w:t>
      </w:r>
      <w:r w:rsidR="008503B6" w:rsidRPr="00F0117E">
        <w:rPr>
          <w:lang w:val="uk-UA"/>
        </w:rPr>
        <w:t>суддів</w:t>
      </w:r>
      <w:r w:rsidR="00E81B07" w:rsidRPr="00F0117E">
        <w:rPr>
          <w:lang w:val="uk-UA"/>
        </w:rPr>
        <w:t xml:space="preserve">, </w:t>
      </w:r>
      <w:r w:rsidR="008503B6" w:rsidRPr="00F0117E">
        <w:rPr>
          <w:lang w:val="uk-UA"/>
        </w:rPr>
        <w:t xml:space="preserve">а також </w:t>
      </w:r>
      <w:proofErr w:type="spellStart"/>
      <w:r w:rsidR="008503B6" w:rsidRPr="00F0117E">
        <w:rPr>
          <w:lang w:val="uk-UA"/>
        </w:rPr>
        <w:t>Фатоша</w:t>
      </w:r>
      <w:proofErr w:type="spellEnd"/>
      <w:r w:rsidR="008503B6" w:rsidRPr="00F0117E">
        <w:rPr>
          <w:lang w:val="uk-UA"/>
        </w:rPr>
        <w:t xml:space="preserve"> </w:t>
      </w:r>
      <w:proofErr w:type="spellStart"/>
      <w:r w:rsidR="008503B6" w:rsidRPr="00F0117E">
        <w:rPr>
          <w:lang w:val="uk-UA"/>
        </w:rPr>
        <w:t>Арасі</w:t>
      </w:r>
      <w:proofErr w:type="spellEnd"/>
      <w:r w:rsidR="00E81B07" w:rsidRPr="00F0117E">
        <w:rPr>
          <w:lang w:val="uk-UA"/>
        </w:rPr>
        <w:t xml:space="preserve">, </w:t>
      </w:r>
      <w:r w:rsidR="008503B6" w:rsidRPr="00F0117E">
        <w:rPr>
          <w:lang w:val="uk-UA"/>
        </w:rPr>
        <w:t>заступника секретаря секції</w:t>
      </w:r>
      <w:r w:rsidR="00E81B07" w:rsidRPr="00F0117E">
        <w:rPr>
          <w:lang w:val="uk-UA"/>
        </w:rPr>
        <w:t xml:space="preserve">, </w:t>
      </w:r>
      <w:r w:rsidR="008503B6" w:rsidRPr="00F0117E">
        <w:rPr>
          <w:lang w:val="uk-UA"/>
        </w:rPr>
        <w:t>одноголосно проголосила скаргу стосовно</w:t>
      </w:r>
      <w:r w:rsidR="00E81B07" w:rsidRPr="00F0117E">
        <w:rPr>
          <w:lang w:val="uk-UA"/>
        </w:rPr>
        <w:t xml:space="preserve"> </w:t>
      </w:r>
      <w:r w:rsidR="008503B6" w:rsidRPr="00F0117E">
        <w:rPr>
          <w:lang w:val="uk-UA"/>
        </w:rPr>
        <w:t>8 Конвенції прийнятною,</w:t>
      </w:r>
      <w:r w:rsidR="00E81B07" w:rsidRPr="00F0117E">
        <w:rPr>
          <w:lang w:val="uk-UA"/>
        </w:rPr>
        <w:t xml:space="preserve"> </w:t>
      </w:r>
      <w:r w:rsidR="008503B6" w:rsidRPr="00F0117E">
        <w:rPr>
          <w:lang w:val="uk-UA"/>
        </w:rPr>
        <w:t>а решту заяви неприйнятною</w:t>
      </w:r>
      <w:r w:rsidR="00E81B07" w:rsidRPr="00F0117E">
        <w:rPr>
          <w:lang w:val="uk-UA"/>
        </w:rPr>
        <w:t xml:space="preserve">. </w:t>
      </w:r>
      <w:r w:rsidR="008503B6" w:rsidRPr="00F0117E">
        <w:rPr>
          <w:lang w:val="uk-UA"/>
        </w:rPr>
        <w:t>Вона постановила, шістьма голосами проти одного</w:t>
      </w:r>
      <w:r w:rsidR="00E81B07" w:rsidRPr="00F0117E">
        <w:rPr>
          <w:lang w:val="uk-UA"/>
        </w:rPr>
        <w:t xml:space="preserve">, </w:t>
      </w:r>
      <w:r w:rsidR="008503B6" w:rsidRPr="00F0117E">
        <w:rPr>
          <w:lang w:val="uk-UA"/>
        </w:rPr>
        <w:t>що не мало місця порушення статті 8 Конвенції</w:t>
      </w:r>
      <w:r w:rsidR="00E81B07" w:rsidRPr="00F0117E">
        <w:rPr>
          <w:lang w:val="uk-UA"/>
        </w:rPr>
        <w:t xml:space="preserve">. </w:t>
      </w:r>
      <w:r w:rsidR="008503B6" w:rsidRPr="00F0117E">
        <w:rPr>
          <w:lang w:val="uk-UA"/>
        </w:rPr>
        <w:t xml:space="preserve">Окрему думку судді Пінто де </w:t>
      </w:r>
      <w:proofErr w:type="spellStart"/>
      <w:r w:rsidR="008503B6" w:rsidRPr="00F0117E">
        <w:rPr>
          <w:lang w:val="uk-UA"/>
        </w:rPr>
        <w:t>Альбукерке</w:t>
      </w:r>
      <w:proofErr w:type="spellEnd"/>
      <w:r w:rsidR="008503B6" w:rsidRPr="00F0117E">
        <w:rPr>
          <w:lang w:val="uk-UA"/>
        </w:rPr>
        <w:t xml:space="preserve"> було додано до рішення Палати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5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8503B6" w:rsidRPr="00F0117E">
        <w:rPr>
          <w:lang w:val="uk-UA"/>
        </w:rPr>
        <w:t>12 квітня</w:t>
      </w:r>
      <w:r w:rsidR="00E81B07" w:rsidRPr="00F0117E">
        <w:rPr>
          <w:lang w:val="uk-UA"/>
        </w:rPr>
        <w:t xml:space="preserve"> 2016 </w:t>
      </w:r>
      <w:r w:rsidR="008503B6" w:rsidRPr="00F0117E">
        <w:rPr>
          <w:lang w:val="uk-UA"/>
        </w:rPr>
        <w:t>заявник просив відправити справу до Великої палати</w:t>
      </w:r>
      <w:r w:rsidR="00E81B07" w:rsidRPr="00F0117E">
        <w:rPr>
          <w:lang w:val="uk-UA"/>
        </w:rPr>
        <w:t xml:space="preserve"> </w:t>
      </w:r>
      <w:r w:rsidR="00C571EE" w:rsidRPr="00F0117E">
        <w:rPr>
          <w:lang w:val="uk-UA"/>
        </w:rPr>
        <w:t>відповідно до статті</w:t>
      </w:r>
      <w:r w:rsidR="00E81B07" w:rsidRPr="00F0117E">
        <w:rPr>
          <w:lang w:val="uk-UA"/>
        </w:rPr>
        <w:t xml:space="preserve"> 43 </w:t>
      </w:r>
      <w:r w:rsidR="00C571EE" w:rsidRPr="00F0117E">
        <w:rPr>
          <w:lang w:val="uk-UA"/>
        </w:rPr>
        <w:t>Конвенції та правила</w:t>
      </w:r>
      <w:r w:rsidR="00E81B07" w:rsidRPr="00F0117E">
        <w:rPr>
          <w:lang w:val="uk-UA"/>
        </w:rPr>
        <w:t xml:space="preserve"> 73. </w:t>
      </w:r>
      <w:r w:rsidR="00C571EE" w:rsidRPr="00F0117E">
        <w:rPr>
          <w:lang w:val="uk-UA"/>
        </w:rPr>
        <w:t>6 червня</w:t>
      </w:r>
      <w:r w:rsidR="00E81B07" w:rsidRPr="00F0117E">
        <w:rPr>
          <w:lang w:val="uk-UA"/>
        </w:rPr>
        <w:t xml:space="preserve"> 2016 </w:t>
      </w:r>
      <w:r w:rsidR="00292923" w:rsidRPr="00F0117E">
        <w:rPr>
          <w:lang w:val="uk-UA"/>
        </w:rPr>
        <w:t>комісія</w:t>
      </w:r>
      <w:r w:rsidR="00C571EE" w:rsidRPr="00F0117E">
        <w:rPr>
          <w:lang w:val="uk-UA"/>
        </w:rPr>
        <w:t xml:space="preserve"> Великої </w:t>
      </w:r>
      <w:r w:rsidR="00E412DC" w:rsidRPr="00F0117E">
        <w:rPr>
          <w:lang w:val="uk-UA"/>
        </w:rPr>
        <w:t>П</w:t>
      </w:r>
      <w:r w:rsidR="00C571EE" w:rsidRPr="00F0117E">
        <w:rPr>
          <w:lang w:val="uk-UA"/>
        </w:rPr>
        <w:t>алати прийняла його запит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6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C571EE" w:rsidRPr="00F0117E">
        <w:rPr>
          <w:lang w:val="uk-UA"/>
        </w:rPr>
        <w:t>Склад Великої палати був визначений</w:t>
      </w:r>
      <w:r w:rsidR="00E81B07" w:rsidRPr="00F0117E">
        <w:rPr>
          <w:lang w:val="uk-UA"/>
        </w:rPr>
        <w:t xml:space="preserve"> </w:t>
      </w:r>
      <w:r w:rsidR="00C571EE" w:rsidRPr="00F0117E">
        <w:rPr>
          <w:lang w:val="uk-UA"/>
        </w:rPr>
        <w:t>відповідно до статті</w:t>
      </w:r>
      <w:r w:rsidR="00E81B07" w:rsidRPr="00F0117E">
        <w:rPr>
          <w:lang w:val="uk-UA"/>
        </w:rPr>
        <w:t xml:space="preserve"> 26 §§ 4 </w:t>
      </w:r>
      <w:r w:rsidR="00C571EE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5 </w:t>
      </w:r>
      <w:r w:rsidR="00C571EE" w:rsidRPr="00F0117E">
        <w:rPr>
          <w:lang w:val="uk-UA"/>
        </w:rPr>
        <w:t>Конвенції та правила</w:t>
      </w:r>
      <w:r w:rsidR="00E81B07" w:rsidRPr="00F0117E">
        <w:rPr>
          <w:lang w:val="uk-UA"/>
        </w:rPr>
        <w:t xml:space="preserve"> 24. </w:t>
      </w:r>
      <w:r w:rsidR="00C571EE" w:rsidRPr="00F0117E">
        <w:rPr>
          <w:lang w:val="uk-UA"/>
        </w:rPr>
        <w:t xml:space="preserve">Юлія </w:t>
      </w:r>
      <w:proofErr w:type="spellStart"/>
      <w:r w:rsidR="00C571EE" w:rsidRPr="00F0117E">
        <w:rPr>
          <w:lang w:val="uk-UA"/>
        </w:rPr>
        <w:t>Мотоц</w:t>
      </w:r>
      <w:proofErr w:type="spellEnd"/>
      <w:r w:rsidR="00E81B07" w:rsidRPr="00F0117E">
        <w:rPr>
          <w:lang w:val="uk-UA"/>
        </w:rPr>
        <w:t xml:space="preserve">, </w:t>
      </w:r>
      <w:r w:rsidR="00C571EE" w:rsidRPr="00F0117E">
        <w:rPr>
          <w:lang w:val="uk-UA"/>
        </w:rPr>
        <w:t xml:space="preserve">суддя, обрана </w:t>
      </w:r>
      <w:r w:rsidR="00AC6FF5" w:rsidRPr="00F0117E">
        <w:rPr>
          <w:lang w:val="uk-UA"/>
        </w:rPr>
        <w:t xml:space="preserve">від </w:t>
      </w:r>
      <w:r w:rsidR="00C571EE" w:rsidRPr="00F0117E">
        <w:rPr>
          <w:lang w:val="uk-UA"/>
        </w:rPr>
        <w:t>Румунії</w:t>
      </w:r>
      <w:r w:rsidR="00E81B07" w:rsidRPr="00F0117E">
        <w:rPr>
          <w:lang w:val="uk-UA"/>
        </w:rPr>
        <w:t xml:space="preserve">, </w:t>
      </w:r>
      <w:r w:rsidR="00C571EE" w:rsidRPr="00F0117E">
        <w:rPr>
          <w:lang w:val="uk-UA"/>
        </w:rPr>
        <w:t>відмовилася від засідання у справі</w:t>
      </w:r>
      <w:r w:rsidR="00E81B07" w:rsidRPr="00F0117E">
        <w:rPr>
          <w:lang w:val="uk-UA"/>
        </w:rPr>
        <w:t xml:space="preserve"> (</w:t>
      </w:r>
      <w:r w:rsidR="00C571EE" w:rsidRPr="00F0117E">
        <w:rPr>
          <w:lang w:val="uk-UA"/>
        </w:rPr>
        <w:t>правило</w:t>
      </w:r>
      <w:r w:rsidR="00E81B07" w:rsidRPr="00F0117E">
        <w:rPr>
          <w:lang w:val="uk-UA"/>
        </w:rPr>
        <w:t xml:space="preserve"> 28). </w:t>
      </w:r>
      <w:r w:rsidR="00D1353F" w:rsidRPr="00F0117E">
        <w:rPr>
          <w:lang w:val="uk-UA"/>
        </w:rPr>
        <w:t>З</w:t>
      </w:r>
      <w:r w:rsidR="0069506A" w:rsidRPr="00F0117E">
        <w:rPr>
          <w:lang w:val="uk-UA"/>
        </w:rPr>
        <w:t xml:space="preserve">годом Луїс Лопес </w:t>
      </w:r>
      <w:proofErr w:type="spellStart"/>
      <w:r w:rsidR="0069506A" w:rsidRPr="00F0117E">
        <w:rPr>
          <w:lang w:val="uk-UA"/>
        </w:rPr>
        <w:t>Герра</w:t>
      </w:r>
      <w:proofErr w:type="spellEnd"/>
      <w:r w:rsidR="0069506A" w:rsidRPr="00F0117E">
        <w:rPr>
          <w:lang w:val="uk-UA"/>
        </w:rPr>
        <w:t xml:space="preserve"> був призначений</w:t>
      </w:r>
      <w:r w:rsidR="00E81B07" w:rsidRPr="00F0117E">
        <w:rPr>
          <w:lang w:val="uk-UA"/>
        </w:rPr>
        <w:t xml:space="preserve"> </w:t>
      </w:r>
      <w:r w:rsidR="0069506A" w:rsidRPr="00F0117E">
        <w:rPr>
          <w:lang w:val="uk-UA"/>
        </w:rPr>
        <w:t>головуючим у якості</w:t>
      </w:r>
      <w:r w:rsidR="00E81B07" w:rsidRPr="00F0117E">
        <w:rPr>
          <w:lang w:val="uk-UA"/>
        </w:rPr>
        <w:t xml:space="preserve"> </w:t>
      </w:r>
      <w:r w:rsidR="00D1353F" w:rsidRPr="00F0117E">
        <w:rPr>
          <w:lang w:val="uk-UA"/>
        </w:rPr>
        <w:t xml:space="preserve">судді </w:t>
      </w:r>
      <w:proofErr w:type="spellStart"/>
      <w:r w:rsidR="00E81B07" w:rsidRPr="00F0117E">
        <w:rPr>
          <w:i/>
          <w:lang w:val="uk-UA"/>
        </w:rPr>
        <w:t>ad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hoc</w:t>
      </w:r>
      <w:proofErr w:type="spellEnd"/>
      <w:r w:rsidR="00E81B07" w:rsidRPr="00F0117E">
        <w:rPr>
          <w:lang w:val="uk-UA"/>
        </w:rPr>
        <w:t xml:space="preserve"> (</w:t>
      </w:r>
      <w:r w:rsidR="0069506A" w:rsidRPr="00F0117E">
        <w:rPr>
          <w:lang w:val="uk-UA"/>
        </w:rPr>
        <w:t>стаття</w:t>
      </w:r>
      <w:r w:rsidR="00E81B07" w:rsidRPr="00F0117E">
        <w:rPr>
          <w:lang w:val="uk-UA"/>
        </w:rPr>
        <w:t xml:space="preserve"> 26 § 4 </w:t>
      </w:r>
      <w:r w:rsidR="0069506A" w:rsidRPr="00F0117E">
        <w:rPr>
          <w:lang w:val="uk-UA"/>
        </w:rPr>
        <w:t>Конвенції та правило</w:t>
      </w:r>
      <w:r w:rsidR="00E81B07" w:rsidRPr="00F0117E">
        <w:rPr>
          <w:lang w:val="uk-UA"/>
        </w:rPr>
        <w:t xml:space="preserve"> 29 § 1).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7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69506A" w:rsidRPr="00F0117E">
        <w:rPr>
          <w:lang w:val="uk-UA"/>
        </w:rPr>
        <w:t>Заявник та Уряд подали подальші письмові зауваження</w:t>
      </w:r>
      <w:r w:rsidR="00E81B07" w:rsidRPr="00F0117E">
        <w:rPr>
          <w:lang w:val="uk-UA"/>
        </w:rPr>
        <w:t xml:space="preserve"> (</w:t>
      </w:r>
      <w:r w:rsidR="0069506A" w:rsidRPr="00F0117E">
        <w:rPr>
          <w:lang w:val="uk-UA"/>
        </w:rPr>
        <w:t>Правило</w:t>
      </w:r>
      <w:r w:rsidR="00E81B07" w:rsidRPr="00F0117E">
        <w:rPr>
          <w:lang w:val="uk-UA"/>
        </w:rPr>
        <w:t xml:space="preserve"> 59 § 1).</w:t>
      </w:r>
    </w:p>
    <w:p w:rsidR="00E36F4C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8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69506A" w:rsidRPr="00F0117E">
        <w:rPr>
          <w:lang w:val="uk-UA"/>
        </w:rPr>
        <w:t>На додаток до цього, зауваження третьої сторони</w:t>
      </w:r>
      <w:r w:rsidR="00E81B07" w:rsidRPr="00F0117E">
        <w:rPr>
          <w:lang w:val="uk-UA"/>
        </w:rPr>
        <w:t xml:space="preserve"> </w:t>
      </w:r>
      <w:r w:rsidR="0069506A" w:rsidRPr="00F0117E">
        <w:rPr>
          <w:lang w:val="uk-UA"/>
        </w:rPr>
        <w:t>були отримані від уряду Франції</w:t>
      </w:r>
      <w:r w:rsidR="00E81B07" w:rsidRPr="00F0117E">
        <w:rPr>
          <w:lang w:val="uk-UA"/>
        </w:rPr>
        <w:t xml:space="preserve"> </w:t>
      </w:r>
      <w:r w:rsidR="0069506A" w:rsidRPr="00F0117E">
        <w:rPr>
          <w:lang w:val="uk-UA"/>
        </w:rPr>
        <w:t>та Європейської конфедерації профспілок</w:t>
      </w:r>
      <w:r w:rsidR="00271A34" w:rsidRPr="00F0117E">
        <w:rPr>
          <w:lang w:val="uk-UA"/>
        </w:rPr>
        <w:t>;</w:t>
      </w:r>
      <w:r w:rsidR="00E81B07" w:rsidRPr="00F0117E">
        <w:rPr>
          <w:lang w:val="uk-UA"/>
        </w:rPr>
        <w:t xml:space="preserve"> </w:t>
      </w:r>
      <w:r w:rsidR="0069506A" w:rsidRPr="00F0117E">
        <w:rPr>
          <w:lang w:val="uk-UA"/>
        </w:rPr>
        <w:t xml:space="preserve">головуючий дозволив обом сторонам </w:t>
      </w:r>
      <w:r w:rsidR="00934150">
        <w:rPr>
          <w:lang w:val="uk-UA"/>
        </w:rPr>
        <w:t>взяти</w:t>
      </w:r>
      <w:r w:rsidR="0069506A" w:rsidRPr="00F0117E">
        <w:rPr>
          <w:lang w:val="uk-UA"/>
        </w:rPr>
        <w:t xml:space="preserve"> участь</w:t>
      </w:r>
      <w:r w:rsidR="00E81B07" w:rsidRPr="00F0117E">
        <w:rPr>
          <w:lang w:val="uk-UA"/>
        </w:rPr>
        <w:t xml:space="preserve"> </w:t>
      </w:r>
      <w:r w:rsidR="0069506A" w:rsidRPr="00F0117E">
        <w:rPr>
          <w:lang w:val="uk-UA"/>
        </w:rPr>
        <w:t>у письмовій процедурі</w:t>
      </w:r>
      <w:r w:rsidR="00E81B07" w:rsidRPr="00F0117E">
        <w:rPr>
          <w:lang w:val="uk-UA"/>
        </w:rPr>
        <w:t xml:space="preserve"> (</w:t>
      </w:r>
      <w:r w:rsidR="0069506A" w:rsidRPr="00F0117E">
        <w:rPr>
          <w:lang w:val="uk-UA"/>
        </w:rPr>
        <w:t>стаття</w:t>
      </w:r>
      <w:r w:rsidR="00E81B07" w:rsidRPr="00F0117E">
        <w:rPr>
          <w:lang w:val="uk-UA"/>
        </w:rPr>
        <w:t xml:space="preserve"> 36 § 2 </w:t>
      </w:r>
      <w:r w:rsidR="0069506A" w:rsidRPr="00F0117E">
        <w:rPr>
          <w:lang w:val="uk-UA"/>
        </w:rPr>
        <w:t>Конвенції та правило</w:t>
      </w:r>
      <w:r w:rsidR="00E81B07" w:rsidRPr="00F0117E">
        <w:rPr>
          <w:lang w:val="uk-UA"/>
        </w:rPr>
        <w:t xml:space="preserve"> 44 § 3).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9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69506A" w:rsidRPr="00F0117E">
        <w:rPr>
          <w:lang w:val="uk-UA"/>
        </w:rPr>
        <w:t>Слухання відбулося у відкритому порядку</w:t>
      </w:r>
      <w:r w:rsidR="00E81B07" w:rsidRPr="00F0117E">
        <w:rPr>
          <w:lang w:val="uk-UA"/>
        </w:rPr>
        <w:t xml:space="preserve"> </w:t>
      </w:r>
      <w:r w:rsidR="0069506A" w:rsidRPr="00F0117E">
        <w:rPr>
          <w:lang w:val="uk-UA"/>
        </w:rPr>
        <w:t>у Будинку прав людини</w:t>
      </w:r>
      <w:r w:rsidR="00E81B07" w:rsidRPr="00F0117E">
        <w:rPr>
          <w:lang w:val="uk-UA"/>
        </w:rPr>
        <w:t xml:space="preserve">, </w:t>
      </w:r>
      <w:r w:rsidR="0069506A" w:rsidRPr="00F0117E">
        <w:rPr>
          <w:lang w:val="uk-UA"/>
        </w:rPr>
        <w:t>Страсбург</w:t>
      </w:r>
      <w:r w:rsidR="00E81B07" w:rsidRPr="00F0117E">
        <w:rPr>
          <w:lang w:val="uk-UA"/>
        </w:rPr>
        <w:t xml:space="preserve">, </w:t>
      </w:r>
      <w:r w:rsidR="0069506A" w:rsidRPr="00F0117E">
        <w:rPr>
          <w:lang w:val="uk-UA"/>
        </w:rPr>
        <w:t>30 листопада</w:t>
      </w:r>
      <w:r w:rsidR="00E81B07" w:rsidRPr="00F0117E">
        <w:rPr>
          <w:lang w:val="uk-UA"/>
        </w:rPr>
        <w:t xml:space="preserve"> 2016</w:t>
      </w:r>
      <w:r w:rsidR="0069506A" w:rsidRPr="00F0117E">
        <w:rPr>
          <w:lang w:val="uk-UA"/>
        </w:rPr>
        <w:t xml:space="preserve"> року</w:t>
      </w:r>
      <w:r w:rsidR="00E81B07" w:rsidRPr="00F0117E">
        <w:rPr>
          <w:lang w:val="uk-UA"/>
        </w:rPr>
        <w:t xml:space="preserve"> (</w:t>
      </w:r>
      <w:r w:rsidR="0069506A" w:rsidRPr="00F0117E">
        <w:rPr>
          <w:lang w:val="uk-UA"/>
        </w:rPr>
        <w:t>правило</w:t>
      </w:r>
      <w:r w:rsidR="00E81B07" w:rsidRPr="00F0117E">
        <w:rPr>
          <w:lang w:val="uk-UA"/>
        </w:rPr>
        <w:t xml:space="preserve"> 59 § 3).</w:t>
      </w:r>
    </w:p>
    <w:p w:rsidR="00E81B07" w:rsidRPr="00F0117E" w:rsidRDefault="0069506A" w:rsidP="008B2B31">
      <w:pPr>
        <w:pStyle w:val="ECHRPara"/>
        <w:rPr>
          <w:lang w:val="uk-UA"/>
        </w:rPr>
      </w:pPr>
      <w:r w:rsidRPr="00F0117E">
        <w:rPr>
          <w:lang w:val="uk-UA"/>
        </w:rPr>
        <w:t>До Суду з’явилися</w:t>
      </w:r>
      <w:r w:rsidR="00E81B07" w:rsidRPr="00F0117E">
        <w:rPr>
          <w:lang w:val="uk-UA"/>
        </w:rPr>
        <w:t>:</w:t>
      </w:r>
    </w:p>
    <w:p w:rsidR="00E81B07" w:rsidRPr="00F0117E" w:rsidRDefault="00E81B07" w:rsidP="008B2B31">
      <w:pPr>
        <w:pStyle w:val="JuCourt"/>
        <w:keepLines/>
        <w:rPr>
          <w:lang w:val="uk-UA"/>
        </w:rPr>
      </w:pPr>
      <w:r w:rsidRPr="00F0117E">
        <w:rPr>
          <w:lang w:val="uk-UA"/>
        </w:rPr>
        <w:t>(a)</w:t>
      </w:r>
      <w:r w:rsidR="00FA6D4F" w:rsidRPr="00F0117E">
        <w:rPr>
          <w:lang w:val="uk-UA"/>
        </w:rPr>
        <w:t xml:space="preserve"> </w:t>
      </w:r>
      <w:r w:rsidR="0069506A" w:rsidRPr="00F0117E">
        <w:rPr>
          <w:i/>
          <w:lang w:val="uk-UA"/>
        </w:rPr>
        <w:t>з боку Уряду</w:t>
      </w:r>
      <w:r w:rsidRPr="00F0117E">
        <w:rPr>
          <w:lang w:val="uk-UA"/>
        </w:rPr>
        <w:br/>
      </w:r>
      <w:r w:rsidR="005525CC" w:rsidRPr="00F0117E">
        <w:rPr>
          <w:lang w:val="uk-UA"/>
        </w:rPr>
        <w:t>Пані</w:t>
      </w:r>
      <w:r w:rsidRPr="00F0117E">
        <w:rPr>
          <w:lang w:val="uk-UA"/>
        </w:rPr>
        <w:tab/>
      </w:r>
      <w:r w:rsidR="005525CC" w:rsidRPr="00F0117E">
        <w:rPr>
          <w:lang w:val="uk-UA"/>
        </w:rPr>
        <w:t xml:space="preserve"> </w:t>
      </w:r>
      <w:r w:rsidRPr="00F0117E">
        <w:rPr>
          <w:smallCaps/>
          <w:lang w:val="uk-UA"/>
        </w:rPr>
        <w:t xml:space="preserve">C. </w:t>
      </w:r>
      <w:proofErr w:type="spellStart"/>
      <w:r w:rsidR="005525CC" w:rsidRPr="00F0117E">
        <w:rPr>
          <w:rStyle w:val="JUNAMES"/>
          <w:lang w:val="uk-UA"/>
        </w:rPr>
        <w:t>Брумар</w:t>
      </w:r>
      <w:proofErr w:type="spellEnd"/>
      <w:r w:rsidRPr="00F0117E">
        <w:rPr>
          <w:lang w:val="uk-UA"/>
        </w:rPr>
        <w:t xml:space="preserve">, </w:t>
      </w:r>
      <w:r w:rsidRPr="00F0117E">
        <w:rPr>
          <w:lang w:val="uk-UA"/>
        </w:rPr>
        <w:tab/>
      </w:r>
      <w:r w:rsidR="005525CC" w:rsidRPr="00F0117E">
        <w:rPr>
          <w:i/>
          <w:lang w:val="uk-UA"/>
        </w:rPr>
        <w:t>Уповноважена</w:t>
      </w:r>
      <w:r w:rsidRPr="00F0117E">
        <w:rPr>
          <w:lang w:val="uk-UA"/>
        </w:rPr>
        <w:t>,</w:t>
      </w:r>
      <w:r w:rsidRPr="00F0117E">
        <w:rPr>
          <w:lang w:val="uk-UA"/>
        </w:rPr>
        <w:br/>
      </w:r>
      <w:r w:rsidR="005525CC" w:rsidRPr="00F0117E">
        <w:rPr>
          <w:lang w:val="uk-UA"/>
        </w:rPr>
        <w:t>Пан</w:t>
      </w:r>
      <w:r w:rsidRPr="00F0117E">
        <w:rPr>
          <w:lang w:val="uk-UA"/>
        </w:rPr>
        <w:tab/>
      </w:r>
      <w:r w:rsidR="005525CC" w:rsidRPr="00F0117E">
        <w:rPr>
          <w:lang w:val="uk-UA"/>
        </w:rPr>
        <w:t>Г.В</w:t>
      </w:r>
      <w:r w:rsidRPr="00F0117E">
        <w:rPr>
          <w:lang w:val="uk-UA"/>
        </w:rPr>
        <w:t xml:space="preserve">. </w:t>
      </w:r>
      <w:r w:rsidR="005525CC" w:rsidRPr="00F0117E">
        <w:rPr>
          <w:rStyle w:val="JUNAMES"/>
          <w:lang w:val="uk-UA"/>
        </w:rPr>
        <w:t>Гаврила</w:t>
      </w:r>
      <w:r w:rsidRPr="00F0117E">
        <w:rPr>
          <w:lang w:val="uk-UA"/>
        </w:rPr>
        <w:t xml:space="preserve">, </w:t>
      </w:r>
      <w:r w:rsidR="005525CC" w:rsidRPr="00F0117E">
        <w:rPr>
          <w:lang w:val="uk-UA"/>
        </w:rPr>
        <w:t>член національної юридичної служби,</w:t>
      </w:r>
      <w:r w:rsidRPr="00F0117E">
        <w:rPr>
          <w:lang w:val="uk-UA"/>
        </w:rPr>
        <w:t xml:space="preserve"> </w:t>
      </w:r>
      <w:r w:rsidR="00C57DDD" w:rsidRPr="00F0117E">
        <w:rPr>
          <w:lang w:val="uk-UA"/>
        </w:rPr>
        <w:br/>
      </w:r>
      <w:r w:rsidR="005525CC" w:rsidRPr="00F0117E">
        <w:rPr>
          <w:lang w:val="uk-UA"/>
        </w:rPr>
        <w:t>відряджений до Управління Уповноваженого Уряду</w:t>
      </w:r>
      <w:r w:rsidRPr="00F0117E">
        <w:rPr>
          <w:lang w:val="uk-UA"/>
        </w:rPr>
        <w:t>,</w:t>
      </w:r>
      <w:r w:rsidRPr="00F0117E">
        <w:rPr>
          <w:lang w:val="uk-UA"/>
        </w:rPr>
        <w:tab/>
      </w:r>
      <w:r w:rsidR="005525CC" w:rsidRPr="00F0117E">
        <w:rPr>
          <w:i/>
          <w:lang w:val="uk-UA"/>
        </w:rPr>
        <w:t>адвокат</w:t>
      </w:r>
      <w:r w:rsidRPr="00F0117E">
        <w:rPr>
          <w:lang w:val="uk-UA"/>
        </w:rPr>
        <w:t>,</w:t>
      </w:r>
      <w:r w:rsidRPr="00F0117E">
        <w:rPr>
          <w:lang w:val="uk-UA"/>
        </w:rPr>
        <w:br/>
      </w:r>
      <w:r w:rsidR="005525CC" w:rsidRPr="00F0117E">
        <w:rPr>
          <w:lang w:val="uk-UA"/>
        </w:rPr>
        <w:t>Пані</w:t>
      </w:r>
      <w:r w:rsidRPr="00F0117E">
        <w:rPr>
          <w:lang w:val="uk-UA"/>
        </w:rPr>
        <w:tab/>
      </w:r>
      <w:r w:rsidR="005525CC" w:rsidRPr="00F0117E">
        <w:rPr>
          <w:lang w:val="uk-UA"/>
        </w:rPr>
        <w:t xml:space="preserve"> Л.А</w:t>
      </w:r>
      <w:r w:rsidRPr="00F0117E">
        <w:rPr>
          <w:lang w:val="uk-UA"/>
        </w:rPr>
        <w:t xml:space="preserve">. </w:t>
      </w:r>
      <w:r w:rsidR="005525CC" w:rsidRPr="00F0117E">
        <w:rPr>
          <w:rStyle w:val="JUNAMES"/>
          <w:lang w:val="uk-UA"/>
        </w:rPr>
        <w:t>Русу</w:t>
      </w:r>
      <w:r w:rsidRPr="00F0117E">
        <w:rPr>
          <w:lang w:val="uk-UA"/>
        </w:rPr>
        <w:t xml:space="preserve">, </w:t>
      </w:r>
      <w:r w:rsidR="005525CC" w:rsidRPr="00F0117E">
        <w:rPr>
          <w:lang w:val="uk-UA"/>
        </w:rPr>
        <w:t>повноважний міністр</w:t>
      </w:r>
      <w:r w:rsidRPr="00F0117E">
        <w:rPr>
          <w:lang w:val="uk-UA"/>
        </w:rPr>
        <w:t xml:space="preserve">, </w:t>
      </w:r>
      <w:r w:rsidR="005525CC" w:rsidRPr="00F0117E">
        <w:rPr>
          <w:lang w:val="uk-UA"/>
        </w:rPr>
        <w:t>постійний</w:t>
      </w:r>
      <w:r w:rsidRPr="00F0117E">
        <w:rPr>
          <w:lang w:val="uk-UA"/>
        </w:rPr>
        <w:t xml:space="preserve"> </w:t>
      </w:r>
      <w:r w:rsidR="00C57DDD" w:rsidRPr="00F0117E">
        <w:rPr>
          <w:lang w:val="uk-UA"/>
        </w:rPr>
        <w:br/>
      </w:r>
      <w:r w:rsidR="005525CC" w:rsidRPr="00F0117E">
        <w:rPr>
          <w:lang w:val="uk-UA"/>
        </w:rPr>
        <w:t>представник Румунії в Раді Європи</w:t>
      </w:r>
      <w:r w:rsidRPr="00F0117E">
        <w:rPr>
          <w:lang w:val="uk-UA"/>
        </w:rPr>
        <w:t>,</w:t>
      </w:r>
      <w:r w:rsidRPr="00F0117E">
        <w:rPr>
          <w:lang w:val="uk-UA"/>
        </w:rPr>
        <w:tab/>
      </w:r>
      <w:r w:rsidR="005525CC" w:rsidRPr="00F0117E">
        <w:rPr>
          <w:i/>
          <w:lang w:val="uk-UA"/>
        </w:rPr>
        <w:t>радник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Court"/>
        <w:keepLines/>
        <w:rPr>
          <w:lang w:val="uk-UA"/>
        </w:rPr>
      </w:pPr>
      <w:r w:rsidRPr="00F0117E">
        <w:rPr>
          <w:lang w:val="uk-UA"/>
        </w:rPr>
        <w:t>(b)</w:t>
      </w:r>
      <w:r w:rsidR="00FA6D4F" w:rsidRPr="00F0117E">
        <w:rPr>
          <w:lang w:val="uk-UA"/>
        </w:rPr>
        <w:t xml:space="preserve"> </w:t>
      </w:r>
      <w:r w:rsidR="005525CC" w:rsidRPr="00F0117E">
        <w:rPr>
          <w:i/>
          <w:lang w:val="uk-UA"/>
        </w:rPr>
        <w:t>з боку заявника</w:t>
      </w:r>
      <w:r w:rsidRPr="00F0117E">
        <w:rPr>
          <w:lang w:val="uk-UA"/>
        </w:rPr>
        <w:br/>
      </w:r>
      <w:r w:rsidR="005525CC" w:rsidRPr="00F0117E">
        <w:rPr>
          <w:lang w:val="uk-UA"/>
        </w:rPr>
        <w:t>Пан</w:t>
      </w:r>
      <w:r w:rsidRPr="00F0117E">
        <w:rPr>
          <w:lang w:val="uk-UA"/>
        </w:rPr>
        <w:tab/>
        <w:t xml:space="preserve">E. </w:t>
      </w:r>
      <w:proofErr w:type="spellStart"/>
      <w:r w:rsidR="005525CC" w:rsidRPr="00F0117E">
        <w:rPr>
          <w:rStyle w:val="JUNAMES"/>
          <w:lang w:val="uk-UA"/>
        </w:rPr>
        <w:t>Домокос-Ханку</w:t>
      </w:r>
      <w:proofErr w:type="spellEnd"/>
      <w:r w:rsidRPr="00F0117E">
        <w:rPr>
          <w:lang w:val="uk-UA"/>
        </w:rPr>
        <w:t xml:space="preserve">, </w:t>
      </w:r>
      <w:r w:rsidRPr="00F0117E">
        <w:rPr>
          <w:lang w:val="uk-UA"/>
        </w:rPr>
        <w:br/>
      </w:r>
      <w:r w:rsidR="005525CC" w:rsidRPr="00F0117E">
        <w:rPr>
          <w:lang w:val="uk-UA"/>
        </w:rPr>
        <w:t>Пан</w:t>
      </w:r>
      <w:r w:rsidRPr="00F0117E">
        <w:rPr>
          <w:lang w:val="uk-UA"/>
        </w:rPr>
        <w:tab/>
        <w:t xml:space="preserve">O. </w:t>
      </w:r>
      <w:proofErr w:type="spellStart"/>
      <w:r w:rsidR="005525CC" w:rsidRPr="00F0117E">
        <w:rPr>
          <w:rStyle w:val="JUNAMES"/>
          <w:lang w:val="uk-UA"/>
        </w:rPr>
        <w:t>Ювердеану</w:t>
      </w:r>
      <w:proofErr w:type="spellEnd"/>
      <w:r w:rsidRPr="00F0117E">
        <w:rPr>
          <w:lang w:val="uk-UA"/>
        </w:rPr>
        <w:t xml:space="preserve">, </w:t>
      </w:r>
      <w:r w:rsidRPr="00F0117E">
        <w:rPr>
          <w:lang w:val="uk-UA"/>
        </w:rPr>
        <w:tab/>
      </w:r>
      <w:r w:rsidR="005525CC" w:rsidRPr="00F0117E">
        <w:rPr>
          <w:i/>
          <w:lang w:val="uk-UA"/>
        </w:rPr>
        <w:t>адвокати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"/>
        <w:rPr>
          <w:lang w:val="uk-UA"/>
        </w:rPr>
      </w:pPr>
    </w:p>
    <w:p w:rsidR="00E81B07" w:rsidRPr="00F0117E" w:rsidRDefault="005525CC" w:rsidP="008B2B31">
      <w:pPr>
        <w:pStyle w:val="ECHRPara"/>
        <w:rPr>
          <w:lang w:val="uk-UA"/>
        </w:rPr>
      </w:pPr>
      <w:r w:rsidRPr="00F0117E">
        <w:rPr>
          <w:lang w:val="uk-UA"/>
        </w:rPr>
        <w:t xml:space="preserve">Суд вислухав звернення пана </w:t>
      </w:r>
      <w:proofErr w:type="spellStart"/>
      <w:r w:rsidRPr="00F0117E">
        <w:rPr>
          <w:lang w:val="uk-UA"/>
        </w:rPr>
        <w:t>Домокоса-Ханку</w:t>
      </w:r>
      <w:proofErr w:type="spellEnd"/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 xml:space="preserve">пана </w:t>
      </w:r>
      <w:proofErr w:type="spellStart"/>
      <w:r w:rsidRPr="00F0117E">
        <w:rPr>
          <w:lang w:val="uk-UA"/>
        </w:rPr>
        <w:t>Ювердеану</w:t>
      </w:r>
      <w:proofErr w:type="spellEnd"/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 xml:space="preserve">пані </w:t>
      </w:r>
      <w:proofErr w:type="spellStart"/>
      <w:r w:rsidRPr="00F0117E">
        <w:rPr>
          <w:lang w:val="uk-UA"/>
        </w:rPr>
        <w:t>Брумар</w:t>
      </w:r>
      <w:proofErr w:type="spellEnd"/>
      <w:r w:rsidRPr="00F0117E">
        <w:rPr>
          <w:lang w:val="uk-UA"/>
        </w:rPr>
        <w:t xml:space="preserve"> та пана </w:t>
      </w:r>
      <w:proofErr w:type="spellStart"/>
      <w:r w:rsidRPr="00F0117E">
        <w:rPr>
          <w:lang w:val="uk-UA"/>
        </w:rPr>
        <w:t>Гаврили</w:t>
      </w:r>
      <w:proofErr w:type="spellEnd"/>
      <w:r w:rsidR="00E81B07" w:rsidRPr="00F0117E">
        <w:rPr>
          <w:rFonts w:cstheme="minorHAnsi"/>
          <w:lang w:val="uk-UA"/>
        </w:rPr>
        <w:t>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і також їх відповіді на запитання суддів</w:t>
      </w:r>
      <w:r w:rsidR="00E81B07" w:rsidRPr="00F0117E">
        <w:rPr>
          <w:lang w:val="uk-UA"/>
        </w:rPr>
        <w:t>.</w:t>
      </w:r>
    </w:p>
    <w:p w:rsidR="00E81B07" w:rsidRPr="00F0117E" w:rsidRDefault="005B65F5" w:rsidP="008B2B31">
      <w:pPr>
        <w:pStyle w:val="ECHRTitle1"/>
        <w:rPr>
          <w:lang w:val="uk-UA"/>
        </w:rPr>
      </w:pPr>
      <w:r w:rsidRPr="00F0117E">
        <w:rPr>
          <w:lang w:val="uk-UA"/>
        </w:rPr>
        <w:lastRenderedPageBreak/>
        <w:t>ФАКТИ</w:t>
      </w:r>
    </w:p>
    <w:p w:rsidR="00E81B07" w:rsidRPr="00F0117E" w:rsidRDefault="00E81B07" w:rsidP="008B2B31">
      <w:pPr>
        <w:pStyle w:val="ECHRHeading1"/>
        <w:rPr>
          <w:lang w:val="uk-UA"/>
        </w:rPr>
      </w:pPr>
      <w:r w:rsidRPr="00F0117E">
        <w:rPr>
          <w:lang w:val="uk-UA"/>
        </w:rPr>
        <w:t>I.</w:t>
      </w:r>
      <w:r w:rsidR="00FA6D4F" w:rsidRPr="00F0117E">
        <w:rPr>
          <w:lang w:val="uk-UA"/>
        </w:rPr>
        <w:t xml:space="preserve"> </w:t>
      </w:r>
      <w:r w:rsidR="005B65F5" w:rsidRPr="00F0117E">
        <w:rPr>
          <w:lang w:val="uk-UA"/>
        </w:rPr>
        <w:t>ОБСТАВИНИ СПРАВИ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10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B65F5" w:rsidRPr="00F0117E">
        <w:rPr>
          <w:lang w:val="uk-UA"/>
        </w:rPr>
        <w:t>Заявник народився у</w:t>
      </w:r>
      <w:r w:rsidR="00E81B07" w:rsidRPr="00F0117E">
        <w:rPr>
          <w:lang w:val="uk-UA"/>
        </w:rPr>
        <w:t xml:space="preserve"> 1979 </w:t>
      </w:r>
      <w:r w:rsidR="005B65F5" w:rsidRPr="00F0117E">
        <w:rPr>
          <w:lang w:val="uk-UA"/>
        </w:rPr>
        <w:t>році та проживає в Бухаресті</w:t>
      </w:r>
      <w:r w:rsidR="00E81B07" w:rsidRPr="00F0117E">
        <w:rPr>
          <w:lang w:val="uk-UA"/>
        </w:rPr>
        <w:t>.</w:t>
      </w:r>
    </w:p>
    <w:bookmarkStart w:id="0" w:name="account_setup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11</w:t>
      </w:r>
      <w:r w:rsidRPr="00F0117E">
        <w:rPr>
          <w:lang w:val="uk-UA"/>
        </w:rPr>
        <w:fldChar w:fldCharType="end"/>
      </w:r>
      <w:bookmarkEnd w:id="0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B65F5" w:rsidRPr="00F0117E">
        <w:rPr>
          <w:lang w:val="uk-UA"/>
        </w:rPr>
        <w:t>З 1 серпня</w:t>
      </w:r>
      <w:r w:rsidR="00E81B07" w:rsidRPr="00F0117E">
        <w:rPr>
          <w:lang w:val="uk-UA"/>
        </w:rPr>
        <w:t xml:space="preserve"> 2004 </w:t>
      </w:r>
      <w:r w:rsidR="005B65F5" w:rsidRPr="00F0117E">
        <w:rPr>
          <w:lang w:val="uk-UA"/>
        </w:rPr>
        <w:t>року до 6 серпня</w:t>
      </w:r>
      <w:r w:rsidR="00E81B07" w:rsidRPr="00F0117E">
        <w:rPr>
          <w:lang w:val="uk-UA"/>
        </w:rPr>
        <w:t xml:space="preserve"> 2007 </w:t>
      </w:r>
      <w:r w:rsidR="005B65F5" w:rsidRPr="00F0117E">
        <w:rPr>
          <w:lang w:val="uk-UA"/>
        </w:rPr>
        <w:t>року він працював</w:t>
      </w:r>
      <w:r w:rsidR="00E81B07" w:rsidRPr="00F0117E">
        <w:rPr>
          <w:lang w:val="uk-UA"/>
        </w:rPr>
        <w:t xml:space="preserve"> </w:t>
      </w:r>
      <w:r w:rsidR="005B65F5" w:rsidRPr="00F0117E">
        <w:rPr>
          <w:lang w:val="uk-UA"/>
        </w:rPr>
        <w:t>у Бухарестському відділенні С</w:t>
      </w:r>
      <w:r w:rsidR="00E81B07" w:rsidRPr="00F0117E">
        <w:rPr>
          <w:lang w:val="uk-UA"/>
        </w:rPr>
        <w:t xml:space="preserve">., </w:t>
      </w:r>
      <w:r w:rsidR="005B65F5" w:rsidRPr="00F0117E">
        <w:rPr>
          <w:lang w:val="uk-UA"/>
        </w:rPr>
        <w:t>румунської приватної компанії</w:t>
      </w:r>
      <w:r w:rsidR="00E81B07" w:rsidRPr="00F0117E">
        <w:rPr>
          <w:lang w:val="uk-UA"/>
        </w:rPr>
        <w:t xml:space="preserve"> </w:t>
      </w:r>
      <w:r w:rsidR="005B65F5" w:rsidRPr="00F0117E">
        <w:rPr>
          <w:lang w:val="uk-UA"/>
        </w:rPr>
        <w:t>(надалі – «роботодавець»)</w:t>
      </w:r>
      <w:r w:rsidR="00E81B07" w:rsidRPr="00F0117E">
        <w:rPr>
          <w:lang w:val="uk-UA"/>
        </w:rPr>
        <w:t xml:space="preserve">, </w:t>
      </w:r>
      <w:r w:rsidR="005B65F5" w:rsidRPr="00F0117E">
        <w:rPr>
          <w:lang w:val="uk-UA"/>
        </w:rPr>
        <w:t>на посаді інженера з продажу</w:t>
      </w:r>
      <w:r w:rsidR="00E81B07" w:rsidRPr="00F0117E">
        <w:rPr>
          <w:lang w:val="uk-UA"/>
        </w:rPr>
        <w:t xml:space="preserve">. </w:t>
      </w:r>
      <w:r w:rsidR="005B65F5" w:rsidRPr="00F0117E">
        <w:rPr>
          <w:lang w:val="uk-UA"/>
        </w:rPr>
        <w:t>За запитом свого роботодавця</w:t>
      </w:r>
      <w:r w:rsidR="00E81B07" w:rsidRPr="00F0117E">
        <w:rPr>
          <w:lang w:val="uk-UA"/>
        </w:rPr>
        <w:t xml:space="preserve">, </w:t>
      </w:r>
      <w:r w:rsidR="005B65F5" w:rsidRPr="00F0117E">
        <w:rPr>
          <w:lang w:val="uk-UA"/>
        </w:rPr>
        <w:t>з метою відповіді на запити покупців</w:t>
      </w:r>
      <w:r w:rsidR="00E81B07" w:rsidRPr="00F0117E">
        <w:rPr>
          <w:lang w:val="uk-UA"/>
        </w:rPr>
        <w:t xml:space="preserve">, </w:t>
      </w:r>
      <w:r w:rsidR="005B65F5" w:rsidRPr="00F0117E">
        <w:rPr>
          <w:lang w:val="uk-UA"/>
        </w:rPr>
        <w:t xml:space="preserve">він створив аккаунт для </w:t>
      </w:r>
      <w:r w:rsidR="00027D83" w:rsidRPr="00F0117E">
        <w:rPr>
          <w:lang w:val="uk-UA"/>
        </w:rPr>
        <w:t>миттєвих</w:t>
      </w:r>
      <w:r w:rsidR="005B65F5" w:rsidRPr="00F0117E">
        <w:rPr>
          <w:lang w:val="uk-UA"/>
        </w:rPr>
        <w:t xml:space="preserve"> відповідей з використанням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Messenger, </w:t>
      </w:r>
      <w:r w:rsidR="005B65F5" w:rsidRPr="00F0117E">
        <w:rPr>
          <w:lang w:val="uk-UA"/>
        </w:rPr>
        <w:t xml:space="preserve">сервісу </w:t>
      </w:r>
      <w:proofErr w:type="spellStart"/>
      <w:r w:rsidR="005B65F5" w:rsidRPr="00F0117E">
        <w:rPr>
          <w:lang w:val="uk-UA"/>
        </w:rPr>
        <w:t>онлайн-чату</w:t>
      </w:r>
      <w:proofErr w:type="spellEnd"/>
      <w:r w:rsidR="005B65F5" w:rsidRPr="00F0117E">
        <w:rPr>
          <w:lang w:val="uk-UA"/>
        </w:rPr>
        <w:t>,</w:t>
      </w:r>
      <w:r w:rsidR="00E81B07" w:rsidRPr="00F0117E">
        <w:rPr>
          <w:lang w:val="uk-UA"/>
        </w:rPr>
        <w:t xml:space="preserve"> </w:t>
      </w:r>
      <w:r w:rsidR="005B65F5" w:rsidRPr="00F0117E">
        <w:rPr>
          <w:lang w:val="uk-UA"/>
        </w:rPr>
        <w:t>який забезпечує передачу тексту в режимі реального часу через інтернет</w:t>
      </w:r>
      <w:r w:rsidR="00E81B07" w:rsidRPr="00F0117E">
        <w:rPr>
          <w:lang w:val="uk-UA"/>
        </w:rPr>
        <w:t xml:space="preserve">. </w:t>
      </w:r>
      <w:r w:rsidR="005B65F5" w:rsidRPr="00F0117E">
        <w:rPr>
          <w:lang w:val="uk-UA"/>
        </w:rPr>
        <w:t xml:space="preserve">Він вже мав інший особистий </w:t>
      </w:r>
      <w:proofErr w:type="spellStart"/>
      <w:r w:rsidR="005B65F5" w:rsidRPr="00F0117E">
        <w:rPr>
          <w:lang w:val="uk-UA"/>
        </w:rPr>
        <w:t>акаунт</w:t>
      </w:r>
      <w:proofErr w:type="spellEnd"/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Messenger.</w:t>
      </w:r>
    </w:p>
    <w:bookmarkStart w:id="1" w:name="ROI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12</w:t>
      </w:r>
      <w:r w:rsidRPr="00F0117E">
        <w:rPr>
          <w:lang w:val="uk-UA"/>
        </w:rPr>
        <w:fldChar w:fldCharType="end"/>
      </w:r>
      <w:bookmarkEnd w:id="1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B65F5" w:rsidRPr="00F0117E">
        <w:rPr>
          <w:lang w:val="uk-UA"/>
        </w:rPr>
        <w:t>Внутрішні розпорядження роботодавця забороняли</w:t>
      </w:r>
      <w:r w:rsidR="00E81B07" w:rsidRPr="00F0117E">
        <w:rPr>
          <w:lang w:val="uk-UA"/>
        </w:rPr>
        <w:t xml:space="preserve"> </w:t>
      </w:r>
      <w:r w:rsidR="005B65F5" w:rsidRPr="00F0117E">
        <w:rPr>
          <w:lang w:val="uk-UA"/>
        </w:rPr>
        <w:t>працівникам користуватися ресурсами компанії, з наступним формулюванням</w:t>
      </w:r>
      <w:r w:rsidR="00E81B07" w:rsidRPr="00F0117E">
        <w:rPr>
          <w:lang w:val="uk-UA"/>
        </w:rPr>
        <w:t>:</w:t>
      </w:r>
    </w:p>
    <w:p w:rsidR="00E81B07" w:rsidRPr="00F0117E" w:rsidRDefault="005B65F5" w:rsidP="008B2B31">
      <w:pPr>
        <w:pStyle w:val="ECHRTitleCentre3"/>
        <w:rPr>
          <w:lang w:val="uk-UA"/>
        </w:rPr>
      </w:pPr>
      <w:r w:rsidRPr="00F0117E">
        <w:rPr>
          <w:lang w:val="uk-UA"/>
        </w:rPr>
        <w:t>Стаття</w:t>
      </w:r>
      <w:r w:rsidR="00E81B07" w:rsidRPr="00F0117E">
        <w:rPr>
          <w:lang w:val="uk-UA"/>
        </w:rPr>
        <w:t xml:space="preserve"> 50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</w:t>
      </w:r>
      <w:r w:rsidR="00136D6F" w:rsidRPr="00F0117E">
        <w:rPr>
          <w:lang w:val="uk-UA"/>
        </w:rPr>
        <w:t>Будь-яке порушення порядку та дисципліни</w:t>
      </w:r>
      <w:r w:rsidRPr="00F0117E">
        <w:rPr>
          <w:lang w:val="uk-UA"/>
        </w:rPr>
        <w:t xml:space="preserve"> </w:t>
      </w:r>
      <w:r w:rsidR="00136D6F" w:rsidRPr="00F0117E">
        <w:rPr>
          <w:lang w:val="uk-UA"/>
        </w:rPr>
        <w:t>на території компанії суворо забороняється, зокрема</w:t>
      </w:r>
      <w:r w:rsidRPr="00F0117E">
        <w:rPr>
          <w:lang w:val="uk-UA"/>
        </w:rPr>
        <w:t>:</w:t>
      </w:r>
    </w:p>
    <w:p w:rsidR="00E36F4C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...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 xml:space="preserve">– ... </w:t>
      </w:r>
      <w:r w:rsidR="00136D6F" w:rsidRPr="00F0117E">
        <w:rPr>
          <w:lang w:val="uk-UA"/>
        </w:rPr>
        <w:t>використання з особистою метою комп’ютерів</w:t>
      </w:r>
      <w:r w:rsidRPr="00F0117E">
        <w:rPr>
          <w:lang w:val="uk-UA"/>
        </w:rPr>
        <w:t xml:space="preserve">, </w:t>
      </w:r>
      <w:proofErr w:type="spellStart"/>
      <w:r w:rsidR="00136D6F" w:rsidRPr="00F0117E">
        <w:rPr>
          <w:lang w:val="uk-UA"/>
        </w:rPr>
        <w:t>фотокопірів</w:t>
      </w:r>
      <w:proofErr w:type="spellEnd"/>
      <w:r w:rsidRPr="00F0117E">
        <w:rPr>
          <w:lang w:val="uk-UA"/>
        </w:rPr>
        <w:t xml:space="preserve">, </w:t>
      </w:r>
      <w:r w:rsidR="001F42A8" w:rsidRPr="00F0117E">
        <w:rPr>
          <w:lang w:val="uk-UA"/>
        </w:rPr>
        <w:t>телефонів або приладів для телексу та факсу</w:t>
      </w:r>
      <w:r w:rsidRPr="00F0117E">
        <w:rPr>
          <w:lang w:val="uk-UA"/>
        </w:rPr>
        <w:t>.”</w:t>
      </w:r>
    </w:p>
    <w:bookmarkStart w:id="2" w:name="ROI2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13</w:t>
      </w:r>
      <w:r w:rsidRPr="00F0117E">
        <w:rPr>
          <w:lang w:val="uk-UA"/>
        </w:rPr>
        <w:fldChar w:fldCharType="end"/>
      </w:r>
      <w:bookmarkEnd w:id="2"/>
      <w:r w:rsidR="00E81B07" w:rsidRPr="00F0117E">
        <w:rPr>
          <w:lang w:val="uk-UA"/>
        </w:rPr>
        <w:t>. </w:t>
      </w:r>
      <w:r w:rsidR="001F42A8" w:rsidRPr="00F0117E">
        <w:rPr>
          <w:lang w:val="uk-UA"/>
        </w:rPr>
        <w:t>Положення не містили жодних посилань</w:t>
      </w:r>
      <w:r w:rsidR="00E81B07" w:rsidRPr="00F0117E">
        <w:rPr>
          <w:lang w:val="uk-UA"/>
        </w:rPr>
        <w:t xml:space="preserve"> </w:t>
      </w:r>
      <w:r w:rsidR="001F42A8" w:rsidRPr="00F0117E">
        <w:rPr>
          <w:lang w:val="uk-UA"/>
        </w:rPr>
        <w:t xml:space="preserve">на можливість роботодавця </w:t>
      </w:r>
      <w:r w:rsidR="00AC6FF5" w:rsidRPr="00F0117E">
        <w:rPr>
          <w:lang w:val="uk-UA"/>
        </w:rPr>
        <w:t xml:space="preserve">відстежувати </w:t>
      </w:r>
      <w:r w:rsidR="001F42A8" w:rsidRPr="00F0117E">
        <w:rPr>
          <w:lang w:val="uk-UA"/>
        </w:rPr>
        <w:t>розмови підлеглих</w:t>
      </w:r>
      <w:r w:rsidR="00E81B07" w:rsidRPr="00F0117E">
        <w:rPr>
          <w:lang w:val="uk-UA"/>
        </w:rPr>
        <w:t>.</w:t>
      </w:r>
    </w:p>
    <w:bookmarkStart w:id="3" w:name="R_ia_cunostinta_ROI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14</w:t>
      </w:r>
      <w:r w:rsidRPr="00F0117E">
        <w:rPr>
          <w:lang w:val="uk-UA"/>
        </w:rPr>
        <w:fldChar w:fldCharType="end"/>
      </w:r>
      <w:bookmarkEnd w:id="3"/>
      <w:r w:rsidR="00E81B07" w:rsidRPr="00F0117E">
        <w:rPr>
          <w:lang w:val="uk-UA"/>
        </w:rPr>
        <w:t>. </w:t>
      </w:r>
      <w:r w:rsidR="001F42A8" w:rsidRPr="00F0117E">
        <w:rPr>
          <w:lang w:val="uk-UA"/>
        </w:rPr>
        <w:t>З наданих Урядом документів видається,</w:t>
      </w:r>
      <w:r w:rsidR="00E81B07" w:rsidRPr="00F0117E">
        <w:rPr>
          <w:lang w:val="uk-UA"/>
        </w:rPr>
        <w:t xml:space="preserve"> </w:t>
      </w:r>
      <w:r w:rsidR="001F42A8" w:rsidRPr="00F0117E">
        <w:rPr>
          <w:lang w:val="uk-UA"/>
        </w:rPr>
        <w:t>що заявникові було повідомлено</w:t>
      </w:r>
      <w:r w:rsidR="00E81B07" w:rsidRPr="00F0117E">
        <w:rPr>
          <w:lang w:val="uk-UA"/>
        </w:rPr>
        <w:t xml:space="preserve"> </w:t>
      </w:r>
      <w:r w:rsidR="001F42A8" w:rsidRPr="00F0117E">
        <w:rPr>
          <w:lang w:val="uk-UA"/>
        </w:rPr>
        <w:t>про внутрішні розпорядження роботодавця,</w:t>
      </w:r>
      <w:r w:rsidR="00E81B07" w:rsidRPr="00F0117E">
        <w:rPr>
          <w:lang w:val="uk-UA"/>
        </w:rPr>
        <w:t xml:space="preserve"> </w:t>
      </w:r>
      <w:r w:rsidR="001F42A8" w:rsidRPr="00F0117E">
        <w:rPr>
          <w:lang w:val="uk-UA"/>
        </w:rPr>
        <w:t>і він підписав їх копію 20 грудня</w:t>
      </w:r>
      <w:r w:rsidR="00E81B07" w:rsidRPr="00F0117E">
        <w:rPr>
          <w:lang w:val="uk-UA"/>
        </w:rPr>
        <w:t xml:space="preserve"> 2006 </w:t>
      </w:r>
      <w:r w:rsidR="001F42A8" w:rsidRPr="00F0117E">
        <w:rPr>
          <w:lang w:val="uk-UA"/>
        </w:rPr>
        <w:t>року, після ознайомлення зі змістом</w:t>
      </w:r>
      <w:r w:rsidR="00E81B07" w:rsidRPr="00F0117E">
        <w:rPr>
          <w:lang w:val="uk-UA"/>
        </w:rPr>
        <w:t>.</w:t>
      </w:r>
    </w:p>
    <w:bookmarkStart w:id="4" w:name="nota_informativa_3iulie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15</w:t>
      </w:r>
      <w:r w:rsidRPr="00F0117E">
        <w:rPr>
          <w:lang w:val="uk-UA"/>
        </w:rPr>
        <w:fldChar w:fldCharType="end"/>
      </w:r>
      <w:bookmarkEnd w:id="4"/>
      <w:r w:rsidR="00E81B07" w:rsidRPr="00F0117E">
        <w:rPr>
          <w:lang w:val="uk-UA"/>
        </w:rPr>
        <w:t>. </w:t>
      </w:r>
      <w:r w:rsidR="001F42A8" w:rsidRPr="00F0117E">
        <w:rPr>
          <w:lang w:val="uk-UA"/>
        </w:rPr>
        <w:t>3 липня</w:t>
      </w:r>
      <w:r w:rsidR="00E81B07" w:rsidRPr="00F0117E">
        <w:rPr>
          <w:lang w:val="uk-UA"/>
        </w:rPr>
        <w:t xml:space="preserve"> 2007 </w:t>
      </w:r>
      <w:r w:rsidR="001F42A8" w:rsidRPr="00F0117E">
        <w:rPr>
          <w:lang w:val="uk-UA"/>
        </w:rPr>
        <w:t>року Бухарестське відділення</w:t>
      </w:r>
      <w:r w:rsidR="00E81B07" w:rsidRPr="00F0117E">
        <w:rPr>
          <w:lang w:val="uk-UA"/>
        </w:rPr>
        <w:t xml:space="preserve"> </w:t>
      </w:r>
      <w:r w:rsidR="001F42A8" w:rsidRPr="00F0117E">
        <w:rPr>
          <w:lang w:val="uk-UA"/>
        </w:rPr>
        <w:t>отримало та поширило серед</w:t>
      </w:r>
      <w:r w:rsidR="00E81B07" w:rsidRPr="00F0117E">
        <w:rPr>
          <w:lang w:val="uk-UA"/>
        </w:rPr>
        <w:t xml:space="preserve"> </w:t>
      </w:r>
      <w:r w:rsidR="001F42A8" w:rsidRPr="00F0117E">
        <w:rPr>
          <w:lang w:val="uk-UA"/>
        </w:rPr>
        <w:t>усіх працівників</w:t>
      </w:r>
      <w:r w:rsidR="00E81B07" w:rsidRPr="00F0117E">
        <w:rPr>
          <w:lang w:val="uk-UA"/>
        </w:rPr>
        <w:t xml:space="preserve"> </w:t>
      </w:r>
      <w:r w:rsidR="001F42A8" w:rsidRPr="00F0117E">
        <w:rPr>
          <w:lang w:val="uk-UA"/>
        </w:rPr>
        <w:t>інформаційне повідомлення, яке було складено</w:t>
      </w:r>
      <w:r w:rsidR="00E81B07" w:rsidRPr="00F0117E">
        <w:rPr>
          <w:lang w:val="uk-UA"/>
        </w:rPr>
        <w:t xml:space="preserve"> </w:t>
      </w:r>
      <w:r w:rsidR="001F42A8" w:rsidRPr="00F0117E">
        <w:rPr>
          <w:lang w:val="uk-UA"/>
        </w:rPr>
        <w:t xml:space="preserve">та відправлено </w:t>
      </w:r>
      <w:proofErr w:type="spellStart"/>
      <w:r w:rsidR="001F42A8" w:rsidRPr="00F0117E">
        <w:rPr>
          <w:lang w:val="uk-UA"/>
        </w:rPr>
        <w:t>Клузьким</w:t>
      </w:r>
      <w:proofErr w:type="spellEnd"/>
      <w:r w:rsidR="001F42A8" w:rsidRPr="00F0117E">
        <w:rPr>
          <w:lang w:val="uk-UA"/>
        </w:rPr>
        <w:t xml:space="preserve"> головним офісом</w:t>
      </w:r>
      <w:r w:rsidR="00E81B07" w:rsidRPr="00F0117E">
        <w:rPr>
          <w:lang w:val="uk-UA"/>
        </w:rPr>
        <w:t xml:space="preserve"> </w:t>
      </w:r>
      <w:r w:rsidR="001F42A8" w:rsidRPr="00F0117E">
        <w:rPr>
          <w:lang w:val="uk-UA"/>
        </w:rPr>
        <w:t>26 червня</w:t>
      </w:r>
      <w:r w:rsidR="00E81B07" w:rsidRPr="00F0117E">
        <w:rPr>
          <w:lang w:val="uk-UA"/>
        </w:rPr>
        <w:t xml:space="preserve"> 2007</w:t>
      </w:r>
      <w:r w:rsidR="001F42A8" w:rsidRPr="00F0117E">
        <w:rPr>
          <w:lang w:val="uk-UA"/>
        </w:rPr>
        <w:t xml:space="preserve"> року</w:t>
      </w:r>
      <w:r w:rsidR="00E81B07" w:rsidRPr="00F0117E">
        <w:rPr>
          <w:lang w:val="uk-UA"/>
        </w:rPr>
        <w:t xml:space="preserve">. </w:t>
      </w:r>
      <w:r w:rsidR="00EE43AF" w:rsidRPr="00F0117E">
        <w:rPr>
          <w:lang w:val="uk-UA"/>
        </w:rPr>
        <w:t>Роботодавець просив працівників ознайомитися</w:t>
      </w:r>
      <w:r w:rsidR="00E81B07" w:rsidRPr="00F0117E">
        <w:rPr>
          <w:lang w:val="uk-UA"/>
        </w:rPr>
        <w:t xml:space="preserve"> </w:t>
      </w:r>
      <w:r w:rsidR="00EE43AF" w:rsidRPr="00F0117E">
        <w:rPr>
          <w:lang w:val="uk-UA"/>
        </w:rPr>
        <w:t>з повідомленням</w:t>
      </w:r>
      <w:r w:rsidR="00E81B07" w:rsidRPr="00F0117E">
        <w:rPr>
          <w:lang w:val="uk-UA"/>
        </w:rPr>
        <w:t xml:space="preserve"> </w:t>
      </w:r>
      <w:r w:rsidR="00EE43AF" w:rsidRPr="00F0117E">
        <w:rPr>
          <w:lang w:val="uk-UA"/>
        </w:rPr>
        <w:t>та підписати його копію</w:t>
      </w:r>
      <w:r w:rsidR="00E81B07" w:rsidRPr="00F0117E">
        <w:rPr>
          <w:lang w:val="uk-UA"/>
        </w:rPr>
        <w:t xml:space="preserve">. </w:t>
      </w:r>
      <w:r w:rsidR="00EE43AF" w:rsidRPr="00F0117E">
        <w:rPr>
          <w:lang w:val="uk-UA"/>
        </w:rPr>
        <w:t>Відповідні частини повідомлення містили наступне</w:t>
      </w:r>
      <w:r w:rsidR="00E81B07" w:rsidRPr="00F0117E">
        <w:rPr>
          <w:lang w:val="uk-UA"/>
        </w:rPr>
        <w:t>:</w:t>
      </w:r>
    </w:p>
    <w:p w:rsidR="00E36F4C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 xml:space="preserve">“1. ... </w:t>
      </w:r>
      <w:r w:rsidR="00DF1612" w:rsidRPr="00F0117E">
        <w:rPr>
          <w:lang w:val="uk-UA"/>
        </w:rPr>
        <w:t>Час, проведений у компанії, повинен бути якісним часом для всіх</w:t>
      </w:r>
      <w:r w:rsidRPr="00F0117E">
        <w:rPr>
          <w:lang w:val="uk-UA"/>
        </w:rPr>
        <w:t xml:space="preserve">! </w:t>
      </w:r>
      <w:r w:rsidR="00DF1612" w:rsidRPr="00F0117E">
        <w:rPr>
          <w:lang w:val="uk-UA"/>
        </w:rPr>
        <w:t>Приходьте на роботу для праці та вирішення професійних питань</w:t>
      </w:r>
      <w:r w:rsidRPr="00F0117E">
        <w:rPr>
          <w:lang w:val="uk-UA"/>
        </w:rPr>
        <w:t xml:space="preserve">, </w:t>
      </w:r>
      <w:r w:rsidR="00DF1612" w:rsidRPr="00F0117E">
        <w:rPr>
          <w:lang w:val="uk-UA"/>
        </w:rPr>
        <w:t>а не ваших особистих проблем</w:t>
      </w:r>
      <w:r w:rsidRPr="00F0117E">
        <w:rPr>
          <w:lang w:val="uk-UA"/>
        </w:rPr>
        <w:t xml:space="preserve">! </w:t>
      </w:r>
      <w:r w:rsidR="00DF1612" w:rsidRPr="00F0117E">
        <w:rPr>
          <w:lang w:val="uk-UA"/>
        </w:rPr>
        <w:t>Не витрачайте час для користування інтернетом</w:t>
      </w:r>
      <w:r w:rsidRPr="00F0117E">
        <w:rPr>
          <w:lang w:val="uk-UA"/>
        </w:rPr>
        <w:t xml:space="preserve">, </w:t>
      </w:r>
      <w:r w:rsidR="00DF1612" w:rsidRPr="00F0117E">
        <w:rPr>
          <w:lang w:val="uk-UA"/>
        </w:rPr>
        <w:t>телефоном або факсом</w:t>
      </w:r>
      <w:r w:rsidRPr="00F0117E">
        <w:rPr>
          <w:lang w:val="uk-UA"/>
        </w:rPr>
        <w:t xml:space="preserve"> </w:t>
      </w:r>
      <w:r w:rsidR="00DF1612" w:rsidRPr="00F0117E">
        <w:rPr>
          <w:lang w:val="uk-UA"/>
        </w:rPr>
        <w:t>для питань, які не відносяться до праці або ваших обов’язків</w:t>
      </w:r>
      <w:r w:rsidRPr="00F0117E">
        <w:rPr>
          <w:lang w:val="uk-UA"/>
        </w:rPr>
        <w:t xml:space="preserve">. </w:t>
      </w:r>
      <w:r w:rsidR="00DF1612" w:rsidRPr="00F0117E">
        <w:rPr>
          <w:lang w:val="uk-UA"/>
        </w:rPr>
        <w:t>Це диктують</w:t>
      </w:r>
      <w:r w:rsidRPr="00F0117E">
        <w:rPr>
          <w:lang w:val="uk-UA"/>
        </w:rPr>
        <w:t xml:space="preserve"> [</w:t>
      </w:r>
      <w:r w:rsidR="00DF1612" w:rsidRPr="00F0117E">
        <w:rPr>
          <w:lang w:val="uk-UA"/>
        </w:rPr>
        <w:t>базова освіта</w:t>
      </w:r>
      <w:r w:rsidRPr="00F0117E">
        <w:rPr>
          <w:lang w:val="uk-UA"/>
        </w:rPr>
        <w:t xml:space="preserve">], </w:t>
      </w:r>
      <w:r w:rsidR="00DF1612" w:rsidRPr="00F0117E">
        <w:rPr>
          <w:lang w:val="uk-UA"/>
        </w:rPr>
        <w:t>здоровий глузд та закон</w:t>
      </w:r>
      <w:r w:rsidRPr="00F0117E">
        <w:rPr>
          <w:lang w:val="uk-UA"/>
        </w:rPr>
        <w:t xml:space="preserve">! </w:t>
      </w:r>
      <w:r w:rsidR="00DF1612" w:rsidRPr="00F0117E">
        <w:rPr>
          <w:lang w:val="uk-UA"/>
        </w:rPr>
        <w:t>Роботодавець зобов’язаний контролювати</w:t>
      </w:r>
      <w:r w:rsidRPr="00F0117E">
        <w:rPr>
          <w:lang w:val="uk-UA"/>
        </w:rPr>
        <w:t xml:space="preserve"> </w:t>
      </w:r>
      <w:r w:rsidR="00DF1612" w:rsidRPr="00F0117E">
        <w:rPr>
          <w:lang w:val="uk-UA"/>
        </w:rPr>
        <w:t xml:space="preserve">та </w:t>
      </w:r>
      <w:proofErr w:type="spellStart"/>
      <w:r w:rsidR="00DF1612" w:rsidRPr="00F0117E">
        <w:rPr>
          <w:lang w:val="uk-UA"/>
        </w:rPr>
        <w:t>моніторити</w:t>
      </w:r>
      <w:proofErr w:type="spellEnd"/>
      <w:r w:rsidR="00DF1612" w:rsidRPr="00F0117E">
        <w:rPr>
          <w:lang w:val="uk-UA"/>
        </w:rPr>
        <w:t xml:space="preserve"> працю робітників</w:t>
      </w:r>
      <w:r w:rsidRPr="00F0117E">
        <w:rPr>
          <w:lang w:val="uk-UA"/>
        </w:rPr>
        <w:t xml:space="preserve"> </w:t>
      </w:r>
      <w:r w:rsidR="00DF1612" w:rsidRPr="00F0117E">
        <w:rPr>
          <w:lang w:val="uk-UA"/>
        </w:rPr>
        <w:t>і вживати карних заходів до тих, хто винен</w:t>
      </w:r>
      <w:r w:rsidRPr="00F0117E">
        <w:rPr>
          <w:lang w:val="uk-UA"/>
        </w:rPr>
        <w:t>!</w:t>
      </w:r>
    </w:p>
    <w:p w:rsidR="00E81B07" w:rsidRPr="00F0117E" w:rsidRDefault="00DF1612" w:rsidP="008B2B31">
      <w:pPr>
        <w:pStyle w:val="ECHRParaQuote"/>
        <w:rPr>
          <w:lang w:val="uk-UA"/>
        </w:rPr>
      </w:pPr>
      <w:r w:rsidRPr="00F0117E">
        <w:rPr>
          <w:lang w:val="uk-UA"/>
        </w:rPr>
        <w:t>Ваші порушення будуть ретельно відстежуватися та каратися</w:t>
      </w:r>
      <w:r w:rsidR="00E81B07" w:rsidRPr="00F0117E">
        <w:rPr>
          <w:lang w:val="uk-UA"/>
        </w:rPr>
        <w:t>!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2. </w:t>
      </w:r>
      <w:r w:rsidR="007232A0" w:rsidRPr="00F0117E">
        <w:rPr>
          <w:lang w:val="uk-UA"/>
        </w:rPr>
        <w:t>У зв’язку з повторюваними</w:t>
      </w:r>
      <w:r w:rsidRPr="00F0117E">
        <w:rPr>
          <w:lang w:val="uk-UA"/>
        </w:rPr>
        <w:t xml:space="preserve"> [</w:t>
      </w:r>
      <w:r w:rsidR="007232A0" w:rsidRPr="00F0117E">
        <w:rPr>
          <w:lang w:val="uk-UA"/>
        </w:rPr>
        <w:t>дисциплінарними</w:t>
      </w:r>
      <w:r w:rsidRPr="00F0117E">
        <w:rPr>
          <w:lang w:val="uk-UA"/>
        </w:rPr>
        <w:t xml:space="preserve">] </w:t>
      </w:r>
      <w:r w:rsidR="007232A0" w:rsidRPr="00F0117E">
        <w:rPr>
          <w:lang w:val="uk-UA"/>
        </w:rPr>
        <w:t xml:space="preserve">порушеннями </w:t>
      </w:r>
      <w:r w:rsidR="00FC34C7">
        <w:rPr>
          <w:lang w:val="uk-UA"/>
        </w:rPr>
        <w:t xml:space="preserve">стосовно </w:t>
      </w:r>
      <w:r w:rsidR="007232A0" w:rsidRPr="00F0117E">
        <w:rPr>
          <w:lang w:val="uk-UA"/>
        </w:rPr>
        <w:t>начальника</w:t>
      </w:r>
      <w:r w:rsidRPr="00F0117E">
        <w:rPr>
          <w:lang w:val="uk-UA"/>
        </w:rPr>
        <w:t>, [</w:t>
      </w:r>
      <w:r w:rsidR="007232A0" w:rsidRPr="00F0117E">
        <w:rPr>
          <w:lang w:val="uk-UA"/>
        </w:rPr>
        <w:t>а також</w:t>
      </w:r>
      <w:r w:rsidRPr="00F0117E">
        <w:rPr>
          <w:lang w:val="uk-UA"/>
        </w:rPr>
        <w:t xml:space="preserve">] </w:t>
      </w:r>
      <w:r w:rsidR="007232A0" w:rsidRPr="00F0117E">
        <w:rPr>
          <w:lang w:val="uk-UA"/>
        </w:rPr>
        <w:t xml:space="preserve">використання </w:t>
      </w:r>
      <w:proofErr w:type="spellStart"/>
      <w:r w:rsidR="007232A0" w:rsidRPr="00F0117E">
        <w:rPr>
          <w:lang w:val="uk-UA"/>
        </w:rPr>
        <w:t>інтернету</w:t>
      </w:r>
      <w:proofErr w:type="spellEnd"/>
      <w:r w:rsidR="007232A0" w:rsidRPr="00F0117E">
        <w:rPr>
          <w:lang w:val="uk-UA"/>
        </w:rPr>
        <w:t xml:space="preserve">, телефону та </w:t>
      </w:r>
      <w:proofErr w:type="spellStart"/>
      <w:r w:rsidR="007232A0" w:rsidRPr="00F0117E">
        <w:rPr>
          <w:lang w:val="uk-UA"/>
        </w:rPr>
        <w:t>фотокопіру</w:t>
      </w:r>
      <w:proofErr w:type="spellEnd"/>
      <w:r w:rsidR="007232A0" w:rsidRPr="00F0117E">
        <w:rPr>
          <w:lang w:val="uk-UA"/>
        </w:rPr>
        <w:t xml:space="preserve"> у власних цілях</w:t>
      </w:r>
      <w:r w:rsidRPr="00F0117E">
        <w:rPr>
          <w:lang w:val="uk-UA"/>
        </w:rPr>
        <w:t xml:space="preserve">, </w:t>
      </w:r>
      <w:r w:rsidR="007232A0" w:rsidRPr="00F0117E">
        <w:rPr>
          <w:lang w:val="uk-UA"/>
        </w:rPr>
        <w:t>недбалістю та нездатністю виконувати свої обов’язки</w:t>
      </w:r>
      <w:r w:rsidRPr="00F0117E">
        <w:rPr>
          <w:lang w:val="uk-UA"/>
        </w:rPr>
        <w:t xml:space="preserve">, </w:t>
      </w:r>
      <w:r w:rsidR="007232A0" w:rsidRPr="00F0117E">
        <w:rPr>
          <w:lang w:val="uk-UA"/>
        </w:rPr>
        <w:t xml:space="preserve">пані Б.А. </w:t>
      </w:r>
      <w:r w:rsidR="007232A0" w:rsidRPr="00F0117E">
        <w:rPr>
          <w:lang w:val="uk-UA"/>
        </w:rPr>
        <w:lastRenderedPageBreak/>
        <w:t>була звільнена на дисциплінарній підставі</w:t>
      </w:r>
      <w:r w:rsidRPr="00F0117E">
        <w:rPr>
          <w:lang w:val="uk-UA"/>
        </w:rPr>
        <w:t xml:space="preserve">! </w:t>
      </w:r>
      <w:r w:rsidR="007232A0" w:rsidRPr="00F0117E">
        <w:rPr>
          <w:lang w:val="uk-UA"/>
        </w:rPr>
        <w:t>Візьміть урок з її поганого прикладу</w:t>
      </w:r>
      <w:r w:rsidRPr="00F0117E">
        <w:rPr>
          <w:lang w:val="uk-UA"/>
        </w:rPr>
        <w:t xml:space="preserve">! </w:t>
      </w:r>
      <w:r w:rsidR="007232A0" w:rsidRPr="00F0117E">
        <w:rPr>
          <w:lang w:val="uk-UA"/>
        </w:rPr>
        <w:t>Не робіть тих же помилок</w:t>
      </w:r>
      <w:r w:rsidRPr="00F0117E">
        <w:rPr>
          <w:lang w:val="uk-UA"/>
        </w:rPr>
        <w:t>!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3. </w:t>
      </w:r>
      <w:r w:rsidR="007232A0" w:rsidRPr="00F0117E">
        <w:rPr>
          <w:lang w:val="uk-UA"/>
        </w:rPr>
        <w:t>Уважно прочитайте колективний трудовий договір</w:t>
      </w:r>
      <w:r w:rsidRPr="00F0117E">
        <w:rPr>
          <w:lang w:val="uk-UA"/>
        </w:rPr>
        <w:t xml:space="preserve">, </w:t>
      </w:r>
      <w:r w:rsidR="007232A0" w:rsidRPr="00F0117E">
        <w:rPr>
          <w:lang w:val="uk-UA"/>
        </w:rPr>
        <w:t>внутрішні положення компанії</w:t>
      </w:r>
      <w:r w:rsidRPr="00F0117E">
        <w:rPr>
          <w:lang w:val="uk-UA"/>
        </w:rPr>
        <w:t xml:space="preserve">, </w:t>
      </w:r>
      <w:r w:rsidR="007232A0" w:rsidRPr="00F0117E">
        <w:rPr>
          <w:lang w:val="uk-UA"/>
        </w:rPr>
        <w:t>вашу посадову інструкцію та трудовий договір, який ви підписали</w:t>
      </w:r>
      <w:r w:rsidRPr="00F0117E">
        <w:rPr>
          <w:lang w:val="uk-UA"/>
        </w:rPr>
        <w:t xml:space="preserve">! </w:t>
      </w:r>
      <w:r w:rsidR="007232A0" w:rsidRPr="00F0117E">
        <w:rPr>
          <w:lang w:val="uk-UA"/>
        </w:rPr>
        <w:t>Це є підґрунтям нашої співпраці</w:t>
      </w:r>
      <w:r w:rsidRPr="00F0117E">
        <w:rPr>
          <w:lang w:val="uk-UA"/>
        </w:rPr>
        <w:t xml:space="preserve">! </w:t>
      </w:r>
      <w:r w:rsidR="007232A0" w:rsidRPr="00F0117E">
        <w:rPr>
          <w:lang w:val="uk-UA"/>
        </w:rPr>
        <w:t>Між роботодавцем та працівником</w:t>
      </w:r>
      <w:r w:rsidRPr="00F0117E">
        <w:rPr>
          <w:lang w:val="uk-UA"/>
        </w:rPr>
        <w:t>! ...”</w:t>
      </w:r>
    </w:p>
    <w:bookmarkStart w:id="5" w:name="R_ia_cunostinta_nota_informativa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16</w:t>
      </w:r>
      <w:r w:rsidRPr="00F0117E">
        <w:rPr>
          <w:lang w:val="uk-UA"/>
        </w:rPr>
        <w:fldChar w:fldCharType="end"/>
      </w:r>
      <w:bookmarkEnd w:id="5"/>
      <w:r w:rsidR="00E81B07" w:rsidRPr="00F0117E">
        <w:rPr>
          <w:lang w:val="uk-UA"/>
        </w:rPr>
        <w:t>. </w:t>
      </w:r>
      <w:r w:rsidR="00CD05A2" w:rsidRPr="00F0117E">
        <w:rPr>
          <w:lang w:val="uk-UA"/>
        </w:rPr>
        <w:t>Також з наданих Урядом документів, у тому числі реєстру відвідуваності роботодавця, видається</w:t>
      </w:r>
      <w:r w:rsidR="00E81B07" w:rsidRPr="00F0117E">
        <w:rPr>
          <w:lang w:val="uk-UA"/>
        </w:rPr>
        <w:t xml:space="preserve">, </w:t>
      </w:r>
      <w:r w:rsidR="00CD05A2" w:rsidRPr="00F0117E">
        <w:rPr>
          <w:lang w:val="uk-UA"/>
        </w:rPr>
        <w:t>що заявник ознайомився</w:t>
      </w:r>
      <w:r w:rsidR="00E81B07" w:rsidRPr="00F0117E">
        <w:rPr>
          <w:lang w:val="uk-UA"/>
        </w:rPr>
        <w:t xml:space="preserve"> </w:t>
      </w:r>
      <w:r w:rsidR="00CD05A2" w:rsidRPr="00F0117E">
        <w:rPr>
          <w:lang w:val="uk-UA"/>
        </w:rPr>
        <w:t>з повідомленням та підписав його у період з</w:t>
      </w:r>
      <w:r w:rsidR="00E81B07" w:rsidRPr="00F0117E">
        <w:rPr>
          <w:lang w:val="uk-UA"/>
        </w:rPr>
        <w:t xml:space="preserve"> 3 </w:t>
      </w:r>
      <w:r w:rsidR="00CD05A2" w:rsidRPr="00F0117E">
        <w:rPr>
          <w:lang w:val="uk-UA"/>
        </w:rPr>
        <w:t>до 13 липня</w:t>
      </w:r>
      <w:r w:rsidR="00E81B07" w:rsidRPr="00F0117E">
        <w:rPr>
          <w:lang w:val="uk-UA"/>
        </w:rPr>
        <w:t xml:space="preserve"> 2007</w:t>
      </w:r>
      <w:r w:rsidR="00CD05A2" w:rsidRPr="00F0117E">
        <w:rPr>
          <w:lang w:val="uk-UA"/>
        </w:rPr>
        <w:t xml:space="preserve"> року</w:t>
      </w:r>
      <w:r w:rsidR="00E81B07" w:rsidRPr="00F0117E">
        <w:rPr>
          <w:lang w:val="uk-UA"/>
        </w:rPr>
        <w:t>.</w:t>
      </w:r>
    </w:p>
    <w:bookmarkStart w:id="6" w:name="recording_messages"/>
    <w:p w:rsidR="00E81B07" w:rsidRPr="00F0117E" w:rsidRDefault="0002542A" w:rsidP="00AC6FF5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17</w:t>
      </w:r>
      <w:r w:rsidRPr="00F0117E">
        <w:rPr>
          <w:lang w:val="uk-UA"/>
        </w:rPr>
        <w:fldChar w:fldCharType="end"/>
      </w:r>
      <w:bookmarkEnd w:id="6"/>
      <w:r w:rsidR="00E81B07" w:rsidRPr="00F0117E">
        <w:rPr>
          <w:lang w:val="uk-UA"/>
        </w:rPr>
        <w:t>. </w:t>
      </w:r>
      <w:r w:rsidR="00CD05A2" w:rsidRPr="00F0117E">
        <w:rPr>
          <w:lang w:val="uk-UA"/>
        </w:rPr>
        <w:t>Крім того, видається, що з</w:t>
      </w:r>
      <w:r w:rsidR="00E81B07" w:rsidRPr="00F0117E">
        <w:rPr>
          <w:lang w:val="uk-UA"/>
        </w:rPr>
        <w:t xml:space="preserve"> 5 </w:t>
      </w:r>
      <w:r w:rsidR="00CD05A2" w:rsidRPr="00F0117E">
        <w:rPr>
          <w:lang w:val="uk-UA"/>
        </w:rPr>
        <w:t>до 13 липня</w:t>
      </w:r>
      <w:r w:rsidR="00E81B07" w:rsidRPr="00F0117E">
        <w:rPr>
          <w:lang w:val="uk-UA"/>
        </w:rPr>
        <w:t xml:space="preserve"> 2007 </w:t>
      </w:r>
      <w:r w:rsidR="00CD05A2" w:rsidRPr="00F0117E">
        <w:rPr>
          <w:lang w:val="uk-UA"/>
        </w:rPr>
        <w:t>року роботодавець</w:t>
      </w:r>
      <w:r w:rsidR="00E81B07" w:rsidRPr="00F0117E">
        <w:rPr>
          <w:lang w:val="uk-UA"/>
        </w:rPr>
        <w:t xml:space="preserve"> </w:t>
      </w:r>
      <w:r w:rsidR="00CD05A2" w:rsidRPr="00F0117E">
        <w:rPr>
          <w:lang w:val="uk-UA"/>
        </w:rPr>
        <w:t>записував переговори заявника з використанням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 </w:t>
      </w:r>
      <w:r w:rsidR="00CD05A2" w:rsidRPr="00F0117E">
        <w:rPr>
          <w:lang w:val="uk-UA"/>
        </w:rPr>
        <w:t>у режимі реального часу</w:t>
      </w:r>
      <w:r w:rsidR="00E81B07" w:rsidRPr="00F0117E">
        <w:rPr>
          <w:lang w:val="uk-UA"/>
        </w:rPr>
        <w:t>.</w:t>
      </w:r>
    </w:p>
    <w:bookmarkStart w:id="7" w:name="prima_convocare_1630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18</w:t>
      </w:r>
      <w:r w:rsidRPr="00F0117E">
        <w:rPr>
          <w:lang w:val="uk-UA"/>
        </w:rPr>
        <w:fldChar w:fldCharType="end"/>
      </w:r>
      <w:bookmarkEnd w:id="7"/>
      <w:r w:rsidR="00E81B07" w:rsidRPr="00F0117E">
        <w:rPr>
          <w:lang w:val="uk-UA"/>
        </w:rPr>
        <w:t>. </w:t>
      </w:r>
      <w:r w:rsidR="00CD05A2" w:rsidRPr="00F0117E">
        <w:rPr>
          <w:lang w:val="uk-UA"/>
        </w:rPr>
        <w:t>13 липня</w:t>
      </w:r>
      <w:r w:rsidR="00E81B07" w:rsidRPr="00F0117E">
        <w:rPr>
          <w:lang w:val="uk-UA"/>
        </w:rPr>
        <w:t xml:space="preserve"> 2007 </w:t>
      </w:r>
      <w:r w:rsidR="00CD05A2" w:rsidRPr="00F0117E">
        <w:rPr>
          <w:lang w:val="uk-UA"/>
        </w:rPr>
        <w:t>року о 16</w:t>
      </w:r>
      <w:r w:rsidR="00E81B07" w:rsidRPr="00F0117E">
        <w:rPr>
          <w:lang w:val="uk-UA"/>
        </w:rPr>
        <w:t xml:space="preserve">.30 </w:t>
      </w:r>
      <w:r w:rsidR="00CD05A2" w:rsidRPr="00F0117E">
        <w:rPr>
          <w:lang w:val="uk-UA"/>
        </w:rPr>
        <w:t>роботодавець викликав заявника</w:t>
      </w:r>
      <w:r w:rsidR="00E81B07" w:rsidRPr="00F0117E">
        <w:rPr>
          <w:lang w:val="uk-UA"/>
        </w:rPr>
        <w:t xml:space="preserve"> </w:t>
      </w:r>
      <w:r w:rsidR="00CD05A2" w:rsidRPr="00F0117E">
        <w:rPr>
          <w:lang w:val="uk-UA"/>
        </w:rPr>
        <w:t>для отримання пояснення</w:t>
      </w:r>
      <w:r w:rsidR="00E81B07" w:rsidRPr="00F0117E">
        <w:rPr>
          <w:lang w:val="uk-UA"/>
        </w:rPr>
        <w:t xml:space="preserve">. </w:t>
      </w:r>
      <w:r w:rsidR="00CD05A2" w:rsidRPr="00F0117E">
        <w:rPr>
          <w:lang w:val="uk-UA"/>
        </w:rPr>
        <w:t>У відповідному повідомленні заявник був проінформований</w:t>
      </w:r>
      <w:r w:rsidR="00E81B07" w:rsidRPr="00F0117E">
        <w:rPr>
          <w:lang w:val="uk-UA"/>
        </w:rPr>
        <w:t xml:space="preserve"> </w:t>
      </w:r>
      <w:r w:rsidR="00CD05A2" w:rsidRPr="00F0117E">
        <w:rPr>
          <w:lang w:val="uk-UA"/>
        </w:rPr>
        <w:t>про те, що його розмови у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 </w:t>
      </w:r>
      <w:r w:rsidR="00CD05A2" w:rsidRPr="00F0117E">
        <w:rPr>
          <w:lang w:val="uk-UA"/>
        </w:rPr>
        <w:t>підлягали моніторингу</w:t>
      </w:r>
      <w:r w:rsidR="00E81B07" w:rsidRPr="00F0117E">
        <w:rPr>
          <w:lang w:val="uk-UA"/>
        </w:rPr>
        <w:t xml:space="preserve"> </w:t>
      </w:r>
      <w:r w:rsidR="00CD05A2" w:rsidRPr="00F0117E">
        <w:rPr>
          <w:lang w:val="uk-UA"/>
        </w:rPr>
        <w:t>і що існували докази того, що він використовував інтернет</w:t>
      </w:r>
      <w:r w:rsidR="00E81B07" w:rsidRPr="00F0117E">
        <w:rPr>
          <w:lang w:val="uk-UA"/>
        </w:rPr>
        <w:t xml:space="preserve"> </w:t>
      </w:r>
      <w:r w:rsidR="005A3373" w:rsidRPr="00F0117E">
        <w:rPr>
          <w:lang w:val="uk-UA"/>
        </w:rPr>
        <w:t>в особистих цілях</w:t>
      </w:r>
      <w:r w:rsidR="00E81B07" w:rsidRPr="00F0117E">
        <w:rPr>
          <w:lang w:val="uk-UA"/>
        </w:rPr>
        <w:t xml:space="preserve"> </w:t>
      </w:r>
      <w:r w:rsidR="00CD05A2" w:rsidRPr="00F0117E">
        <w:rPr>
          <w:lang w:val="uk-UA"/>
        </w:rPr>
        <w:t>в порушення внутрішніх розпоряджень</w:t>
      </w:r>
      <w:r w:rsidR="00E81B07" w:rsidRPr="00F0117E">
        <w:rPr>
          <w:lang w:val="uk-UA"/>
        </w:rPr>
        <w:t xml:space="preserve">. </w:t>
      </w:r>
      <w:r w:rsidR="00CD05A2" w:rsidRPr="00F0117E">
        <w:rPr>
          <w:lang w:val="uk-UA"/>
        </w:rPr>
        <w:t>Були створені діаграми, які вказували,</w:t>
      </w:r>
      <w:r w:rsidR="00E81B07" w:rsidRPr="00F0117E">
        <w:rPr>
          <w:lang w:val="uk-UA"/>
        </w:rPr>
        <w:t xml:space="preserve"> </w:t>
      </w:r>
      <w:r w:rsidR="00CD05A2" w:rsidRPr="00F0117E">
        <w:rPr>
          <w:lang w:val="uk-UA"/>
        </w:rPr>
        <w:t>що інтернет-активність заявника</w:t>
      </w:r>
      <w:r w:rsidR="00E81B07" w:rsidRPr="00F0117E">
        <w:rPr>
          <w:lang w:val="uk-UA"/>
        </w:rPr>
        <w:t xml:space="preserve"> </w:t>
      </w:r>
      <w:r w:rsidR="00CD05A2" w:rsidRPr="00F0117E">
        <w:rPr>
          <w:lang w:val="uk-UA"/>
        </w:rPr>
        <w:t>була вищою, ніж у його колег</w:t>
      </w:r>
      <w:r w:rsidR="00271A34" w:rsidRPr="00F0117E">
        <w:rPr>
          <w:lang w:val="uk-UA"/>
        </w:rPr>
        <w:t xml:space="preserve">. </w:t>
      </w:r>
      <w:r w:rsidR="00CD05A2" w:rsidRPr="00F0117E">
        <w:rPr>
          <w:lang w:val="uk-UA"/>
        </w:rPr>
        <w:t>На той час він не був проінформований</w:t>
      </w:r>
      <w:r w:rsidR="00E81B07" w:rsidRPr="00F0117E">
        <w:rPr>
          <w:lang w:val="uk-UA"/>
        </w:rPr>
        <w:t xml:space="preserve"> </w:t>
      </w:r>
      <w:r w:rsidR="00CD05A2" w:rsidRPr="00F0117E">
        <w:rPr>
          <w:lang w:val="uk-UA"/>
        </w:rPr>
        <w:t>про те, чи включав моніторинг його розмов</w:t>
      </w:r>
      <w:r w:rsidR="00E81B07" w:rsidRPr="00F0117E">
        <w:rPr>
          <w:lang w:val="uk-UA"/>
        </w:rPr>
        <w:t xml:space="preserve"> </w:t>
      </w:r>
      <w:r w:rsidR="00CD05A2" w:rsidRPr="00F0117E">
        <w:rPr>
          <w:lang w:val="uk-UA"/>
        </w:rPr>
        <w:t>їх зміст</w:t>
      </w:r>
      <w:r w:rsidR="00E81B07" w:rsidRPr="00F0117E">
        <w:rPr>
          <w:lang w:val="uk-UA"/>
        </w:rPr>
        <w:t xml:space="preserve">. </w:t>
      </w:r>
      <w:r w:rsidR="00CD05A2" w:rsidRPr="00F0117E">
        <w:rPr>
          <w:lang w:val="uk-UA"/>
        </w:rPr>
        <w:t>Повідомлення було сформульовано наступним чином</w:t>
      </w:r>
      <w:r w:rsidR="00E81B07" w:rsidRPr="00F0117E">
        <w:rPr>
          <w:lang w:val="uk-UA"/>
        </w:rPr>
        <w:t>: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</w:t>
      </w:r>
      <w:r w:rsidR="001702DB" w:rsidRPr="00F0117E">
        <w:rPr>
          <w:lang w:val="uk-UA"/>
        </w:rPr>
        <w:t>Будь ласка, поясніть, чому ви використовуєте ресурси компанії</w:t>
      </w:r>
      <w:r w:rsidRPr="00F0117E">
        <w:rPr>
          <w:lang w:val="uk-UA"/>
        </w:rPr>
        <w:t xml:space="preserve"> (</w:t>
      </w:r>
      <w:r w:rsidR="001702DB" w:rsidRPr="00F0117E">
        <w:rPr>
          <w:lang w:val="uk-UA"/>
        </w:rPr>
        <w:t>інтернет-зв’язок</w:t>
      </w:r>
      <w:r w:rsidRPr="00F0117E">
        <w:rPr>
          <w:lang w:val="uk-UA"/>
        </w:rPr>
        <w:t xml:space="preserve">, </w:t>
      </w:r>
      <w:r w:rsidR="001702DB" w:rsidRPr="00F0117E">
        <w:rPr>
          <w:lang w:val="uk-UA"/>
        </w:rPr>
        <w:t>месенджер</w:t>
      </w:r>
      <w:r w:rsidRPr="00F0117E">
        <w:rPr>
          <w:lang w:val="uk-UA"/>
        </w:rPr>
        <w:t xml:space="preserve">) </w:t>
      </w:r>
      <w:r w:rsidR="001702DB" w:rsidRPr="00F0117E">
        <w:rPr>
          <w:lang w:val="uk-UA"/>
        </w:rPr>
        <w:t>для особистих цілей упродовж робочого часу</w:t>
      </w:r>
      <w:r w:rsidRPr="00F0117E">
        <w:rPr>
          <w:lang w:val="uk-UA"/>
        </w:rPr>
        <w:t xml:space="preserve">, </w:t>
      </w:r>
      <w:r w:rsidR="001702DB" w:rsidRPr="00F0117E">
        <w:rPr>
          <w:lang w:val="uk-UA"/>
        </w:rPr>
        <w:t>як демонструють прикріплені діаграми</w:t>
      </w:r>
      <w:r w:rsidRPr="00F0117E">
        <w:rPr>
          <w:lang w:val="uk-UA"/>
        </w:rPr>
        <w:t>.”</w:t>
      </w:r>
    </w:p>
    <w:bookmarkStart w:id="8" w:name="usage_professionnel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19</w:t>
      </w:r>
      <w:r w:rsidRPr="00F0117E">
        <w:rPr>
          <w:lang w:val="uk-UA"/>
        </w:rPr>
        <w:fldChar w:fldCharType="end"/>
      </w:r>
      <w:bookmarkEnd w:id="8"/>
      <w:r w:rsidR="00E81B07" w:rsidRPr="00F0117E">
        <w:rPr>
          <w:lang w:val="uk-UA"/>
        </w:rPr>
        <w:t>. </w:t>
      </w:r>
      <w:r w:rsidR="001702DB" w:rsidRPr="00F0117E">
        <w:rPr>
          <w:lang w:val="uk-UA"/>
        </w:rPr>
        <w:t>Того ж дня заявник проінформував роботодавця у письмовій формі</w:t>
      </w:r>
      <w:r w:rsidR="00E81B07" w:rsidRPr="00F0117E">
        <w:rPr>
          <w:lang w:val="uk-UA"/>
        </w:rPr>
        <w:t xml:space="preserve"> </w:t>
      </w:r>
      <w:r w:rsidR="001702DB" w:rsidRPr="00F0117E">
        <w:rPr>
          <w:lang w:val="uk-UA"/>
        </w:rPr>
        <w:t>про те, що використовував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 </w:t>
      </w:r>
      <w:r w:rsidR="001702DB" w:rsidRPr="00F0117E">
        <w:rPr>
          <w:lang w:val="uk-UA"/>
        </w:rPr>
        <w:t>лише для робочих цілей</w:t>
      </w:r>
      <w:r w:rsidR="00E81B07" w:rsidRPr="00F0117E">
        <w:rPr>
          <w:lang w:val="uk-UA"/>
        </w:rPr>
        <w:t>.</w:t>
      </w:r>
    </w:p>
    <w:bookmarkStart w:id="9" w:name="fapte_ce_adiscutat_cu_prietena"/>
    <w:bookmarkStart w:id="10" w:name="a_doua_convocare_1720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20</w:t>
      </w:r>
      <w:r w:rsidRPr="00F0117E">
        <w:rPr>
          <w:lang w:val="uk-UA"/>
        </w:rPr>
        <w:fldChar w:fldCharType="end"/>
      </w:r>
      <w:bookmarkEnd w:id="9"/>
      <w:bookmarkEnd w:id="10"/>
      <w:r w:rsidR="00E81B07" w:rsidRPr="00F0117E">
        <w:rPr>
          <w:lang w:val="uk-UA"/>
        </w:rPr>
        <w:t>. </w:t>
      </w:r>
      <w:r w:rsidR="001702DB" w:rsidRPr="00F0117E">
        <w:rPr>
          <w:lang w:val="uk-UA"/>
        </w:rPr>
        <w:t>О 17</w:t>
      </w:r>
      <w:r w:rsidR="00E81B07" w:rsidRPr="00F0117E">
        <w:rPr>
          <w:lang w:val="uk-UA"/>
        </w:rPr>
        <w:t xml:space="preserve">.20 </w:t>
      </w:r>
      <w:proofErr w:type="spellStart"/>
      <w:r w:rsidR="00E81B07" w:rsidRPr="00F0117E">
        <w:rPr>
          <w:lang w:val="uk-UA"/>
        </w:rPr>
        <w:t>p</w:t>
      </w:r>
      <w:r w:rsidR="001702DB" w:rsidRPr="00F0117E">
        <w:rPr>
          <w:lang w:val="uk-UA"/>
        </w:rPr>
        <w:t>роботодавець</w:t>
      </w:r>
      <w:proofErr w:type="spellEnd"/>
      <w:r w:rsidR="001702DB" w:rsidRPr="00F0117E">
        <w:rPr>
          <w:lang w:val="uk-UA"/>
        </w:rPr>
        <w:t xml:space="preserve"> знову викликав заявника</w:t>
      </w:r>
      <w:r w:rsidR="00E81B07" w:rsidRPr="00F0117E">
        <w:rPr>
          <w:lang w:val="uk-UA"/>
        </w:rPr>
        <w:t xml:space="preserve"> </w:t>
      </w:r>
      <w:r w:rsidR="001702DB" w:rsidRPr="00F0117E">
        <w:rPr>
          <w:lang w:val="uk-UA"/>
        </w:rPr>
        <w:t>для отримання пояснення, надіславши наступне повідомлення</w:t>
      </w:r>
      <w:r w:rsidR="00E81B07" w:rsidRPr="00F0117E">
        <w:rPr>
          <w:lang w:val="uk-UA"/>
        </w:rPr>
        <w:t>: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</w:t>
      </w:r>
      <w:r w:rsidR="001702DB" w:rsidRPr="00F0117E">
        <w:rPr>
          <w:lang w:val="uk-UA"/>
        </w:rPr>
        <w:t>Будь ласка, поясніть, чому уся кореспонденція,</w:t>
      </w:r>
      <w:r w:rsidRPr="00F0117E">
        <w:rPr>
          <w:lang w:val="uk-UA"/>
        </w:rPr>
        <w:t xml:space="preserve"> </w:t>
      </w:r>
      <w:r w:rsidR="001702DB" w:rsidRPr="00F0117E">
        <w:rPr>
          <w:lang w:val="uk-UA"/>
        </w:rPr>
        <w:t>якою ви обмінювалися з</w:t>
      </w:r>
      <w:r w:rsidRPr="00F0117E">
        <w:rPr>
          <w:lang w:val="uk-UA"/>
        </w:rPr>
        <w:t xml:space="preserve"> 5 </w:t>
      </w:r>
      <w:r w:rsidR="001702DB" w:rsidRPr="00F0117E">
        <w:rPr>
          <w:lang w:val="uk-UA"/>
        </w:rPr>
        <w:t>до</w:t>
      </w:r>
      <w:r w:rsidRPr="00F0117E">
        <w:rPr>
          <w:lang w:val="uk-UA"/>
        </w:rPr>
        <w:t xml:space="preserve"> 12 </w:t>
      </w:r>
      <w:r w:rsidR="001702DB" w:rsidRPr="00F0117E">
        <w:rPr>
          <w:lang w:val="uk-UA"/>
        </w:rPr>
        <w:t>липня</w:t>
      </w:r>
      <w:r w:rsidRPr="00F0117E">
        <w:rPr>
          <w:lang w:val="uk-UA"/>
        </w:rPr>
        <w:t xml:space="preserve"> 2007 </w:t>
      </w:r>
      <w:r w:rsidR="001702DB" w:rsidRPr="00F0117E">
        <w:rPr>
          <w:lang w:val="uk-UA"/>
        </w:rPr>
        <w:t>року, використовуючи адресу Бухарестського сайту С.,</w:t>
      </w:r>
      <w:r w:rsidRPr="00F0117E">
        <w:rPr>
          <w:lang w:val="uk-UA"/>
        </w:rPr>
        <w:t xml:space="preserve"> </w:t>
      </w:r>
      <w:r w:rsidR="001702DB" w:rsidRPr="00F0117E">
        <w:rPr>
          <w:lang w:val="uk-UA"/>
        </w:rPr>
        <w:t>мала приватну мету</w:t>
      </w:r>
      <w:r w:rsidRPr="00F0117E">
        <w:rPr>
          <w:lang w:val="uk-UA"/>
        </w:rPr>
        <w:t xml:space="preserve">, </w:t>
      </w:r>
      <w:r w:rsidR="001702DB" w:rsidRPr="00F0117E">
        <w:rPr>
          <w:lang w:val="uk-UA"/>
        </w:rPr>
        <w:t>як демонструють прикріплені сорок п’ять сторінок</w:t>
      </w:r>
      <w:r w:rsidRPr="00F0117E">
        <w:rPr>
          <w:lang w:val="uk-UA"/>
        </w:rPr>
        <w:t>.”</w:t>
      </w:r>
    </w:p>
    <w:bookmarkStart w:id="11" w:name="content_messages"/>
    <w:p w:rsidR="00E36F4C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21</w:t>
      </w:r>
      <w:r w:rsidRPr="00F0117E">
        <w:rPr>
          <w:lang w:val="uk-UA"/>
        </w:rPr>
        <w:fldChar w:fldCharType="end"/>
      </w:r>
      <w:bookmarkEnd w:id="11"/>
      <w:r w:rsidR="00E81B07" w:rsidRPr="00F0117E">
        <w:rPr>
          <w:lang w:val="uk-UA"/>
        </w:rPr>
        <w:t>. </w:t>
      </w:r>
      <w:r w:rsidR="001702DB" w:rsidRPr="00F0117E">
        <w:rPr>
          <w:lang w:val="uk-UA"/>
        </w:rPr>
        <w:t>Сорок п’ять сторінок, згадані у повідомленні,</w:t>
      </w:r>
      <w:r w:rsidR="00E81B07" w:rsidRPr="00F0117E">
        <w:rPr>
          <w:lang w:val="uk-UA"/>
        </w:rPr>
        <w:t xml:space="preserve"> </w:t>
      </w:r>
      <w:r w:rsidR="001702DB" w:rsidRPr="00F0117E">
        <w:rPr>
          <w:lang w:val="uk-UA"/>
        </w:rPr>
        <w:t>складалися з розшифровки повідомлень,</w:t>
      </w:r>
      <w:r w:rsidR="00E81B07" w:rsidRPr="00F0117E">
        <w:rPr>
          <w:lang w:val="uk-UA"/>
        </w:rPr>
        <w:t xml:space="preserve"> </w:t>
      </w:r>
      <w:r w:rsidR="001702DB" w:rsidRPr="00F0117E">
        <w:rPr>
          <w:lang w:val="uk-UA"/>
        </w:rPr>
        <w:t>якими заявник обмінювався з братом</w:t>
      </w:r>
      <w:r w:rsidR="00E81B07" w:rsidRPr="00F0117E">
        <w:rPr>
          <w:lang w:val="uk-UA"/>
        </w:rPr>
        <w:t xml:space="preserve"> </w:t>
      </w:r>
      <w:r w:rsidR="001702DB" w:rsidRPr="00F0117E">
        <w:rPr>
          <w:lang w:val="uk-UA"/>
        </w:rPr>
        <w:t>та нареченою</w:t>
      </w:r>
      <w:r w:rsidR="00E81B07" w:rsidRPr="00F0117E">
        <w:rPr>
          <w:lang w:val="uk-UA"/>
        </w:rPr>
        <w:t xml:space="preserve"> </w:t>
      </w:r>
      <w:r w:rsidR="001702DB" w:rsidRPr="00F0117E">
        <w:rPr>
          <w:lang w:val="uk-UA"/>
        </w:rPr>
        <w:t>упродовж періоду моніторингу своїх повідомлень</w:t>
      </w:r>
      <w:r w:rsidR="00E81B07" w:rsidRPr="00F0117E">
        <w:rPr>
          <w:lang w:val="uk-UA"/>
        </w:rPr>
        <w:t xml:space="preserve">; </w:t>
      </w:r>
      <w:r w:rsidR="001702DB" w:rsidRPr="00F0117E">
        <w:rPr>
          <w:lang w:val="uk-UA"/>
        </w:rPr>
        <w:t>повідомлення стосувалися особистих питань,</w:t>
      </w:r>
      <w:r w:rsidR="00E81B07" w:rsidRPr="00F0117E">
        <w:rPr>
          <w:lang w:val="uk-UA"/>
        </w:rPr>
        <w:t xml:space="preserve"> </w:t>
      </w:r>
      <w:r w:rsidR="001702DB" w:rsidRPr="00F0117E">
        <w:rPr>
          <w:lang w:val="uk-UA"/>
        </w:rPr>
        <w:t>і деякі мали інтимний характер</w:t>
      </w:r>
      <w:r w:rsidR="00E81B07" w:rsidRPr="00F0117E">
        <w:rPr>
          <w:lang w:val="uk-UA"/>
        </w:rPr>
        <w:t xml:space="preserve">. </w:t>
      </w:r>
      <w:r w:rsidR="001702DB" w:rsidRPr="00F0117E">
        <w:rPr>
          <w:lang w:val="uk-UA"/>
        </w:rPr>
        <w:t>До розшифровки також входили п’ять повідомлень,</w:t>
      </w:r>
      <w:r w:rsidR="00E81B07" w:rsidRPr="00F0117E">
        <w:rPr>
          <w:lang w:val="uk-UA"/>
        </w:rPr>
        <w:t xml:space="preserve"> </w:t>
      </w:r>
      <w:r w:rsidR="001702DB" w:rsidRPr="00F0117E">
        <w:rPr>
          <w:lang w:val="uk-UA"/>
        </w:rPr>
        <w:t>якими заявник обмінювався зі своєю нареченою</w:t>
      </w:r>
      <w:r w:rsidR="00E81B07" w:rsidRPr="00F0117E">
        <w:rPr>
          <w:lang w:val="uk-UA"/>
        </w:rPr>
        <w:t xml:space="preserve"> </w:t>
      </w:r>
      <w:r w:rsidR="001702DB" w:rsidRPr="00F0117E">
        <w:rPr>
          <w:lang w:val="uk-UA"/>
        </w:rPr>
        <w:t xml:space="preserve">з використанням особистого </w:t>
      </w:r>
      <w:proofErr w:type="spellStart"/>
      <w:r w:rsidR="001702DB" w:rsidRPr="00F0117E">
        <w:rPr>
          <w:lang w:val="uk-UA"/>
        </w:rPr>
        <w:t>акаунту</w:t>
      </w:r>
      <w:proofErr w:type="spellEnd"/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Messenger; </w:t>
      </w:r>
      <w:r w:rsidR="001702DB" w:rsidRPr="00F0117E">
        <w:rPr>
          <w:lang w:val="uk-UA"/>
        </w:rPr>
        <w:t>ці повідомлення не містили ніякої інтимної інформації</w:t>
      </w:r>
      <w:r w:rsidR="00E81B07" w:rsidRPr="00F0117E">
        <w:rPr>
          <w:lang w:val="uk-UA"/>
        </w:rPr>
        <w:t>.</w:t>
      </w:r>
    </w:p>
    <w:bookmarkStart w:id="12" w:name="accusation_infraction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22</w:t>
      </w:r>
      <w:r w:rsidRPr="00F0117E">
        <w:rPr>
          <w:lang w:val="uk-UA"/>
        </w:rPr>
        <w:fldChar w:fldCharType="end"/>
      </w:r>
      <w:bookmarkEnd w:id="12"/>
      <w:r w:rsidR="00E81B07" w:rsidRPr="00F0117E">
        <w:rPr>
          <w:lang w:val="uk-UA"/>
        </w:rPr>
        <w:t>. </w:t>
      </w:r>
      <w:r w:rsidR="00BC13F4" w:rsidRPr="00F0117E">
        <w:rPr>
          <w:lang w:val="uk-UA"/>
        </w:rPr>
        <w:t>Також 13 липня</w:t>
      </w:r>
      <w:r w:rsidR="00E81B07" w:rsidRPr="00F0117E">
        <w:rPr>
          <w:lang w:val="uk-UA"/>
        </w:rPr>
        <w:t xml:space="preserve"> </w:t>
      </w:r>
      <w:r w:rsidR="00BC13F4" w:rsidRPr="00F0117E">
        <w:rPr>
          <w:lang w:val="uk-UA"/>
        </w:rPr>
        <w:t>заявник повідомив роботодавцю</w:t>
      </w:r>
      <w:r w:rsidR="00E81B07" w:rsidRPr="00F0117E">
        <w:rPr>
          <w:lang w:val="uk-UA"/>
        </w:rPr>
        <w:t xml:space="preserve"> </w:t>
      </w:r>
      <w:r w:rsidR="00BC13F4" w:rsidRPr="00F0117E">
        <w:rPr>
          <w:lang w:val="uk-UA"/>
        </w:rPr>
        <w:t>у письмовій формі, що на його думку,</w:t>
      </w:r>
      <w:r w:rsidR="00E81B07" w:rsidRPr="00F0117E">
        <w:rPr>
          <w:lang w:val="uk-UA"/>
        </w:rPr>
        <w:t xml:space="preserve"> </w:t>
      </w:r>
      <w:r w:rsidR="00BC13F4" w:rsidRPr="00F0117E">
        <w:rPr>
          <w:lang w:val="uk-UA"/>
        </w:rPr>
        <w:t>роботодавець учинив кримінальне правопорушення</w:t>
      </w:r>
      <w:r w:rsidR="00E81B07" w:rsidRPr="00F0117E">
        <w:rPr>
          <w:lang w:val="uk-UA"/>
        </w:rPr>
        <w:t xml:space="preserve">, </w:t>
      </w:r>
      <w:r w:rsidR="00BC13F4" w:rsidRPr="00F0117E">
        <w:rPr>
          <w:lang w:val="uk-UA"/>
        </w:rPr>
        <w:t>а саме, порушив таємницю кореспонденції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lastRenderedPageBreak/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23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 </w:t>
      </w:r>
      <w:r w:rsidR="003F19A4" w:rsidRPr="00F0117E">
        <w:rPr>
          <w:lang w:val="uk-UA"/>
        </w:rPr>
        <w:t>1 серпня</w:t>
      </w:r>
      <w:r w:rsidR="00E81B07" w:rsidRPr="00F0117E">
        <w:rPr>
          <w:lang w:val="uk-UA"/>
        </w:rPr>
        <w:t xml:space="preserve"> 2007 </w:t>
      </w:r>
      <w:r w:rsidR="003F19A4" w:rsidRPr="00F0117E">
        <w:rPr>
          <w:lang w:val="uk-UA"/>
        </w:rPr>
        <w:t>року роботодавець розірвав робочий контракт заявника</w:t>
      </w:r>
      <w:r w:rsidR="00E81B07" w:rsidRPr="00F0117E">
        <w:rPr>
          <w:lang w:val="uk-UA"/>
        </w:rPr>
        <w:t>.</w:t>
      </w:r>
    </w:p>
    <w:bookmarkStart w:id="13" w:name="doleanteR_TMB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24</w:t>
      </w:r>
      <w:r w:rsidRPr="00F0117E">
        <w:rPr>
          <w:lang w:val="uk-UA"/>
        </w:rPr>
        <w:fldChar w:fldCharType="end"/>
      </w:r>
      <w:bookmarkEnd w:id="13"/>
      <w:r w:rsidR="00E81B07" w:rsidRPr="00F0117E">
        <w:rPr>
          <w:lang w:val="uk-UA"/>
        </w:rPr>
        <w:t>. </w:t>
      </w:r>
      <w:r w:rsidR="003F19A4" w:rsidRPr="00F0117E">
        <w:rPr>
          <w:lang w:val="uk-UA"/>
        </w:rPr>
        <w:t>Заявник опротестував своє звільнення у заяві до</w:t>
      </w:r>
      <w:r w:rsidR="00E81B07" w:rsidRPr="00F0117E">
        <w:rPr>
          <w:lang w:val="uk-UA"/>
        </w:rPr>
        <w:t xml:space="preserve"> </w:t>
      </w:r>
      <w:r w:rsidR="003F19A4" w:rsidRPr="00F0117E">
        <w:rPr>
          <w:lang w:val="uk-UA"/>
        </w:rPr>
        <w:t>Бухарестського окружного суду (надалі – «окружний суд»)</w:t>
      </w:r>
      <w:r w:rsidR="00E81B07" w:rsidRPr="00F0117E">
        <w:rPr>
          <w:lang w:val="uk-UA"/>
        </w:rPr>
        <w:t xml:space="preserve">. </w:t>
      </w:r>
      <w:r w:rsidR="003F19A4" w:rsidRPr="00F0117E">
        <w:rPr>
          <w:lang w:val="uk-UA"/>
        </w:rPr>
        <w:t>Він попросив суд, по-перше, відставити у сторону звільнення</w:t>
      </w:r>
      <w:r w:rsidR="00E81B07" w:rsidRPr="00F0117E">
        <w:rPr>
          <w:lang w:val="uk-UA"/>
        </w:rPr>
        <w:t xml:space="preserve">; </w:t>
      </w:r>
      <w:r w:rsidR="003F19A4" w:rsidRPr="00F0117E">
        <w:rPr>
          <w:lang w:val="uk-UA"/>
        </w:rPr>
        <w:t>по-друге, наказати роботодавцеві сплатити йому суми,</w:t>
      </w:r>
      <w:r w:rsidR="00E81B07" w:rsidRPr="00F0117E">
        <w:rPr>
          <w:lang w:val="uk-UA"/>
        </w:rPr>
        <w:t xml:space="preserve"> </w:t>
      </w:r>
      <w:r w:rsidR="003F19A4" w:rsidRPr="00F0117E">
        <w:rPr>
          <w:lang w:val="uk-UA"/>
        </w:rPr>
        <w:t>які він заборгував стосовно заробітної плати</w:t>
      </w:r>
      <w:r w:rsidR="00E81B07" w:rsidRPr="00F0117E">
        <w:rPr>
          <w:lang w:val="uk-UA"/>
        </w:rPr>
        <w:t xml:space="preserve"> </w:t>
      </w:r>
      <w:r w:rsidR="003F19A4" w:rsidRPr="00F0117E">
        <w:rPr>
          <w:lang w:val="uk-UA"/>
        </w:rPr>
        <w:t>та будь-яких інших виплат,</w:t>
      </w:r>
      <w:r w:rsidR="00E81B07" w:rsidRPr="00F0117E">
        <w:rPr>
          <w:lang w:val="uk-UA"/>
        </w:rPr>
        <w:t xml:space="preserve"> </w:t>
      </w:r>
      <w:r w:rsidR="003F19A4" w:rsidRPr="00F0117E">
        <w:rPr>
          <w:lang w:val="uk-UA"/>
        </w:rPr>
        <w:t>та повернути його до посади</w:t>
      </w:r>
      <w:r w:rsidR="00E81B07" w:rsidRPr="00F0117E">
        <w:rPr>
          <w:lang w:val="uk-UA"/>
        </w:rPr>
        <w:t xml:space="preserve">; </w:t>
      </w:r>
      <w:r w:rsidR="003F19A4" w:rsidRPr="00F0117E">
        <w:rPr>
          <w:lang w:val="uk-UA"/>
        </w:rPr>
        <w:t>і по-третє, наказати роботодавцеві</w:t>
      </w:r>
      <w:r w:rsidR="00E81B07" w:rsidRPr="00F0117E">
        <w:rPr>
          <w:lang w:val="uk-UA"/>
        </w:rPr>
        <w:t xml:space="preserve"> </w:t>
      </w:r>
      <w:r w:rsidR="003F19A4" w:rsidRPr="00F0117E">
        <w:rPr>
          <w:lang w:val="uk-UA"/>
        </w:rPr>
        <w:t>сплатити йому</w:t>
      </w:r>
      <w:r w:rsidR="00E81B07" w:rsidRPr="00F0117E">
        <w:rPr>
          <w:lang w:val="uk-UA"/>
        </w:rPr>
        <w:t xml:space="preserve"> 100,000 </w:t>
      </w:r>
      <w:r w:rsidR="003F19A4" w:rsidRPr="00F0117E">
        <w:rPr>
          <w:lang w:val="uk-UA"/>
        </w:rPr>
        <w:t>румунських лей</w:t>
      </w:r>
      <w:r w:rsidR="00E81B07" w:rsidRPr="00F0117E">
        <w:rPr>
          <w:lang w:val="uk-UA"/>
        </w:rPr>
        <w:t xml:space="preserve"> (</w:t>
      </w:r>
      <w:r w:rsidR="003F19A4" w:rsidRPr="00F0117E">
        <w:rPr>
          <w:lang w:val="uk-UA"/>
        </w:rPr>
        <w:t>приблизно</w:t>
      </w:r>
      <w:r w:rsidR="00E81B07" w:rsidRPr="00F0117E">
        <w:rPr>
          <w:lang w:val="uk-UA"/>
        </w:rPr>
        <w:t xml:space="preserve"> 30,000 </w:t>
      </w:r>
      <w:r w:rsidR="003F19A4" w:rsidRPr="00F0117E">
        <w:rPr>
          <w:lang w:val="uk-UA"/>
        </w:rPr>
        <w:t>євро</w:t>
      </w:r>
      <w:r w:rsidR="00E81B07" w:rsidRPr="00F0117E">
        <w:rPr>
          <w:lang w:val="uk-UA"/>
        </w:rPr>
        <w:t xml:space="preserve">) </w:t>
      </w:r>
      <w:r w:rsidR="003F19A4" w:rsidRPr="00F0117E">
        <w:rPr>
          <w:lang w:val="uk-UA"/>
        </w:rPr>
        <w:t>в якості відшкодування шкоди, понесеної в результаті його звільнення</w:t>
      </w:r>
      <w:r w:rsidR="00E81B07" w:rsidRPr="00F0117E">
        <w:rPr>
          <w:lang w:val="uk-UA"/>
        </w:rPr>
        <w:t xml:space="preserve">, </w:t>
      </w:r>
      <w:r w:rsidR="003F19A4" w:rsidRPr="00F0117E">
        <w:rPr>
          <w:lang w:val="uk-UA"/>
        </w:rPr>
        <w:t>та відшкодувати судові витрати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25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 </w:t>
      </w:r>
      <w:r w:rsidR="00AE2EEB" w:rsidRPr="00F0117E">
        <w:rPr>
          <w:lang w:val="uk-UA"/>
        </w:rPr>
        <w:t>Щодо суті справи, спираючись на справу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szCs w:val="24"/>
          <w:lang w:val="uk-UA"/>
        </w:rPr>
        <w:t>Copland</w:t>
      </w:r>
      <w:proofErr w:type="spellEnd"/>
      <w:r w:rsidR="00E81B07" w:rsidRPr="00F0117E">
        <w:rPr>
          <w:i/>
          <w:szCs w:val="24"/>
          <w:lang w:val="uk-UA"/>
        </w:rPr>
        <w:t xml:space="preserve"> v. </w:t>
      </w:r>
      <w:proofErr w:type="spellStart"/>
      <w:r w:rsidR="00E81B07" w:rsidRPr="00F0117E">
        <w:rPr>
          <w:i/>
          <w:szCs w:val="24"/>
          <w:lang w:val="uk-UA"/>
        </w:rPr>
        <w:t>the</w:t>
      </w:r>
      <w:proofErr w:type="spellEnd"/>
      <w:r w:rsidR="00E81B07" w:rsidRPr="00F0117E">
        <w:rPr>
          <w:i/>
          <w:szCs w:val="24"/>
          <w:lang w:val="uk-UA"/>
        </w:rPr>
        <w:t xml:space="preserve"> </w:t>
      </w:r>
      <w:proofErr w:type="spellStart"/>
      <w:r w:rsidR="00E81B07" w:rsidRPr="00F0117E">
        <w:rPr>
          <w:i/>
          <w:szCs w:val="24"/>
          <w:lang w:val="uk-UA"/>
        </w:rPr>
        <w:t>United</w:t>
      </w:r>
      <w:proofErr w:type="spellEnd"/>
      <w:r w:rsidR="00E81B07" w:rsidRPr="00F0117E">
        <w:rPr>
          <w:i/>
          <w:szCs w:val="24"/>
          <w:lang w:val="uk-UA"/>
        </w:rPr>
        <w:t xml:space="preserve"> </w:t>
      </w:r>
      <w:proofErr w:type="spellStart"/>
      <w:r w:rsidR="00E81B07" w:rsidRPr="00F0117E">
        <w:rPr>
          <w:i/>
          <w:szCs w:val="24"/>
          <w:lang w:val="uk-UA"/>
        </w:rPr>
        <w:t>Kingdom</w:t>
      </w:r>
      <w:proofErr w:type="spellEnd"/>
      <w:r w:rsidR="00E81B07" w:rsidRPr="00F0117E">
        <w:rPr>
          <w:szCs w:val="24"/>
          <w:lang w:val="uk-UA"/>
        </w:rPr>
        <w:t xml:space="preserve"> (</w:t>
      </w:r>
      <w:r w:rsidR="00AE2EEB" w:rsidRPr="00F0117E">
        <w:rPr>
          <w:szCs w:val="24"/>
          <w:lang w:val="uk-UA"/>
        </w:rPr>
        <w:t>№</w:t>
      </w:r>
      <w:r w:rsidR="00E81B07" w:rsidRPr="00F0117E">
        <w:rPr>
          <w:szCs w:val="24"/>
          <w:lang w:val="uk-UA"/>
        </w:rPr>
        <w:t> 62617/00, §§ 43-44, ECHR 2007</w:t>
      </w:r>
      <w:r w:rsidR="00E81B07" w:rsidRPr="00F0117E">
        <w:rPr>
          <w:szCs w:val="24"/>
          <w:lang w:val="uk-UA"/>
        </w:rPr>
        <w:noBreakHyphen/>
        <w:t>I)</w:t>
      </w:r>
      <w:r w:rsidR="00E81B07" w:rsidRPr="00F0117E">
        <w:rPr>
          <w:lang w:val="uk-UA"/>
        </w:rPr>
        <w:t xml:space="preserve">, </w:t>
      </w:r>
      <w:r w:rsidR="00AE2EEB" w:rsidRPr="00F0117E">
        <w:rPr>
          <w:lang w:val="uk-UA"/>
        </w:rPr>
        <w:t>заявник стверджував, що розмови працівників за телефоном та електронною поштою</w:t>
      </w:r>
      <w:r w:rsidR="00E81B07" w:rsidRPr="00F0117E">
        <w:rPr>
          <w:lang w:val="uk-UA"/>
        </w:rPr>
        <w:t xml:space="preserve"> </w:t>
      </w:r>
      <w:r w:rsidR="00AE2EEB" w:rsidRPr="00F0117E">
        <w:rPr>
          <w:lang w:val="uk-UA"/>
        </w:rPr>
        <w:t>на робочому місці охоплювалися поняттями</w:t>
      </w:r>
      <w:r w:rsidR="00E81B07" w:rsidRPr="00F0117E">
        <w:rPr>
          <w:lang w:val="uk-UA"/>
        </w:rPr>
        <w:t xml:space="preserve"> </w:t>
      </w:r>
      <w:r w:rsidR="00AE2EEB" w:rsidRPr="00F0117E">
        <w:rPr>
          <w:lang w:val="uk-UA"/>
        </w:rPr>
        <w:t>«приватне життя» та «кореспонденція», і тому були захищені статтею</w:t>
      </w:r>
      <w:r w:rsidR="00E81B07" w:rsidRPr="00F0117E">
        <w:rPr>
          <w:lang w:val="uk-UA"/>
        </w:rPr>
        <w:t xml:space="preserve"> 8 </w:t>
      </w:r>
      <w:r w:rsidR="00AE2EEB" w:rsidRPr="00F0117E">
        <w:rPr>
          <w:lang w:val="uk-UA"/>
        </w:rPr>
        <w:t>Конвенції</w:t>
      </w:r>
      <w:r w:rsidR="00E81B07" w:rsidRPr="00F0117E">
        <w:rPr>
          <w:lang w:val="uk-UA"/>
        </w:rPr>
        <w:t xml:space="preserve">. </w:t>
      </w:r>
      <w:r w:rsidR="00AE2EEB" w:rsidRPr="00F0117E">
        <w:rPr>
          <w:lang w:val="uk-UA"/>
        </w:rPr>
        <w:t>Заявник також стверджував, що рішення щодо його звільнення було незаконним,</w:t>
      </w:r>
      <w:r w:rsidR="00E81B07" w:rsidRPr="00F0117E">
        <w:rPr>
          <w:lang w:val="uk-UA"/>
        </w:rPr>
        <w:t xml:space="preserve"> </w:t>
      </w:r>
      <w:r w:rsidR="00AE2EEB" w:rsidRPr="00F0117E">
        <w:rPr>
          <w:lang w:val="uk-UA"/>
        </w:rPr>
        <w:t>і що контролюючи його розмови</w:t>
      </w:r>
      <w:r w:rsidR="00E81B07" w:rsidRPr="00F0117E">
        <w:rPr>
          <w:lang w:val="uk-UA"/>
        </w:rPr>
        <w:t xml:space="preserve"> </w:t>
      </w:r>
      <w:r w:rsidR="00AE2EEB" w:rsidRPr="00F0117E">
        <w:rPr>
          <w:lang w:val="uk-UA"/>
        </w:rPr>
        <w:t>та маючи доступ до їх змісту, роботодавець порушив кримінальне право</w:t>
      </w:r>
      <w:r w:rsidR="00E81B07" w:rsidRPr="00F0117E">
        <w:rPr>
          <w:lang w:val="uk-UA"/>
        </w:rPr>
        <w:t>.</w:t>
      </w:r>
    </w:p>
    <w:bookmarkStart w:id="14" w:name="disclose_colleagues"/>
    <w:p w:rsidR="00E36F4C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26</w:t>
      </w:r>
      <w:r w:rsidRPr="00F0117E">
        <w:rPr>
          <w:lang w:val="uk-UA"/>
        </w:rPr>
        <w:fldChar w:fldCharType="end"/>
      </w:r>
      <w:bookmarkEnd w:id="14"/>
      <w:r w:rsidR="00E81B07" w:rsidRPr="00F0117E">
        <w:rPr>
          <w:lang w:val="uk-UA"/>
        </w:rPr>
        <w:t>. </w:t>
      </w:r>
      <w:r w:rsidR="00400DBE" w:rsidRPr="00F0117E">
        <w:rPr>
          <w:lang w:val="uk-UA"/>
        </w:rPr>
        <w:t>Беручи до уваги шкоду, яку він отримав, за власними словами</w:t>
      </w:r>
      <w:r w:rsidR="00E81B07" w:rsidRPr="00F0117E">
        <w:rPr>
          <w:lang w:val="uk-UA"/>
        </w:rPr>
        <w:t xml:space="preserve">, </w:t>
      </w:r>
      <w:r w:rsidR="00400DBE" w:rsidRPr="00F0117E">
        <w:rPr>
          <w:lang w:val="uk-UA"/>
        </w:rPr>
        <w:t>заявник прийняв до уваги характер свого звільнення</w:t>
      </w:r>
      <w:r w:rsidR="00E81B07" w:rsidRPr="00F0117E">
        <w:rPr>
          <w:lang w:val="uk-UA"/>
        </w:rPr>
        <w:t xml:space="preserve"> </w:t>
      </w:r>
      <w:r w:rsidR="00400DBE" w:rsidRPr="00F0117E">
        <w:rPr>
          <w:lang w:val="uk-UA"/>
        </w:rPr>
        <w:t>та стверджував, що зазнав переслідування</w:t>
      </w:r>
      <w:r w:rsidR="00E81B07" w:rsidRPr="00F0117E">
        <w:rPr>
          <w:lang w:val="uk-UA"/>
        </w:rPr>
        <w:t xml:space="preserve"> </w:t>
      </w:r>
      <w:r w:rsidR="00400DBE" w:rsidRPr="00F0117E">
        <w:rPr>
          <w:lang w:val="uk-UA"/>
        </w:rPr>
        <w:t>з боку роботодавця у зв’язку з моніторингом</w:t>
      </w:r>
      <w:r w:rsidR="00E81B07" w:rsidRPr="00F0117E">
        <w:rPr>
          <w:lang w:val="uk-UA"/>
        </w:rPr>
        <w:t xml:space="preserve"> </w:t>
      </w:r>
      <w:r w:rsidR="00400DBE" w:rsidRPr="00F0117E">
        <w:rPr>
          <w:lang w:val="uk-UA"/>
        </w:rPr>
        <w:t>його розмов та розкриттям їх змісту</w:t>
      </w:r>
      <w:r w:rsidR="00E81B07" w:rsidRPr="00F0117E">
        <w:rPr>
          <w:lang w:val="uk-UA"/>
        </w:rPr>
        <w:t xml:space="preserve"> </w:t>
      </w:r>
      <w:r w:rsidR="00400DBE" w:rsidRPr="00F0117E">
        <w:rPr>
          <w:lang w:val="uk-UA"/>
        </w:rPr>
        <w:t xml:space="preserve">«колегам, які так або інакше </w:t>
      </w:r>
      <w:r w:rsidR="00934150">
        <w:rPr>
          <w:lang w:val="uk-UA"/>
        </w:rPr>
        <w:t>бра</w:t>
      </w:r>
      <w:r w:rsidR="00400DBE" w:rsidRPr="00F0117E">
        <w:rPr>
          <w:lang w:val="uk-UA"/>
        </w:rPr>
        <w:t>ли участь у процедурі звільнення»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27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 </w:t>
      </w:r>
      <w:r w:rsidR="00400DBE" w:rsidRPr="00F0117E">
        <w:rPr>
          <w:lang w:val="uk-UA"/>
        </w:rPr>
        <w:t>Заявник надав докази, у тому числі повну копію розшифровки</w:t>
      </w:r>
      <w:r w:rsidR="00E81B07" w:rsidRPr="00F0117E">
        <w:rPr>
          <w:lang w:val="uk-UA"/>
        </w:rPr>
        <w:t xml:space="preserve"> </w:t>
      </w:r>
      <w:r w:rsidR="00400DBE" w:rsidRPr="00F0117E">
        <w:rPr>
          <w:lang w:val="uk-UA"/>
        </w:rPr>
        <w:t>його розмов за допомогою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 </w:t>
      </w:r>
      <w:r w:rsidR="00400DBE" w:rsidRPr="00F0117E">
        <w:rPr>
          <w:lang w:val="uk-UA"/>
        </w:rPr>
        <w:t>та копію інформаційного повідомлення</w:t>
      </w:r>
      <w:r w:rsidR="00E81B07" w:rsidRPr="00F0117E">
        <w:rPr>
          <w:lang w:val="uk-UA"/>
        </w:rPr>
        <w:t xml:space="preserve"> (</w:t>
      </w:r>
      <w:r w:rsidR="00400DBE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nota_informativa_3iulie \h  \* MERGEFORMAT ">
        <w:r w:rsidR="008B2B31" w:rsidRPr="00F0117E">
          <w:rPr>
            <w:lang w:val="uk-UA"/>
          </w:rPr>
          <w:t>15</w:t>
        </w:r>
      </w:fldSimple>
      <w:r w:rsidR="00E81B07" w:rsidRPr="00F0117E">
        <w:rPr>
          <w:lang w:val="uk-UA"/>
        </w:rPr>
        <w:t xml:space="preserve"> </w:t>
      </w:r>
      <w:r w:rsidR="00400DBE" w:rsidRPr="00F0117E">
        <w:rPr>
          <w:lang w:val="uk-UA"/>
        </w:rPr>
        <w:t>вище</w:t>
      </w:r>
      <w:r w:rsidR="00E81B07" w:rsidRPr="00F0117E">
        <w:rPr>
          <w:lang w:val="uk-UA"/>
        </w:rPr>
        <w:t>).</w:t>
      </w:r>
    </w:p>
    <w:bookmarkStart w:id="15" w:name="TMB_fond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28</w:t>
      </w:r>
      <w:r w:rsidRPr="00F0117E">
        <w:rPr>
          <w:lang w:val="uk-UA"/>
        </w:rPr>
        <w:fldChar w:fldCharType="end"/>
      </w:r>
      <w:bookmarkEnd w:id="15"/>
      <w:r w:rsidR="00E81B07" w:rsidRPr="00F0117E">
        <w:rPr>
          <w:lang w:val="uk-UA"/>
        </w:rPr>
        <w:t>. </w:t>
      </w:r>
      <w:r w:rsidR="00400DBE" w:rsidRPr="00F0117E">
        <w:rPr>
          <w:lang w:val="uk-UA"/>
        </w:rPr>
        <w:t>У рішенні від 7 грудня</w:t>
      </w:r>
      <w:r w:rsidR="00E81B07" w:rsidRPr="00F0117E">
        <w:rPr>
          <w:lang w:val="uk-UA"/>
        </w:rPr>
        <w:t xml:space="preserve"> 2007 </w:t>
      </w:r>
      <w:r w:rsidR="00400DBE" w:rsidRPr="00F0117E">
        <w:rPr>
          <w:lang w:val="uk-UA"/>
        </w:rPr>
        <w:t>року окружний суд</w:t>
      </w:r>
      <w:r w:rsidR="00E81B07" w:rsidRPr="00F0117E">
        <w:rPr>
          <w:lang w:val="uk-UA"/>
        </w:rPr>
        <w:t xml:space="preserve"> </w:t>
      </w:r>
      <w:r w:rsidR="00400DBE" w:rsidRPr="00F0117E">
        <w:rPr>
          <w:lang w:val="uk-UA"/>
        </w:rPr>
        <w:t>відхилив звернення заявника</w:t>
      </w:r>
      <w:r w:rsidR="00E81B07" w:rsidRPr="00F0117E">
        <w:rPr>
          <w:lang w:val="uk-UA"/>
        </w:rPr>
        <w:t xml:space="preserve"> </w:t>
      </w:r>
      <w:r w:rsidR="00400DBE" w:rsidRPr="00F0117E">
        <w:rPr>
          <w:lang w:val="uk-UA"/>
        </w:rPr>
        <w:t>та підтвердив, що його звільнення було законним</w:t>
      </w:r>
      <w:r w:rsidR="00E81B07" w:rsidRPr="00F0117E">
        <w:rPr>
          <w:lang w:val="uk-UA"/>
        </w:rPr>
        <w:t xml:space="preserve">. </w:t>
      </w:r>
      <w:r w:rsidR="00400DBE" w:rsidRPr="00F0117E">
        <w:rPr>
          <w:lang w:val="uk-UA"/>
        </w:rPr>
        <w:t>Відповідні частини рішення містять наступне</w:t>
      </w:r>
      <w:r w:rsidR="00E81B07" w:rsidRPr="00F0117E">
        <w:rPr>
          <w:lang w:val="uk-UA"/>
        </w:rPr>
        <w:t>: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</w:t>
      </w:r>
      <w:r w:rsidR="002B0A90" w:rsidRPr="00F0117E">
        <w:rPr>
          <w:lang w:val="uk-UA"/>
        </w:rPr>
        <w:t>Порядок проведення дисциплінарного розслідування</w:t>
      </w:r>
      <w:r w:rsidRPr="00F0117E">
        <w:rPr>
          <w:lang w:val="uk-UA"/>
        </w:rPr>
        <w:t xml:space="preserve"> </w:t>
      </w:r>
      <w:r w:rsidR="002B0A90" w:rsidRPr="00F0117E">
        <w:rPr>
          <w:lang w:val="uk-UA"/>
        </w:rPr>
        <w:t>чітко регулюється положеннями статті</w:t>
      </w:r>
      <w:r w:rsidRPr="00F0117E">
        <w:rPr>
          <w:lang w:val="uk-UA"/>
        </w:rPr>
        <w:t xml:space="preserve"> 267 </w:t>
      </w:r>
      <w:r w:rsidR="002B0A90" w:rsidRPr="00F0117E">
        <w:rPr>
          <w:lang w:val="uk-UA"/>
        </w:rPr>
        <w:t>Трудового кодексу</w:t>
      </w:r>
      <w:r w:rsidRPr="00F0117E">
        <w:rPr>
          <w:lang w:val="uk-UA"/>
        </w:rPr>
        <w:t>.</w:t>
      </w:r>
    </w:p>
    <w:p w:rsidR="00E81B07" w:rsidRPr="00F0117E" w:rsidRDefault="002B0A90" w:rsidP="008B2B31">
      <w:pPr>
        <w:pStyle w:val="ECHRParaQuote"/>
        <w:rPr>
          <w:lang w:val="uk-UA"/>
        </w:rPr>
      </w:pPr>
      <w:r w:rsidRPr="00F0117E">
        <w:rPr>
          <w:lang w:val="uk-UA"/>
        </w:rPr>
        <w:t>У даній справі було продемонстровано, за допомогою письмових документів,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прикріплених до матеріалів справи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що роботодавець провів дисциплінарне розслідування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стосовно заявника,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коли два рази викликав його у письмовій формі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для надання пояснення та зазначення теми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дати, часу та місця інтерв’ю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а також того, що заявник мав можливість надати аргументи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у свій захист стосовно стверджуваних дій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як очевидно з двох пояснювальних повідомлень,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прикріплених до матеріалів</w:t>
      </w:r>
      <w:r w:rsidR="00E81B07" w:rsidRPr="00F0117E">
        <w:rPr>
          <w:lang w:val="uk-UA"/>
        </w:rPr>
        <w:t xml:space="preserve"> (</w:t>
      </w:r>
      <w:r w:rsidRPr="00F0117E">
        <w:rPr>
          <w:lang w:val="uk-UA"/>
        </w:rPr>
        <w:t>див. копії на сторінках</w:t>
      </w:r>
      <w:r w:rsidR="00E81B07" w:rsidRPr="00F0117E">
        <w:rPr>
          <w:lang w:val="uk-UA"/>
        </w:rPr>
        <w:t xml:space="preserve"> 89 </w:t>
      </w:r>
      <w:r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91).</w:t>
      </w:r>
    </w:p>
    <w:p w:rsidR="00E81B07" w:rsidRPr="00F0117E" w:rsidRDefault="002B0A90" w:rsidP="008B2B31">
      <w:pPr>
        <w:pStyle w:val="ECHRParaQuote"/>
        <w:rPr>
          <w:lang w:val="uk-UA"/>
        </w:rPr>
      </w:pPr>
      <w:r w:rsidRPr="00F0117E">
        <w:rPr>
          <w:lang w:val="uk-UA"/>
        </w:rPr>
        <w:t>Суд вважає, що моніторинг інтернет-розмов,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 xml:space="preserve">у яких заявник </w:t>
      </w:r>
      <w:r w:rsidR="00934150">
        <w:rPr>
          <w:lang w:val="uk-UA"/>
        </w:rPr>
        <w:t>брав</w:t>
      </w:r>
      <w:r w:rsidRPr="00F0117E">
        <w:rPr>
          <w:lang w:val="uk-UA"/>
        </w:rPr>
        <w:t xml:space="preserve"> участь з використанням програмного забезпечення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 </w:t>
      </w:r>
      <w:r w:rsidRPr="00F0117E">
        <w:rPr>
          <w:lang w:val="uk-UA"/>
        </w:rPr>
        <w:t>на комп’ютері компанії упродовж робочого часу</w:t>
      </w:r>
      <w:r w:rsidR="00E81B07" w:rsidRPr="00F0117E">
        <w:rPr>
          <w:lang w:val="uk-UA"/>
        </w:rPr>
        <w:t xml:space="preserve"> – </w:t>
      </w:r>
      <w:r w:rsidRPr="00F0117E">
        <w:rPr>
          <w:lang w:val="uk-UA"/>
        </w:rPr>
        <w:t>незалежно від того, чи були дії роботодавця незаконними з точки зору кримінального законодавства</w:t>
      </w:r>
      <w:r w:rsidR="00E81B07" w:rsidRPr="00F0117E">
        <w:rPr>
          <w:lang w:val="uk-UA"/>
        </w:rPr>
        <w:t xml:space="preserve"> – </w:t>
      </w:r>
      <w:r w:rsidRPr="00F0117E">
        <w:rPr>
          <w:lang w:val="uk-UA"/>
        </w:rPr>
        <w:t>не може підірвати належність дисциплінарних проваджень у даній справі</w:t>
      </w:r>
      <w:r w:rsidR="00E81B07" w:rsidRPr="00F0117E">
        <w:rPr>
          <w:lang w:val="uk-UA"/>
        </w:rPr>
        <w:t>.</w:t>
      </w:r>
    </w:p>
    <w:p w:rsidR="00E81B07" w:rsidRPr="00F0117E" w:rsidRDefault="00E12972" w:rsidP="008B2B31">
      <w:pPr>
        <w:pStyle w:val="ECHRParaQuote"/>
        <w:rPr>
          <w:lang w:val="uk-UA"/>
        </w:rPr>
      </w:pPr>
      <w:r w:rsidRPr="00F0117E">
        <w:rPr>
          <w:lang w:val="uk-UA"/>
        </w:rPr>
        <w:lastRenderedPageBreak/>
        <w:t>Той факт, що положення стосовно вимоги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допитати підозрюваного</w:t>
      </w:r>
      <w:r w:rsidR="00E81B07" w:rsidRPr="00F0117E">
        <w:rPr>
          <w:lang w:val="uk-UA"/>
        </w:rPr>
        <w:t xml:space="preserve"> (</w:t>
      </w:r>
      <w:proofErr w:type="spellStart"/>
      <w:r w:rsidR="00E81B07" w:rsidRPr="00F0117E">
        <w:rPr>
          <w:i/>
          <w:lang w:val="uk-UA"/>
        </w:rPr>
        <w:t>învinuitul</w:t>
      </w:r>
      <w:proofErr w:type="spellEnd"/>
      <w:r w:rsidR="00E81B07" w:rsidRPr="00F0117E">
        <w:rPr>
          <w:lang w:val="uk-UA"/>
        </w:rPr>
        <w:t xml:space="preserve">) </w:t>
      </w:r>
      <w:r w:rsidRPr="00F0117E">
        <w:rPr>
          <w:lang w:val="uk-UA"/>
        </w:rPr>
        <w:t>у справі про стверджуван</w:t>
      </w:r>
      <w:r w:rsidR="00271A34" w:rsidRPr="00F0117E">
        <w:rPr>
          <w:lang w:val="uk-UA"/>
        </w:rPr>
        <w:t>е</w:t>
      </w:r>
      <w:r w:rsidRPr="00F0117E">
        <w:rPr>
          <w:lang w:val="uk-UA"/>
        </w:rPr>
        <w:t xml:space="preserve"> порушення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та дослідити аргументи,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надані на захист цієї особи,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до того, як рішення про санкцію буде прийнято в імперативних термінах,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підкреслює намір законодавства зробити повагу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до прав захисту передумовою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для належності рішення про накладення санкції</w:t>
      </w:r>
      <w:r w:rsidR="00E81B07" w:rsidRPr="00F0117E">
        <w:rPr>
          <w:lang w:val="uk-UA"/>
        </w:rPr>
        <w:t>.</w:t>
      </w:r>
    </w:p>
    <w:p w:rsidR="00E81B07" w:rsidRPr="00F0117E" w:rsidRDefault="00E12972" w:rsidP="008B2B31">
      <w:pPr>
        <w:pStyle w:val="ECHRParaQuote"/>
        <w:rPr>
          <w:lang w:val="uk-UA"/>
        </w:rPr>
      </w:pPr>
      <w:r w:rsidRPr="00F0117E">
        <w:rPr>
          <w:lang w:val="uk-UA"/>
        </w:rPr>
        <w:t>У даній справі, оскільки працівник наполягав протягом дисциплінарного розслідування,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що користувався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 </w:t>
      </w:r>
      <w:r w:rsidRPr="00F0117E">
        <w:rPr>
          <w:lang w:val="uk-UA"/>
        </w:rPr>
        <w:t xml:space="preserve">не для </w:t>
      </w:r>
      <w:r w:rsidR="00E64795" w:rsidRPr="00F0117E">
        <w:rPr>
          <w:lang w:val="uk-UA"/>
        </w:rPr>
        <w:t>особист</w:t>
      </w:r>
      <w:r w:rsidRPr="00F0117E">
        <w:rPr>
          <w:lang w:val="uk-UA"/>
        </w:rPr>
        <w:t>их цілей,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а для надання порад покупцям щодо продуктів,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які продавав роботодавець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суд вважає, що перевірка змісту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розмов</w:t>
      </w:r>
      <w:r w:rsidR="00E81B07" w:rsidRPr="00F0117E">
        <w:rPr>
          <w:lang w:val="uk-UA"/>
        </w:rPr>
        <w:t xml:space="preserve"> [</w:t>
      </w:r>
      <w:r w:rsidRPr="00F0117E">
        <w:rPr>
          <w:lang w:val="uk-UA"/>
        </w:rPr>
        <w:t>заявника</w:t>
      </w:r>
      <w:r w:rsidR="00E81B07" w:rsidRPr="00F0117E">
        <w:rPr>
          <w:lang w:val="uk-UA"/>
        </w:rPr>
        <w:t xml:space="preserve">] </w:t>
      </w:r>
      <w:r w:rsidRPr="00F0117E">
        <w:rPr>
          <w:lang w:val="uk-UA"/>
        </w:rPr>
        <w:t>була єдиним шляхом, за допомогою якого роботодавець міг перевірити обґрунтованість своїх аргументів</w:t>
      </w:r>
      <w:r w:rsidR="00E81B07" w:rsidRPr="00F0117E">
        <w:rPr>
          <w:lang w:val="uk-UA"/>
        </w:rPr>
        <w:t>.</w:t>
      </w:r>
    </w:p>
    <w:p w:rsidR="00E81B07" w:rsidRPr="00F0117E" w:rsidRDefault="006D4D42" w:rsidP="008B2B31">
      <w:pPr>
        <w:pStyle w:val="ECHRParaQuote"/>
        <w:rPr>
          <w:lang w:val="uk-UA"/>
        </w:rPr>
      </w:pPr>
      <w:r w:rsidRPr="00F0117E">
        <w:rPr>
          <w:lang w:val="uk-UA"/>
        </w:rPr>
        <w:t>Право роботодавця на моніторинг</w:t>
      </w:r>
      <w:r w:rsidR="00E81B07" w:rsidRPr="00F0117E">
        <w:rPr>
          <w:lang w:val="uk-UA"/>
        </w:rPr>
        <w:t xml:space="preserve"> (</w:t>
      </w:r>
      <w:proofErr w:type="spellStart"/>
      <w:r w:rsidR="00E81B07" w:rsidRPr="00F0117E">
        <w:rPr>
          <w:i/>
          <w:lang w:val="uk-UA"/>
        </w:rPr>
        <w:t>monitoriza</w:t>
      </w:r>
      <w:proofErr w:type="spellEnd"/>
      <w:r w:rsidR="00E81B07" w:rsidRPr="00F0117E">
        <w:rPr>
          <w:lang w:val="uk-UA"/>
        </w:rPr>
        <w:t xml:space="preserve">) </w:t>
      </w:r>
      <w:r w:rsidRPr="00F0117E">
        <w:rPr>
          <w:lang w:val="uk-UA"/>
        </w:rPr>
        <w:t>працівників на робочому місці</w:t>
      </w:r>
      <w:r w:rsidR="00E81B07" w:rsidRPr="00F0117E">
        <w:rPr>
          <w:lang w:val="uk-UA"/>
        </w:rPr>
        <w:t>, [</w:t>
      </w:r>
      <w:r w:rsidRPr="00F0117E">
        <w:rPr>
          <w:lang w:val="uk-UA"/>
        </w:rPr>
        <w:t>особливо</w:t>
      </w:r>
      <w:r w:rsidR="00E81B07" w:rsidRPr="00F0117E">
        <w:rPr>
          <w:lang w:val="uk-UA"/>
        </w:rPr>
        <w:t xml:space="preserve">] </w:t>
      </w:r>
      <w:r w:rsidRPr="00F0117E">
        <w:rPr>
          <w:lang w:val="uk-UA"/>
        </w:rPr>
        <w:t>в тому, що стосується користування робочими комп’ютерами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формує частину більш широкого права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яке регулюється положеннями статті</w:t>
      </w:r>
      <w:r w:rsidR="00E81B07" w:rsidRPr="00F0117E">
        <w:rPr>
          <w:lang w:val="uk-UA"/>
        </w:rPr>
        <w:t xml:space="preserve"> 40 (d) </w:t>
      </w:r>
      <w:r w:rsidRPr="00F0117E">
        <w:rPr>
          <w:lang w:val="uk-UA"/>
        </w:rPr>
        <w:t>Трудового кодексу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права контролювати те, як працівники виконують свої робочі обов’язки</w:t>
      </w:r>
      <w:r w:rsidR="00E81B07" w:rsidRPr="00F0117E">
        <w:rPr>
          <w:lang w:val="uk-UA"/>
        </w:rPr>
        <w:t>.</w:t>
      </w:r>
    </w:p>
    <w:p w:rsidR="00E81B07" w:rsidRPr="00F0117E" w:rsidRDefault="006D4D42" w:rsidP="008B2B31">
      <w:pPr>
        <w:pStyle w:val="ECHRParaQuote"/>
        <w:rPr>
          <w:lang w:val="uk-UA"/>
        </w:rPr>
      </w:pPr>
      <w:r w:rsidRPr="00F0117E">
        <w:rPr>
          <w:lang w:val="uk-UA"/>
        </w:rPr>
        <w:t>Оскільки було продемонстровано, що увага працівників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була звернута на той факт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що незадовго до дисциплінарної санкції заявника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 xml:space="preserve">інший працівник був звільнений через використання </w:t>
      </w:r>
      <w:proofErr w:type="spellStart"/>
      <w:r w:rsidRPr="00F0117E">
        <w:rPr>
          <w:lang w:val="uk-UA"/>
        </w:rPr>
        <w:t>інтернету</w:t>
      </w:r>
      <w:proofErr w:type="spellEnd"/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 xml:space="preserve">телефону та </w:t>
      </w:r>
      <w:proofErr w:type="spellStart"/>
      <w:r w:rsidRPr="00F0117E">
        <w:rPr>
          <w:lang w:val="uk-UA"/>
        </w:rPr>
        <w:t>фотокопіру</w:t>
      </w:r>
      <w:proofErr w:type="spellEnd"/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для особистих цілей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і що працівників попередили, що їх діяльність підлягатиме моніторингу</w:t>
      </w:r>
      <w:r w:rsidR="00E81B07" w:rsidRPr="00F0117E">
        <w:rPr>
          <w:lang w:val="uk-UA"/>
        </w:rPr>
        <w:t xml:space="preserve"> (</w:t>
      </w:r>
      <w:r w:rsidRPr="00F0117E">
        <w:rPr>
          <w:lang w:val="uk-UA"/>
        </w:rPr>
        <w:t>див. повідомлення №</w:t>
      </w:r>
      <w:r w:rsidR="00E81B07" w:rsidRPr="00F0117E">
        <w:rPr>
          <w:lang w:val="uk-UA"/>
        </w:rPr>
        <w:t xml:space="preserve"> 2316 </w:t>
      </w:r>
      <w:r w:rsidRPr="00F0117E">
        <w:rPr>
          <w:lang w:val="uk-UA"/>
        </w:rPr>
        <w:t>від 3 липня</w:t>
      </w:r>
      <w:r w:rsidR="00E81B07" w:rsidRPr="00F0117E">
        <w:rPr>
          <w:lang w:val="uk-UA"/>
        </w:rPr>
        <w:t xml:space="preserve"> 2007</w:t>
      </w:r>
      <w:r w:rsidRPr="00F0117E">
        <w:rPr>
          <w:lang w:val="uk-UA"/>
        </w:rPr>
        <w:t xml:space="preserve"> року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яке заявник підписав</w:t>
      </w:r>
      <w:r w:rsidR="00E81B07" w:rsidRPr="00F0117E">
        <w:rPr>
          <w:lang w:val="uk-UA"/>
        </w:rPr>
        <w:t xml:space="preserve"> [</w:t>
      </w:r>
      <w:r w:rsidRPr="00F0117E">
        <w:rPr>
          <w:lang w:val="uk-UA"/>
        </w:rPr>
        <w:t>після</w:t>
      </w:r>
      <w:r w:rsidR="00E81B07" w:rsidRPr="00F0117E">
        <w:rPr>
          <w:lang w:val="uk-UA"/>
        </w:rPr>
        <w:t xml:space="preserve">] </w:t>
      </w:r>
      <w:r w:rsidRPr="00F0117E">
        <w:rPr>
          <w:lang w:val="uk-UA"/>
        </w:rPr>
        <w:t>ознайомлення</w:t>
      </w:r>
      <w:r w:rsidR="00E81B07" w:rsidRPr="00F0117E">
        <w:rPr>
          <w:lang w:val="uk-UA"/>
        </w:rPr>
        <w:t xml:space="preserve"> – </w:t>
      </w:r>
      <w:r w:rsidRPr="00F0117E">
        <w:rPr>
          <w:lang w:val="uk-UA"/>
        </w:rPr>
        <w:t>див. копію на листі</w:t>
      </w:r>
      <w:r w:rsidR="00E81B07" w:rsidRPr="00F0117E">
        <w:rPr>
          <w:lang w:val="uk-UA"/>
        </w:rPr>
        <w:t xml:space="preserve"> 64), </w:t>
      </w:r>
      <w:r w:rsidRPr="00F0117E">
        <w:rPr>
          <w:lang w:val="uk-UA"/>
        </w:rPr>
        <w:t>роботодавця не можна обвинувачувати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 xml:space="preserve">у демонстрації відсутності </w:t>
      </w:r>
      <w:r w:rsidR="00BD7CFD" w:rsidRPr="00F0117E">
        <w:rPr>
          <w:lang w:val="uk-UA"/>
        </w:rPr>
        <w:t>транспарентності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та у ненаданні працівникам чіткого попередження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 xml:space="preserve">про те, що він </w:t>
      </w:r>
      <w:proofErr w:type="spellStart"/>
      <w:r w:rsidRPr="00F0117E">
        <w:rPr>
          <w:lang w:val="uk-UA"/>
        </w:rPr>
        <w:t>моніторив</w:t>
      </w:r>
      <w:proofErr w:type="spellEnd"/>
      <w:r w:rsidRPr="00F0117E">
        <w:rPr>
          <w:lang w:val="uk-UA"/>
        </w:rPr>
        <w:t xml:space="preserve"> їх користування комп’ютерами</w:t>
      </w:r>
      <w:r w:rsidR="00E81B07" w:rsidRPr="00F0117E">
        <w:rPr>
          <w:lang w:val="uk-UA"/>
        </w:rPr>
        <w:t>.</w:t>
      </w:r>
    </w:p>
    <w:p w:rsidR="00E81B07" w:rsidRPr="00F0117E" w:rsidRDefault="00C40FE4" w:rsidP="008B2B31">
      <w:pPr>
        <w:pStyle w:val="ECHRParaQuote"/>
        <w:rPr>
          <w:lang w:val="uk-UA"/>
        </w:rPr>
      </w:pPr>
      <w:r w:rsidRPr="00F0117E">
        <w:rPr>
          <w:lang w:val="uk-UA"/>
        </w:rPr>
        <w:t>Доступ до інтернету на робочому місці є, перш за все, інструментом,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який роботодавець робить доступним для працівників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для професійного використання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 xml:space="preserve">і роботодавець, безперечно, має повноваження </w:t>
      </w:r>
      <w:proofErr w:type="spellStart"/>
      <w:r w:rsidRPr="00F0117E">
        <w:rPr>
          <w:lang w:val="uk-UA"/>
        </w:rPr>
        <w:t>моніторити</w:t>
      </w:r>
      <w:proofErr w:type="spellEnd"/>
      <w:r w:rsidRPr="00F0117E">
        <w:rPr>
          <w:lang w:val="uk-UA"/>
        </w:rPr>
        <w:t xml:space="preserve"> </w:t>
      </w:r>
      <w:r w:rsidR="005A3373" w:rsidRPr="00F0117E">
        <w:rPr>
          <w:lang w:val="uk-UA"/>
        </w:rPr>
        <w:t xml:space="preserve">користування </w:t>
      </w:r>
      <w:proofErr w:type="spellStart"/>
      <w:r w:rsidR="005A3373" w:rsidRPr="00F0117E">
        <w:rPr>
          <w:lang w:val="uk-UA"/>
        </w:rPr>
        <w:t>інтернетом</w:t>
      </w:r>
      <w:proofErr w:type="spellEnd"/>
      <w:r w:rsidR="005A3373" w:rsidRPr="00F0117E">
        <w:rPr>
          <w:lang w:val="uk-UA"/>
        </w:rPr>
        <w:t xml:space="preserve"> в особистих цілях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в силу свого права контролювати діяльність працівників</w:t>
      </w:r>
      <w:r w:rsidR="00E81B07" w:rsidRPr="00F0117E">
        <w:rPr>
          <w:lang w:val="uk-UA"/>
        </w:rPr>
        <w:t>.</w:t>
      </w:r>
    </w:p>
    <w:p w:rsidR="00E81B07" w:rsidRPr="00F0117E" w:rsidRDefault="007F4252" w:rsidP="008B2B31">
      <w:pPr>
        <w:pStyle w:val="ECHRParaQuote"/>
        <w:rPr>
          <w:lang w:val="uk-UA"/>
        </w:rPr>
      </w:pPr>
      <w:r w:rsidRPr="00F0117E">
        <w:rPr>
          <w:lang w:val="uk-UA"/>
        </w:rPr>
        <w:t>Такі перевірки з боку роботодавця є необхідними у зв’язку, наприклад, з ризиком того, що через використання інтернету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працівники можуть пошкодити</w:t>
      </w:r>
      <w:r w:rsidR="00E81B07" w:rsidRPr="00F0117E">
        <w:rPr>
          <w:lang w:val="uk-UA"/>
        </w:rPr>
        <w:t xml:space="preserve"> IT</w:t>
      </w:r>
      <w:r w:rsidRPr="00F0117E">
        <w:rPr>
          <w:lang w:val="uk-UA"/>
        </w:rPr>
        <w:t>-системи компанії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 xml:space="preserve">здійснювати незаконну діяльність у </w:t>
      </w:r>
      <w:proofErr w:type="spellStart"/>
      <w:r w:rsidRPr="00F0117E">
        <w:rPr>
          <w:lang w:val="uk-UA"/>
        </w:rPr>
        <w:t>киберпросторі</w:t>
      </w:r>
      <w:proofErr w:type="spellEnd"/>
      <w:r w:rsidRPr="00F0117E">
        <w:rPr>
          <w:lang w:val="uk-UA"/>
        </w:rPr>
        <w:t>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за яку компанія понесе відповідальність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або розкрити комерційну таємницю компанії</w:t>
      </w:r>
      <w:r w:rsidR="00E81B07" w:rsidRPr="00F0117E">
        <w:rPr>
          <w:lang w:val="uk-UA"/>
        </w:rPr>
        <w:t>.</w:t>
      </w:r>
    </w:p>
    <w:p w:rsidR="00E81B07" w:rsidRPr="00F0117E" w:rsidRDefault="007F4252" w:rsidP="008B2B31">
      <w:pPr>
        <w:pStyle w:val="ECHRParaQuote"/>
        <w:rPr>
          <w:lang w:val="uk-UA"/>
        </w:rPr>
      </w:pPr>
      <w:r w:rsidRPr="00F0117E">
        <w:rPr>
          <w:lang w:val="uk-UA"/>
        </w:rPr>
        <w:t>Суд вважає, що скоєні заявником дії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становлять дисциплінарне правопорушення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у розумінні статті</w:t>
      </w:r>
      <w:r w:rsidR="00E81B07" w:rsidRPr="00F0117E">
        <w:rPr>
          <w:lang w:val="uk-UA"/>
        </w:rPr>
        <w:t xml:space="preserve"> 263 § 2 </w:t>
      </w:r>
      <w:r w:rsidRPr="00F0117E">
        <w:rPr>
          <w:lang w:val="uk-UA"/>
        </w:rPr>
        <w:t>Трудового кодексу,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оскільки становлять порушення положення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статті</w:t>
      </w:r>
      <w:r w:rsidR="00E81B07" w:rsidRPr="00F0117E">
        <w:rPr>
          <w:lang w:val="uk-UA"/>
        </w:rPr>
        <w:t xml:space="preserve"> 50 </w:t>
      </w:r>
      <w:r w:rsidRPr="00F0117E">
        <w:rPr>
          <w:lang w:val="uk-UA"/>
        </w:rPr>
        <w:t>внутрішніх положень С</w:t>
      </w:r>
      <w:r w:rsidR="00FE1EFB" w:rsidRPr="00F0117E">
        <w:rPr>
          <w:lang w:val="uk-UA"/>
        </w:rPr>
        <w:t>.</w:t>
      </w:r>
      <w:r w:rsidR="00E81B07" w:rsidRPr="00F0117E">
        <w:rPr>
          <w:lang w:val="uk-UA"/>
        </w:rPr>
        <w:t xml:space="preserve"> ..., </w:t>
      </w:r>
      <w:r w:rsidR="00FE1EFB" w:rsidRPr="00F0117E">
        <w:rPr>
          <w:lang w:val="uk-UA"/>
        </w:rPr>
        <w:t>які забороняють використання комп’ютерів в особистих цілях</w:t>
      </w:r>
      <w:r w:rsidR="00E81B07" w:rsidRPr="00F0117E">
        <w:rPr>
          <w:lang w:val="uk-UA"/>
        </w:rPr>
        <w:t>.</w:t>
      </w:r>
    </w:p>
    <w:p w:rsidR="00E36F4C" w:rsidRPr="00F0117E" w:rsidRDefault="00FE1EFB" w:rsidP="008B2B31">
      <w:pPr>
        <w:pStyle w:val="ECHRParaQuote"/>
        <w:rPr>
          <w:lang w:val="uk-UA"/>
        </w:rPr>
      </w:pPr>
      <w:r w:rsidRPr="00F0117E">
        <w:rPr>
          <w:lang w:val="uk-UA"/>
        </w:rPr>
        <w:t>Вищенаведені дії у внутрішніх розпорядженнях вважаються серйозними порушеннями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покаранням за які, відповідно до статті</w:t>
      </w:r>
      <w:r w:rsidR="00E81B07" w:rsidRPr="00F0117E">
        <w:rPr>
          <w:lang w:val="uk-UA"/>
        </w:rPr>
        <w:t xml:space="preserve"> 73 </w:t>
      </w:r>
      <w:r w:rsidRPr="00F0117E">
        <w:rPr>
          <w:lang w:val="uk-UA"/>
        </w:rPr>
        <w:t>тих же внутрішніх положень</w:t>
      </w:r>
      <w:r w:rsidR="00E81B07" w:rsidRPr="00F0117E">
        <w:rPr>
          <w:lang w:val="uk-UA"/>
        </w:rPr>
        <w:t>, [</w:t>
      </w:r>
      <w:r w:rsidRPr="00F0117E">
        <w:rPr>
          <w:lang w:val="uk-UA"/>
        </w:rPr>
        <w:t>є</w:t>
      </w:r>
      <w:r w:rsidR="00E81B07" w:rsidRPr="00F0117E">
        <w:rPr>
          <w:lang w:val="uk-UA"/>
        </w:rPr>
        <w:t xml:space="preserve">] </w:t>
      </w:r>
      <w:r w:rsidRPr="00F0117E">
        <w:rPr>
          <w:lang w:val="uk-UA"/>
        </w:rPr>
        <w:t>розривання робочого контракту з дисциплінарних підстав</w:t>
      </w:r>
      <w:r w:rsidR="00E81B07" w:rsidRPr="00F0117E">
        <w:rPr>
          <w:lang w:val="uk-UA"/>
        </w:rPr>
        <w:t>.</w:t>
      </w:r>
    </w:p>
    <w:p w:rsidR="00E81B07" w:rsidRPr="00F0117E" w:rsidRDefault="00FE1EFB" w:rsidP="008B2B31">
      <w:pPr>
        <w:pStyle w:val="ECHRParaQuote"/>
        <w:rPr>
          <w:lang w:val="uk-UA"/>
        </w:rPr>
      </w:pPr>
      <w:r w:rsidRPr="00F0117E">
        <w:rPr>
          <w:lang w:val="uk-UA"/>
        </w:rPr>
        <w:t>Беручи до уваги фактичні та юридичні аргументи,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наведені вище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суд вважає, що оскаржуване рішення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є обґрунтованим та законним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і відхиляє заяву, як необґрунтовану</w:t>
      </w:r>
      <w:r w:rsidR="00E81B07" w:rsidRPr="00F0117E">
        <w:rPr>
          <w:lang w:val="uk-UA"/>
        </w:rPr>
        <w:t>.”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29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FE1EFB" w:rsidRPr="00F0117E">
        <w:rPr>
          <w:lang w:val="uk-UA"/>
        </w:rPr>
        <w:t>Заявник оскаржив це рішення в Апеляційному суді Бухареста</w:t>
      </w:r>
      <w:r w:rsidR="00E81B07" w:rsidRPr="00F0117E">
        <w:rPr>
          <w:lang w:val="uk-UA"/>
        </w:rPr>
        <w:t xml:space="preserve"> </w:t>
      </w:r>
      <w:r w:rsidR="00FE1EFB" w:rsidRPr="00F0117E">
        <w:rPr>
          <w:lang w:val="uk-UA"/>
        </w:rPr>
        <w:t>(надалі – «апеляційний суд»</w:t>
      </w:r>
      <w:r w:rsidR="00E81B07" w:rsidRPr="00F0117E">
        <w:rPr>
          <w:lang w:val="uk-UA"/>
        </w:rPr>
        <w:t xml:space="preserve">). </w:t>
      </w:r>
      <w:r w:rsidR="00FE1EFB" w:rsidRPr="00F0117E">
        <w:rPr>
          <w:lang w:val="uk-UA"/>
        </w:rPr>
        <w:t>Він повторив аргументи, які надав у суді першої інстанції</w:t>
      </w:r>
      <w:r w:rsidR="00E81B07" w:rsidRPr="00F0117E">
        <w:rPr>
          <w:lang w:val="uk-UA"/>
        </w:rPr>
        <w:t xml:space="preserve"> </w:t>
      </w:r>
      <w:r w:rsidR="00FE1EFB" w:rsidRPr="00F0117E">
        <w:rPr>
          <w:lang w:val="uk-UA"/>
        </w:rPr>
        <w:t>та стверджував на додаток,</w:t>
      </w:r>
      <w:r w:rsidR="00E81B07" w:rsidRPr="00F0117E">
        <w:rPr>
          <w:lang w:val="uk-UA"/>
        </w:rPr>
        <w:t xml:space="preserve"> </w:t>
      </w:r>
      <w:r w:rsidR="00FE1EFB" w:rsidRPr="00F0117E">
        <w:rPr>
          <w:lang w:val="uk-UA"/>
        </w:rPr>
        <w:t xml:space="preserve">що суд не досяг </w:t>
      </w:r>
      <w:r w:rsidR="00FE1EFB" w:rsidRPr="00F0117E">
        <w:rPr>
          <w:lang w:val="uk-UA"/>
        </w:rPr>
        <w:lastRenderedPageBreak/>
        <w:t>справедливого балансу інтересів</w:t>
      </w:r>
      <w:r w:rsidR="00E81B07" w:rsidRPr="00F0117E">
        <w:rPr>
          <w:lang w:val="uk-UA"/>
        </w:rPr>
        <w:t xml:space="preserve">, </w:t>
      </w:r>
      <w:r w:rsidR="00FE1EFB" w:rsidRPr="00F0117E">
        <w:rPr>
          <w:lang w:val="uk-UA"/>
        </w:rPr>
        <w:t>несправедливо поставивши у пріоритет інтерес роботодавця</w:t>
      </w:r>
      <w:r w:rsidR="00E81B07" w:rsidRPr="00F0117E">
        <w:rPr>
          <w:lang w:val="uk-UA"/>
        </w:rPr>
        <w:t xml:space="preserve"> </w:t>
      </w:r>
      <w:r w:rsidR="00FE1EFB" w:rsidRPr="00F0117E">
        <w:rPr>
          <w:lang w:val="uk-UA"/>
        </w:rPr>
        <w:t>у користуванні свободою розсуду під</w:t>
      </w:r>
      <w:r w:rsidR="00FA6D4F" w:rsidRPr="00F0117E">
        <w:rPr>
          <w:lang w:val="uk-UA"/>
        </w:rPr>
        <w:t xml:space="preserve"> </w:t>
      </w:r>
      <w:r w:rsidR="00FE1EFB" w:rsidRPr="00F0117E">
        <w:rPr>
          <w:lang w:val="uk-UA"/>
        </w:rPr>
        <w:t>час контролю часу та ресурсів працівників</w:t>
      </w:r>
      <w:r w:rsidR="00E81B07" w:rsidRPr="00F0117E">
        <w:rPr>
          <w:lang w:val="uk-UA"/>
        </w:rPr>
        <w:t xml:space="preserve">. </w:t>
      </w:r>
      <w:r w:rsidR="00FE1EFB" w:rsidRPr="00F0117E">
        <w:rPr>
          <w:lang w:val="uk-UA"/>
        </w:rPr>
        <w:t>Він також стверджував, що ані внутрішні розпорядження,</w:t>
      </w:r>
      <w:r w:rsidR="00E81B07" w:rsidRPr="00F0117E">
        <w:rPr>
          <w:lang w:val="uk-UA"/>
        </w:rPr>
        <w:t xml:space="preserve"> </w:t>
      </w:r>
      <w:r w:rsidR="00FE1EFB" w:rsidRPr="00F0117E">
        <w:rPr>
          <w:lang w:val="uk-UA"/>
        </w:rPr>
        <w:t>ані інформаційне повідомлення не містило будь-яких ознак</w:t>
      </w:r>
      <w:r w:rsidR="00E81B07" w:rsidRPr="00F0117E">
        <w:rPr>
          <w:lang w:val="uk-UA"/>
        </w:rPr>
        <w:t xml:space="preserve"> </w:t>
      </w:r>
      <w:r w:rsidR="00FE1EFB" w:rsidRPr="00F0117E">
        <w:rPr>
          <w:lang w:val="uk-UA"/>
        </w:rPr>
        <w:t xml:space="preserve">того, що роботодавець міг </w:t>
      </w:r>
      <w:proofErr w:type="spellStart"/>
      <w:r w:rsidR="00FE1EFB" w:rsidRPr="00F0117E">
        <w:rPr>
          <w:lang w:val="uk-UA"/>
        </w:rPr>
        <w:t>моніторити</w:t>
      </w:r>
      <w:proofErr w:type="spellEnd"/>
      <w:r w:rsidR="00FE1EFB" w:rsidRPr="00F0117E">
        <w:rPr>
          <w:lang w:val="uk-UA"/>
        </w:rPr>
        <w:t xml:space="preserve"> розмови працівників</w:t>
      </w:r>
      <w:r w:rsidR="00E81B07" w:rsidRPr="00F0117E">
        <w:rPr>
          <w:lang w:val="uk-UA"/>
        </w:rPr>
        <w:t>.</w:t>
      </w:r>
    </w:p>
    <w:bookmarkStart w:id="16" w:name="hotarare_CAB"/>
    <w:bookmarkStart w:id="17" w:name="hotarare_CAB_recurs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30</w:t>
      </w:r>
      <w:r w:rsidRPr="00F0117E">
        <w:rPr>
          <w:lang w:val="uk-UA"/>
        </w:rPr>
        <w:fldChar w:fldCharType="end"/>
      </w:r>
      <w:bookmarkEnd w:id="16"/>
      <w:bookmarkEnd w:id="17"/>
      <w:r w:rsidR="00E81B07" w:rsidRPr="00F0117E">
        <w:rPr>
          <w:lang w:val="uk-UA"/>
        </w:rPr>
        <w:t>. </w:t>
      </w:r>
      <w:r w:rsidR="00FE1EFB" w:rsidRPr="00F0117E">
        <w:rPr>
          <w:lang w:val="uk-UA"/>
        </w:rPr>
        <w:t>Апеляційний суд відхилив апеляцію заявника</w:t>
      </w:r>
      <w:r w:rsidR="00E81B07" w:rsidRPr="00F0117E">
        <w:rPr>
          <w:lang w:val="uk-UA"/>
        </w:rPr>
        <w:t xml:space="preserve"> </w:t>
      </w:r>
      <w:r w:rsidR="00FE1EFB" w:rsidRPr="00F0117E">
        <w:rPr>
          <w:lang w:val="uk-UA"/>
        </w:rPr>
        <w:t>у рішенні від</w:t>
      </w:r>
      <w:r w:rsidR="00E81B07" w:rsidRPr="00F0117E">
        <w:rPr>
          <w:lang w:val="uk-UA"/>
        </w:rPr>
        <w:t xml:space="preserve"> 17 </w:t>
      </w:r>
      <w:r w:rsidR="00FE1EFB" w:rsidRPr="00F0117E">
        <w:rPr>
          <w:lang w:val="uk-UA"/>
        </w:rPr>
        <w:t>червня</w:t>
      </w:r>
      <w:r w:rsidR="00E81B07" w:rsidRPr="00F0117E">
        <w:rPr>
          <w:lang w:val="uk-UA"/>
        </w:rPr>
        <w:t xml:space="preserve"> 2008</w:t>
      </w:r>
      <w:r w:rsidR="00FE1EFB" w:rsidRPr="00F0117E">
        <w:rPr>
          <w:lang w:val="uk-UA"/>
        </w:rPr>
        <w:t xml:space="preserve"> року</w:t>
      </w:r>
      <w:r w:rsidR="00E81B07" w:rsidRPr="00F0117E">
        <w:rPr>
          <w:lang w:val="uk-UA"/>
        </w:rPr>
        <w:t xml:space="preserve">, </w:t>
      </w:r>
      <w:r w:rsidR="00FE1EFB" w:rsidRPr="00F0117E">
        <w:rPr>
          <w:lang w:val="uk-UA"/>
        </w:rPr>
        <w:t>відповідні частини якого містять наступне</w:t>
      </w:r>
      <w:r w:rsidR="00E81B07" w:rsidRPr="00F0117E">
        <w:rPr>
          <w:lang w:val="uk-UA"/>
        </w:rPr>
        <w:t>: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</w:t>
      </w:r>
      <w:r w:rsidR="00C17772" w:rsidRPr="00F0117E">
        <w:rPr>
          <w:lang w:val="uk-UA"/>
        </w:rPr>
        <w:t>Суд першої інстанції зробив правильний висновок</w:t>
      </w:r>
      <w:r w:rsidRPr="00F0117E">
        <w:rPr>
          <w:lang w:val="uk-UA"/>
        </w:rPr>
        <w:t xml:space="preserve"> </w:t>
      </w:r>
      <w:r w:rsidR="00C17772" w:rsidRPr="00F0117E">
        <w:rPr>
          <w:lang w:val="uk-UA"/>
        </w:rPr>
        <w:t>про те, що інтернет є інструментом, який роботодавець робить доступним для працівників</w:t>
      </w:r>
      <w:r w:rsidRPr="00F0117E">
        <w:rPr>
          <w:lang w:val="uk-UA"/>
        </w:rPr>
        <w:t xml:space="preserve"> </w:t>
      </w:r>
      <w:r w:rsidR="00C17772" w:rsidRPr="00F0117E">
        <w:rPr>
          <w:lang w:val="uk-UA"/>
        </w:rPr>
        <w:t>для професійного використання</w:t>
      </w:r>
      <w:r w:rsidRPr="00F0117E">
        <w:rPr>
          <w:lang w:val="uk-UA"/>
        </w:rPr>
        <w:t xml:space="preserve">, </w:t>
      </w:r>
      <w:r w:rsidR="00C17772" w:rsidRPr="00F0117E">
        <w:rPr>
          <w:lang w:val="uk-UA"/>
        </w:rPr>
        <w:t>і що роботодавець має право встановлювати правила</w:t>
      </w:r>
      <w:r w:rsidRPr="00F0117E">
        <w:rPr>
          <w:lang w:val="uk-UA"/>
        </w:rPr>
        <w:t xml:space="preserve"> </w:t>
      </w:r>
      <w:r w:rsidR="00C17772" w:rsidRPr="00F0117E">
        <w:rPr>
          <w:lang w:val="uk-UA"/>
        </w:rPr>
        <w:t>для користування цим інструментом</w:t>
      </w:r>
      <w:r w:rsidRPr="00F0117E">
        <w:rPr>
          <w:lang w:val="uk-UA"/>
        </w:rPr>
        <w:t xml:space="preserve">, </w:t>
      </w:r>
      <w:r w:rsidR="00C17772" w:rsidRPr="00F0117E">
        <w:rPr>
          <w:lang w:val="uk-UA"/>
        </w:rPr>
        <w:t>наводячи заборони та положення, яких працівники повинні дотримуватися</w:t>
      </w:r>
      <w:r w:rsidRPr="00F0117E">
        <w:rPr>
          <w:lang w:val="uk-UA"/>
        </w:rPr>
        <w:t xml:space="preserve"> </w:t>
      </w:r>
      <w:r w:rsidR="00C17772" w:rsidRPr="00F0117E">
        <w:rPr>
          <w:lang w:val="uk-UA"/>
        </w:rPr>
        <w:t>при користуванні інтернетом на робочому місці</w:t>
      </w:r>
      <w:r w:rsidRPr="00F0117E">
        <w:rPr>
          <w:lang w:val="uk-UA"/>
        </w:rPr>
        <w:t xml:space="preserve">; </w:t>
      </w:r>
      <w:r w:rsidR="00C17772" w:rsidRPr="00F0117E">
        <w:rPr>
          <w:lang w:val="uk-UA"/>
        </w:rPr>
        <w:t xml:space="preserve">очевидно, що в </w:t>
      </w:r>
      <w:r w:rsidR="005A3373" w:rsidRPr="00F0117E">
        <w:rPr>
          <w:lang w:val="uk-UA"/>
        </w:rPr>
        <w:t>користуванні в особистих цілях</w:t>
      </w:r>
      <w:r w:rsidR="00C17772" w:rsidRPr="00F0117E">
        <w:rPr>
          <w:lang w:val="uk-UA"/>
        </w:rPr>
        <w:t xml:space="preserve"> можна відмовити</w:t>
      </w:r>
      <w:r w:rsidRPr="00F0117E">
        <w:rPr>
          <w:lang w:val="uk-UA"/>
        </w:rPr>
        <w:t xml:space="preserve">, </w:t>
      </w:r>
      <w:r w:rsidR="00C17772" w:rsidRPr="00F0117E">
        <w:rPr>
          <w:lang w:val="uk-UA"/>
        </w:rPr>
        <w:t>і що працівники у даній справі були належним чином проінформовані</w:t>
      </w:r>
      <w:r w:rsidRPr="00F0117E">
        <w:rPr>
          <w:lang w:val="uk-UA"/>
        </w:rPr>
        <w:t xml:space="preserve"> </w:t>
      </w:r>
      <w:r w:rsidR="00C17772" w:rsidRPr="00F0117E">
        <w:rPr>
          <w:lang w:val="uk-UA"/>
        </w:rPr>
        <w:t>про це у повідомленні, виданому 26</w:t>
      </w:r>
      <w:r w:rsidRPr="00F0117E">
        <w:rPr>
          <w:lang w:val="uk-UA"/>
        </w:rPr>
        <w:t xml:space="preserve"> </w:t>
      </w:r>
      <w:r w:rsidR="00C17772" w:rsidRPr="00F0117E">
        <w:rPr>
          <w:lang w:val="uk-UA"/>
        </w:rPr>
        <w:t>червня</w:t>
      </w:r>
      <w:r w:rsidRPr="00F0117E">
        <w:rPr>
          <w:lang w:val="uk-UA"/>
        </w:rPr>
        <w:t xml:space="preserve"> 2007 </w:t>
      </w:r>
      <w:r w:rsidR="00C17772" w:rsidRPr="00F0117E">
        <w:rPr>
          <w:lang w:val="uk-UA"/>
        </w:rPr>
        <w:t>року, відповідно до положень</w:t>
      </w:r>
      <w:r w:rsidRPr="00F0117E">
        <w:rPr>
          <w:lang w:val="uk-UA"/>
        </w:rPr>
        <w:t xml:space="preserve"> </w:t>
      </w:r>
      <w:r w:rsidR="00C17772" w:rsidRPr="00F0117E">
        <w:rPr>
          <w:lang w:val="uk-UA"/>
        </w:rPr>
        <w:t>внутрішніх розпоряджень</w:t>
      </w:r>
      <w:r w:rsidRPr="00F0117E">
        <w:rPr>
          <w:lang w:val="uk-UA"/>
        </w:rPr>
        <w:t xml:space="preserve">, </w:t>
      </w:r>
      <w:r w:rsidR="00C17772" w:rsidRPr="00F0117E">
        <w:rPr>
          <w:lang w:val="uk-UA"/>
        </w:rPr>
        <w:t>у яких вони були проінструктовані щодо дотримання графіку</w:t>
      </w:r>
      <w:r w:rsidRPr="00F0117E">
        <w:rPr>
          <w:lang w:val="uk-UA"/>
        </w:rPr>
        <w:t xml:space="preserve">, </w:t>
      </w:r>
      <w:r w:rsidR="00C17772" w:rsidRPr="00F0117E">
        <w:rPr>
          <w:lang w:val="uk-UA"/>
        </w:rPr>
        <w:t>присутності на робочому місці</w:t>
      </w:r>
      <w:r w:rsidRPr="00F0117E">
        <w:rPr>
          <w:lang w:val="uk-UA"/>
        </w:rPr>
        <w:t xml:space="preserve"> [</w:t>
      </w:r>
      <w:r w:rsidR="00C17772" w:rsidRPr="00F0117E">
        <w:rPr>
          <w:lang w:val="uk-UA"/>
        </w:rPr>
        <w:t>упродовж робочого часу та</w:t>
      </w:r>
      <w:r w:rsidRPr="00F0117E">
        <w:rPr>
          <w:lang w:val="uk-UA"/>
        </w:rPr>
        <w:t xml:space="preserve">] </w:t>
      </w:r>
      <w:r w:rsidR="00C17772" w:rsidRPr="00F0117E">
        <w:rPr>
          <w:lang w:val="uk-UA"/>
        </w:rPr>
        <w:t>ефективного використання робочого часу</w:t>
      </w:r>
      <w:r w:rsidRPr="00F0117E">
        <w:rPr>
          <w:lang w:val="uk-UA"/>
        </w:rPr>
        <w:t>.</w:t>
      </w:r>
    </w:p>
    <w:p w:rsidR="00E81B07" w:rsidRPr="00F0117E" w:rsidRDefault="00C17772" w:rsidP="008B2B31">
      <w:pPr>
        <w:pStyle w:val="ECHRParaQuote"/>
        <w:rPr>
          <w:lang w:val="uk-UA"/>
        </w:rPr>
      </w:pPr>
      <w:r w:rsidRPr="00F0117E">
        <w:rPr>
          <w:lang w:val="uk-UA"/>
        </w:rPr>
        <w:t>Щодо висновку – роботодавець, який зробив вклад,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має право, при користуванні правами, закріпленими у статті</w:t>
      </w:r>
      <w:r w:rsidR="00E81B07" w:rsidRPr="00F0117E">
        <w:rPr>
          <w:lang w:val="uk-UA"/>
        </w:rPr>
        <w:t xml:space="preserve"> 40 § 1 </w:t>
      </w:r>
      <w:r w:rsidRPr="00F0117E">
        <w:rPr>
          <w:lang w:val="uk-UA"/>
        </w:rPr>
        <w:t>Трудового кодексу</w:t>
      </w:r>
      <w:r w:rsidR="00E81B07" w:rsidRPr="00F0117E">
        <w:rPr>
          <w:lang w:val="uk-UA"/>
        </w:rPr>
        <w:t xml:space="preserve">, </w:t>
      </w:r>
      <w:proofErr w:type="spellStart"/>
      <w:r w:rsidRPr="00F0117E">
        <w:rPr>
          <w:lang w:val="uk-UA"/>
        </w:rPr>
        <w:t>моніторити</w:t>
      </w:r>
      <w:proofErr w:type="spellEnd"/>
      <w:r w:rsidRPr="00F0117E">
        <w:rPr>
          <w:lang w:val="uk-UA"/>
        </w:rPr>
        <w:t xml:space="preserve"> користування </w:t>
      </w:r>
      <w:proofErr w:type="spellStart"/>
      <w:r w:rsidRPr="00F0117E">
        <w:rPr>
          <w:lang w:val="uk-UA"/>
        </w:rPr>
        <w:t>інтернетом</w:t>
      </w:r>
      <w:proofErr w:type="spellEnd"/>
      <w:r w:rsidRPr="00F0117E">
        <w:rPr>
          <w:lang w:val="uk-UA"/>
        </w:rPr>
        <w:t xml:space="preserve"> на робочому місці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а працівник, який порушує правила роботодавця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 xml:space="preserve">щодо </w:t>
      </w:r>
      <w:r w:rsidR="00E64795" w:rsidRPr="00F0117E">
        <w:rPr>
          <w:lang w:val="uk-UA"/>
        </w:rPr>
        <w:t>користування інтернетом в особистих цілях</w:t>
      </w:r>
      <w:r w:rsidRPr="00F0117E">
        <w:rPr>
          <w:lang w:val="uk-UA"/>
        </w:rPr>
        <w:t>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вчиняє дисциплінарне порушення,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яке може призвести до санкції, у тому числі серйозної</w:t>
      </w:r>
      <w:r w:rsidR="00E81B07" w:rsidRPr="00F0117E">
        <w:rPr>
          <w:lang w:val="uk-UA"/>
        </w:rPr>
        <w:t>.</w:t>
      </w:r>
    </w:p>
    <w:p w:rsidR="00E81B07" w:rsidRPr="00F0117E" w:rsidRDefault="00334E2F" w:rsidP="008B2B31">
      <w:pPr>
        <w:pStyle w:val="ECHRParaQuote"/>
        <w:rPr>
          <w:lang w:val="uk-UA"/>
        </w:rPr>
      </w:pPr>
      <w:r w:rsidRPr="00F0117E">
        <w:rPr>
          <w:lang w:val="uk-UA"/>
        </w:rPr>
        <w:t>Безсумнівно, існує конфлікт між правом роботодавця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на моніторинг і правом працівників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на захист їх приватного життя</w:t>
      </w:r>
      <w:r w:rsidR="00E81B07" w:rsidRPr="00F0117E">
        <w:rPr>
          <w:lang w:val="uk-UA"/>
        </w:rPr>
        <w:t xml:space="preserve">. </w:t>
      </w:r>
      <w:r w:rsidRPr="00F0117E">
        <w:rPr>
          <w:lang w:val="uk-UA"/>
        </w:rPr>
        <w:t>Цей конфлікт був вирішений на рівні Європейського Союзу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шляхом прийняття Директиви №</w:t>
      </w:r>
      <w:r w:rsidR="00E81B07" w:rsidRPr="00F0117E">
        <w:rPr>
          <w:lang w:val="uk-UA"/>
        </w:rPr>
        <w:t xml:space="preserve"> 95/46/EC, </w:t>
      </w:r>
      <w:r w:rsidRPr="00F0117E">
        <w:rPr>
          <w:lang w:val="uk-UA"/>
        </w:rPr>
        <w:t>яка виклала низку принципів,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що регулюють моніторинг користування інтернетом та електронною поштою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на робочому місці, у тому числі, зокрема, наступне</w:t>
      </w:r>
      <w:r w:rsidR="00E81B07"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 xml:space="preserve">- </w:t>
      </w:r>
      <w:r w:rsidR="00334E2F" w:rsidRPr="00F0117E">
        <w:rPr>
          <w:lang w:val="uk-UA"/>
        </w:rPr>
        <w:t>Принцип необхідності</w:t>
      </w:r>
      <w:r w:rsidRPr="00F0117E">
        <w:rPr>
          <w:lang w:val="uk-UA"/>
        </w:rPr>
        <w:t xml:space="preserve">: </w:t>
      </w:r>
      <w:r w:rsidR="00334E2F" w:rsidRPr="00F0117E">
        <w:rPr>
          <w:lang w:val="uk-UA"/>
        </w:rPr>
        <w:t>моніторинг повинен бути необхідним для досягнення певної мети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 xml:space="preserve">- </w:t>
      </w:r>
      <w:r w:rsidR="00334E2F" w:rsidRPr="00F0117E">
        <w:rPr>
          <w:lang w:val="uk-UA"/>
        </w:rPr>
        <w:t>Принцип зазначення мети</w:t>
      </w:r>
      <w:r w:rsidRPr="00F0117E">
        <w:rPr>
          <w:lang w:val="uk-UA"/>
        </w:rPr>
        <w:t xml:space="preserve">: </w:t>
      </w:r>
      <w:r w:rsidR="00334E2F" w:rsidRPr="00F0117E">
        <w:rPr>
          <w:lang w:val="uk-UA"/>
        </w:rPr>
        <w:t>дані повинні збиратися з конкретною</w:t>
      </w:r>
      <w:r w:rsidRPr="00F0117E">
        <w:rPr>
          <w:lang w:val="uk-UA"/>
        </w:rPr>
        <w:t xml:space="preserve">, </w:t>
      </w:r>
      <w:r w:rsidR="00334E2F" w:rsidRPr="00F0117E">
        <w:rPr>
          <w:lang w:val="uk-UA"/>
        </w:rPr>
        <w:t>чіткою та законною метою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 xml:space="preserve">- </w:t>
      </w:r>
      <w:r w:rsidR="00334E2F" w:rsidRPr="00F0117E">
        <w:rPr>
          <w:lang w:val="uk-UA"/>
        </w:rPr>
        <w:t xml:space="preserve">Принцип </w:t>
      </w:r>
      <w:r w:rsidR="00BD7CFD" w:rsidRPr="00F0117E">
        <w:rPr>
          <w:lang w:val="uk-UA"/>
        </w:rPr>
        <w:t>транспарентності</w:t>
      </w:r>
      <w:r w:rsidRPr="00F0117E">
        <w:rPr>
          <w:lang w:val="uk-UA"/>
        </w:rPr>
        <w:t xml:space="preserve">: </w:t>
      </w:r>
      <w:r w:rsidR="00334E2F" w:rsidRPr="00F0117E">
        <w:rPr>
          <w:lang w:val="uk-UA"/>
        </w:rPr>
        <w:t>роботодавець повинен надати працівникам повну інформацію</w:t>
      </w:r>
      <w:r w:rsidRPr="00F0117E">
        <w:rPr>
          <w:lang w:val="uk-UA"/>
        </w:rPr>
        <w:t xml:space="preserve"> </w:t>
      </w:r>
      <w:r w:rsidR="00334E2F" w:rsidRPr="00F0117E">
        <w:rPr>
          <w:lang w:val="uk-UA"/>
        </w:rPr>
        <w:t>про моніторингові операції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 xml:space="preserve">- </w:t>
      </w:r>
      <w:r w:rsidR="00334E2F" w:rsidRPr="00F0117E">
        <w:rPr>
          <w:lang w:val="uk-UA"/>
        </w:rPr>
        <w:t>Принцип законності</w:t>
      </w:r>
      <w:r w:rsidRPr="00F0117E">
        <w:rPr>
          <w:lang w:val="uk-UA"/>
        </w:rPr>
        <w:t xml:space="preserve">: </w:t>
      </w:r>
      <w:r w:rsidR="00EC5274" w:rsidRPr="00F0117E">
        <w:rPr>
          <w:lang w:val="uk-UA"/>
        </w:rPr>
        <w:t xml:space="preserve">операції з </w:t>
      </w:r>
      <w:r w:rsidR="008A4497" w:rsidRPr="00F0117E">
        <w:rPr>
          <w:lang w:val="uk-UA"/>
        </w:rPr>
        <w:t>опрацювання</w:t>
      </w:r>
      <w:r w:rsidR="00EC5274" w:rsidRPr="00F0117E">
        <w:rPr>
          <w:lang w:val="uk-UA"/>
        </w:rPr>
        <w:t xml:space="preserve"> даних можуть відбуватися лише з законною метою</w:t>
      </w:r>
      <w:r w:rsidRPr="00F0117E">
        <w:rPr>
          <w:lang w:val="uk-UA"/>
        </w:rPr>
        <w:t>.</w:t>
      </w:r>
    </w:p>
    <w:p w:rsidR="00E36F4C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 xml:space="preserve">- </w:t>
      </w:r>
      <w:r w:rsidR="00EC5274" w:rsidRPr="00F0117E">
        <w:rPr>
          <w:lang w:val="uk-UA"/>
        </w:rPr>
        <w:t>Принцип пропорційності</w:t>
      </w:r>
      <w:r w:rsidRPr="00F0117E">
        <w:rPr>
          <w:lang w:val="uk-UA"/>
        </w:rPr>
        <w:t xml:space="preserve">: </w:t>
      </w:r>
      <w:r w:rsidR="00E64795" w:rsidRPr="00F0117E">
        <w:rPr>
          <w:lang w:val="uk-UA"/>
        </w:rPr>
        <w:t>персональні</w:t>
      </w:r>
      <w:r w:rsidR="00EC5274" w:rsidRPr="00F0117E">
        <w:rPr>
          <w:lang w:val="uk-UA"/>
        </w:rPr>
        <w:t xml:space="preserve"> дані, які контролюються, повинні бути відповідними та належними</w:t>
      </w:r>
      <w:r w:rsidRPr="00F0117E">
        <w:rPr>
          <w:lang w:val="uk-UA"/>
        </w:rPr>
        <w:t xml:space="preserve"> </w:t>
      </w:r>
      <w:r w:rsidR="00FC34C7">
        <w:rPr>
          <w:lang w:val="uk-UA"/>
        </w:rPr>
        <w:t xml:space="preserve">стосовно </w:t>
      </w:r>
      <w:r w:rsidR="00EC5274" w:rsidRPr="00F0117E">
        <w:rPr>
          <w:lang w:val="uk-UA"/>
        </w:rPr>
        <w:t>конкретної мети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 xml:space="preserve">- </w:t>
      </w:r>
      <w:r w:rsidR="00EC5274" w:rsidRPr="00F0117E">
        <w:rPr>
          <w:lang w:val="uk-UA"/>
        </w:rPr>
        <w:t>Принцип безпеки</w:t>
      </w:r>
      <w:r w:rsidRPr="00F0117E">
        <w:rPr>
          <w:lang w:val="uk-UA"/>
        </w:rPr>
        <w:t xml:space="preserve">: </w:t>
      </w:r>
      <w:r w:rsidR="00EC5274" w:rsidRPr="00F0117E">
        <w:rPr>
          <w:lang w:val="uk-UA"/>
        </w:rPr>
        <w:t xml:space="preserve">роботодавець повинен вжити усі необхідні </w:t>
      </w:r>
      <w:r w:rsidR="00FA6D4F" w:rsidRPr="00F0117E">
        <w:rPr>
          <w:lang w:val="uk-UA"/>
        </w:rPr>
        <w:t>заходи</w:t>
      </w:r>
      <w:r w:rsidR="00EC5274" w:rsidRPr="00F0117E">
        <w:rPr>
          <w:lang w:val="uk-UA"/>
        </w:rPr>
        <w:t xml:space="preserve"> безпеки</w:t>
      </w:r>
      <w:r w:rsidRPr="00F0117E">
        <w:rPr>
          <w:lang w:val="uk-UA"/>
        </w:rPr>
        <w:t xml:space="preserve"> </w:t>
      </w:r>
      <w:r w:rsidR="00EC5274" w:rsidRPr="00F0117E">
        <w:rPr>
          <w:lang w:val="uk-UA"/>
        </w:rPr>
        <w:t>для забезпечення того, щоб зібрані дані</w:t>
      </w:r>
      <w:r w:rsidRPr="00F0117E">
        <w:rPr>
          <w:lang w:val="uk-UA"/>
        </w:rPr>
        <w:t xml:space="preserve"> </w:t>
      </w:r>
      <w:r w:rsidR="00EC5274" w:rsidRPr="00F0117E">
        <w:rPr>
          <w:lang w:val="uk-UA"/>
        </w:rPr>
        <w:t>не були доступними третім сторонам</w:t>
      </w:r>
      <w:r w:rsidRPr="00F0117E">
        <w:rPr>
          <w:lang w:val="uk-UA"/>
        </w:rPr>
        <w:t>.</w:t>
      </w:r>
    </w:p>
    <w:p w:rsidR="00E81B07" w:rsidRPr="00F0117E" w:rsidRDefault="008C1DFA" w:rsidP="008B2B31">
      <w:pPr>
        <w:pStyle w:val="ECHRParaQuote"/>
        <w:rPr>
          <w:lang w:val="uk-UA"/>
        </w:rPr>
      </w:pPr>
      <w:r w:rsidRPr="00F0117E">
        <w:rPr>
          <w:lang w:val="uk-UA"/>
        </w:rPr>
        <w:t>З оглядом на той факт, що роботодавець мав право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і обов’язок забезпечити безперебійне функціонування компанії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і для цього</w:t>
      </w:r>
      <w:r w:rsidR="00E81B07" w:rsidRPr="00F0117E">
        <w:rPr>
          <w:lang w:val="uk-UA"/>
        </w:rPr>
        <w:t xml:space="preserve"> [</w:t>
      </w:r>
      <w:r w:rsidRPr="00F0117E">
        <w:rPr>
          <w:lang w:val="uk-UA"/>
        </w:rPr>
        <w:t>мав право</w:t>
      </w:r>
      <w:r w:rsidR="00E81B07" w:rsidRPr="00F0117E">
        <w:rPr>
          <w:lang w:val="uk-UA"/>
        </w:rPr>
        <w:t xml:space="preserve">] </w:t>
      </w:r>
      <w:r w:rsidRPr="00F0117E">
        <w:rPr>
          <w:lang w:val="uk-UA"/>
        </w:rPr>
        <w:t>контролювати те, як працівники виконують професійні обов’язки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і той факт,</w:t>
      </w:r>
      <w:r w:rsidR="00E81B07" w:rsidRPr="00F0117E">
        <w:rPr>
          <w:lang w:val="uk-UA"/>
        </w:rPr>
        <w:t xml:space="preserve"> [</w:t>
      </w:r>
      <w:r w:rsidRPr="00F0117E">
        <w:rPr>
          <w:lang w:val="uk-UA"/>
        </w:rPr>
        <w:t>що він</w:t>
      </w:r>
      <w:r w:rsidR="00E81B07" w:rsidRPr="00F0117E">
        <w:rPr>
          <w:lang w:val="uk-UA"/>
        </w:rPr>
        <w:t xml:space="preserve">] </w:t>
      </w:r>
      <w:r w:rsidRPr="00F0117E">
        <w:rPr>
          <w:lang w:val="uk-UA"/>
        </w:rPr>
        <w:t>користується дисциплінарними повноваженнями,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 xml:space="preserve">які може використовувати </w:t>
      </w:r>
      <w:r w:rsidRPr="00F0117E">
        <w:rPr>
          <w:lang w:val="uk-UA"/>
        </w:rPr>
        <w:lastRenderedPageBreak/>
        <w:t>законним шляхом і які</w:t>
      </w:r>
      <w:r w:rsidR="00E81B07" w:rsidRPr="00F0117E">
        <w:rPr>
          <w:lang w:val="uk-UA"/>
        </w:rPr>
        <w:t xml:space="preserve"> [</w:t>
      </w:r>
      <w:r w:rsidRPr="00F0117E">
        <w:rPr>
          <w:lang w:val="uk-UA"/>
        </w:rPr>
        <w:t>дозволяли у даній справі</w:t>
      </w:r>
      <w:r w:rsidR="00E81B07" w:rsidRPr="00F0117E">
        <w:rPr>
          <w:lang w:val="uk-UA"/>
        </w:rPr>
        <w:t xml:space="preserve">] </w:t>
      </w:r>
      <w:proofErr w:type="spellStart"/>
      <w:r w:rsidRPr="00F0117E">
        <w:rPr>
          <w:lang w:val="uk-UA"/>
        </w:rPr>
        <w:t>моніторити</w:t>
      </w:r>
      <w:proofErr w:type="spellEnd"/>
      <w:r w:rsidRPr="00F0117E">
        <w:rPr>
          <w:lang w:val="uk-UA"/>
        </w:rPr>
        <w:t xml:space="preserve"> та розшифровувати розмови за допомогою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</w:t>
      </w:r>
      <w:r w:rsidRPr="00F0117E">
        <w:rPr>
          <w:lang w:val="uk-UA"/>
        </w:rPr>
        <w:t>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особисту мету яких працівник заперечував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після того,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як працівник та його колеги були попереджені про те, що ресурси компанії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не можна використовувати для таких цілей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не можна стверджувати, що такої законної мети можна було досягнути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за допомогою будь-яких інших засобів,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ніж порушення таємниці кореспонденції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або що не був досягнутий справедливий баланс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між необхідністю захистити приватність</w:t>
      </w:r>
      <w:r w:rsidR="00E81B07" w:rsidRPr="00F0117E">
        <w:rPr>
          <w:lang w:val="uk-UA"/>
        </w:rPr>
        <w:t xml:space="preserve"> [</w:t>
      </w:r>
      <w:r w:rsidRPr="00F0117E">
        <w:rPr>
          <w:lang w:val="uk-UA"/>
        </w:rPr>
        <w:t>працівника</w:t>
      </w:r>
      <w:r w:rsidR="00E81B07" w:rsidRPr="00F0117E">
        <w:rPr>
          <w:lang w:val="uk-UA"/>
        </w:rPr>
        <w:t xml:space="preserve">] </w:t>
      </w:r>
      <w:r w:rsidRPr="00F0117E">
        <w:rPr>
          <w:lang w:val="uk-UA"/>
        </w:rPr>
        <w:t>та правом роботодавця контролювати функціонування його бізнесу</w:t>
      </w:r>
      <w:r w:rsidR="00E81B07"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...</w:t>
      </w:r>
    </w:p>
    <w:p w:rsidR="00E81B07" w:rsidRPr="00F0117E" w:rsidRDefault="008C1DFA" w:rsidP="008B2B31">
      <w:pPr>
        <w:pStyle w:val="ECHRParaQuote"/>
        <w:rPr>
          <w:lang w:val="uk-UA"/>
        </w:rPr>
      </w:pPr>
      <w:r w:rsidRPr="00F0117E">
        <w:rPr>
          <w:lang w:val="uk-UA"/>
        </w:rPr>
        <w:t>Відповідно, беручи до уваги наведені вище міркування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суд вважає, що рішення суду першої інстанції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є законним та обґрунтованим,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і що апеляція є необґрунтованою</w:t>
      </w:r>
      <w:r w:rsidR="00E81B07" w:rsidRPr="00F0117E">
        <w:rPr>
          <w:lang w:val="uk-UA"/>
        </w:rPr>
        <w:t xml:space="preserve">; </w:t>
      </w:r>
      <w:r w:rsidRPr="00F0117E">
        <w:rPr>
          <w:lang w:val="uk-UA"/>
        </w:rPr>
        <w:t>тому вона повинна бути відхилена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відповідно до статті</w:t>
      </w:r>
      <w:r w:rsidR="00E81B07" w:rsidRPr="00F0117E">
        <w:rPr>
          <w:lang w:val="uk-UA"/>
        </w:rPr>
        <w:t xml:space="preserve"> 312 § 1 </w:t>
      </w:r>
      <w:r w:rsidRPr="00F0117E">
        <w:rPr>
          <w:lang w:val="uk-UA"/>
        </w:rPr>
        <w:t>Цивільно-процесуального кодексу</w:t>
      </w:r>
      <w:r w:rsidR="00E81B07" w:rsidRPr="00F0117E">
        <w:rPr>
          <w:lang w:val="uk-UA"/>
        </w:rPr>
        <w:t>.”</w:t>
      </w:r>
    </w:p>
    <w:bookmarkStart w:id="18" w:name="plainte_pénale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31</w:t>
      </w:r>
      <w:r w:rsidRPr="00F0117E">
        <w:rPr>
          <w:lang w:val="uk-UA"/>
        </w:rPr>
        <w:fldChar w:fldCharType="end"/>
      </w:r>
      <w:bookmarkEnd w:id="18"/>
      <w:r w:rsidR="00E81B07" w:rsidRPr="00F0117E">
        <w:rPr>
          <w:lang w:val="uk-UA"/>
        </w:rPr>
        <w:t>. </w:t>
      </w:r>
      <w:r w:rsidR="00A01293" w:rsidRPr="00F0117E">
        <w:rPr>
          <w:lang w:val="uk-UA"/>
        </w:rPr>
        <w:t>У той час, 18 вересня</w:t>
      </w:r>
      <w:r w:rsidR="00E81B07" w:rsidRPr="00F0117E">
        <w:rPr>
          <w:lang w:val="uk-UA"/>
        </w:rPr>
        <w:t xml:space="preserve"> 2007 </w:t>
      </w:r>
      <w:r w:rsidR="00A01293" w:rsidRPr="00F0117E">
        <w:rPr>
          <w:lang w:val="uk-UA"/>
        </w:rPr>
        <w:t>року заявник подав</w:t>
      </w:r>
      <w:r w:rsidR="00E81B07" w:rsidRPr="00F0117E">
        <w:rPr>
          <w:lang w:val="uk-UA"/>
        </w:rPr>
        <w:t xml:space="preserve"> </w:t>
      </w:r>
      <w:r w:rsidR="00A01293" w:rsidRPr="00F0117E">
        <w:rPr>
          <w:lang w:val="uk-UA"/>
        </w:rPr>
        <w:t>скаргу у кримінальному порядку проти</w:t>
      </w:r>
      <w:r w:rsidR="00E81B07" w:rsidRPr="00F0117E">
        <w:rPr>
          <w:lang w:val="uk-UA"/>
        </w:rPr>
        <w:t xml:space="preserve"> </w:t>
      </w:r>
      <w:r w:rsidR="00A01293" w:rsidRPr="00F0117E">
        <w:rPr>
          <w:lang w:val="uk-UA"/>
        </w:rPr>
        <w:t>статутних представників С</w:t>
      </w:r>
      <w:r w:rsidR="00E81B07" w:rsidRPr="00F0117E">
        <w:rPr>
          <w:lang w:val="uk-UA"/>
        </w:rPr>
        <w:t xml:space="preserve">., </w:t>
      </w:r>
      <w:r w:rsidR="00A01293" w:rsidRPr="00F0117E">
        <w:rPr>
          <w:lang w:val="uk-UA"/>
        </w:rPr>
        <w:t>стверджуючи про порушення таємниці кореспонденції</w:t>
      </w:r>
      <w:r w:rsidR="00E81B07" w:rsidRPr="00F0117E">
        <w:rPr>
          <w:lang w:val="uk-UA"/>
        </w:rPr>
        <w:t xml:space="preserve">. </w:t>
      </w:r>
      <w:r w:rsidR="00A01293" w:rsidRPr="00F0117E">
        <w:rPr>
          <w:lang w:val="uk-UA"/>
        </w:rPr>
        <w:t>9 травня</w:t>
      </w:r>
      <w:r w:rsidR="00E81B07" w:rsidRPr="00F0117E">
        <w:rPr>
          <w:lang w:val="uk-UA"/>
        </w:rPr>
        <w:t xml:space="preserve"> 2012 </w:t>
      </w:r>
      <w:r w:rsidR="00A01293" w:rsidRPr="00F0117E">
        <w:rPr>
          <w:lang w:val="uk-UA"/>
        </w:rPr>
        <w:t>року Управління розслідування організованої злочинності та тероризму</w:t>
      </w:r>
      <w:r w:rsidR="00E81B07" w:rsidRPr="00F0117E">
        <w:rPr>
          <w:lang w:val="uk-UA"/>
        </w:rPr>
        <w:t xml:space="preserve"> (</w:t>
      </w:r>
      <w:r w:rsidR="00A01293" w:rsidRPr="00F0117E">
        <w:rPr>
          <w:lang w:val="uk-UA"/>
        </w:rPr>
        <w:t>УРОЗТ</w:t>
      </w:r>
      <w:r w:rsidR="00E81B07" w:rsidRPr="00F0117E">
        <w:rPr>
          <w:lang w:val="uk-UA"/>
        </w:rPr>
        <w:t xml:space="preserve">) </w:t>
      </w:r>
      <w:r w:rsidR="00A01293" w:rsidRPr="00F0117E">
        <w:rPr>
          <w:lang w:val="uk-UA"/>
        </w:rPr>
        <w:t xml:space="preserve">прокуратури при Верховному </w:t>
      </w:r>
      <w:r w:rsidR="00C71D51" w:rsidRPr="00F0117E">
        <w:rPr>
          <w:lang w:val="uk-UA"/>
        </w:rPr>
        <w:t>к</w:t>
      </w:r>
      <w:r w:rsidR="00A01293" w:rsidRPr="00F0117E">
        <w:rPr>
          <w:lang w:val="uk-UA"/>
        </w:rPr>
        <w:t xml:space="preserve">асаційному </w:t>
      </w:r>
      <w:r w:rsidR="00C71D51" w:rsidRPr="00F0117E">
        <w:rPr>
          <w:lang w:val="uk-UA"/>
        </w:rPr>
        <w:t>с</w:t>
      </w:r>
      <w:r w:rsidR="00A01293" w:rsidRPr="00F0117E">
        <w:rPr>
          <w:lang w:val="uk-UA"/>
        </w:rPr>
        <w:t>уді постановило, що не було підстав відповідати</w:t>
      </w:r>
      <w:r w:rsidR="00E81B07" w:rsidRPr="00F0117E">
        <w:rPr>
          <w:lang w:val="uk-UA"/>
        </w:rPr>
        <w:t xml:space="preserve">, </w:t>
      </w:r>
      <w:r w:rsidR="00A01293" w:rsidRPr="00F0117E">
        <w:rPr>
          <w:lang w:val="uk-UA"/>
        </w:rPr>
        <w:t>на підставі того, що компанія була власником комп’ютерної системи</w:t>
      </w:r>
      <w:r w:rsidR="00E81B07" w:rsidRPr="00F0117E">
        <w:rPr>
          <w:lang w:val="uk-UA"/>
        </w:rPr>
        <w:t xml:space="preserve"> </w:t>
      </w:r>
      <w:r w:rsidR="00A01293" w:rsidRPr="00F0117E">
        <w:rPr>
          <w:lang w:val="uk-UA"/>
        </w:rPr>
        <w:t>та інтернет-зв’язку</w:t>
      </w:r>
      <w:r w:rsidR="00E81B07" w:rsidRPr="00F0117E">
        <w:rPr>
          <w:lang w:val="uk-UA"/>
        </w:rPr>
        <w:t xml:space="preserve"> </w:t>
      </w:r>
      <w:r w:rsidR="00A01293" w:rsidRPr="00F0117E">
        <w:rPr>
          <w:lang w:val="uk-UA"/>
        </w:rPr>
        <w:t xml:space="preserve">і тому могла </w:t>
      </w:r>
      <w:proofErr w:type="spellStart"/>
      <w:r w:rsidR="00A01293" w:rsidRPr="00F0117E">
        <w:rPr>
          <w:lang w:val="uk-UA"/>
        </w:rPr>
        <w:t>моніторити</w:t>
      </w:r>
      <w:proofErr w:type="spellEnd"/>
      <w:r w:rsidR="00A01293" w:rsidRPr="00F0117E">
        <w:rPr>
          <w:lang w:val="uk-UA"/>
        </w:rPr>
        <w:t xml:space="preserve"> </w:t>
      </w:r>
      <w:proofErr w:type="spellStart"/>
      <w:r w:rsidR="00A01293" w:rsidRPr="00F0117E">
        <w:rPr>
          <w:lang w:val="uk-UA"/>
        </w:rPr>
        <w:t>інтернет-активність</w:t>
      </w:r>
      <w:proofErr w:type="spellEnd"/>
      <w:r w:rsidR="00A01293" w:rsidRPr="00F0117E">
        <w:rPr>
          <w:lang w:val="uk-UA"/>
        </w:rPr>
        <w:t xml:space="preserve"> своїх працівників</w:t>
      </w:r>
      <w:r w:rsidR="00E81B07" w:rsidRPr="00F0117E">
        <w:rPr>
          <w:lang w:val="uk-UA"/>
        </w:rPr>
        <w:t xml:space="preserve"> </w:t>
      </w:r>
      <w:r w:rsidR="00A01293" w:rsidRPr="00F0117E">
        <w:rPr>
          <w:lang w:val="uk-UA"/>
        </w:rPr>
        <w:t>і використовувати інформацію, яка зберігалася на серверах</w:t>
      </w:r>
      <w:r w:rsidR="00E81B07" w:rsidRPr="00F0117E">
        <w:rPr>
          <w:lang w:val="uk-UA"/>
        </w:rPr>
        <w:t xml:space="preserve">, </w:t>
      </w:r>
      <w:r w:rsidR="00A01293" w:rsidRPr="00F0117E">
        <w:rPr>
          <w:lang w:val="uk-UA"/>
        </w:rPr>
        <w:t>а також беручи до уваги заборону на користування</w:t>
      </w:r>
      <w:r w:rsidR="00E81B07" w:rsidRPr="00F0117E">
        <w:rPr>
          <w:lang w:val="uk-UA"/>
        </w:rPr>
        <w:t xml:space="preserve"> IT</w:t>
      </w:r>
      <w:r w:rsidR="00A01293" w:rsidRPr="00F0117E">
        <w:rPr>
          <w:lang w:val="uk-UA"/>
        </w:rPr>
        <w:t>-системами</w:t>
      </w:r>
      <w:r w:rsidR="00E64795" w:rsidRPr="00F0117E">
        <w:rPr>
          <w:lang w:val="uk-UA"/>
        </w:rPr>
        <w:t xml:space="preserve"> в особистих цілях</w:t>
      </w:r>
      <w:r w:rsidR="00E81B07" w:rsidRPr="00F0117E">
        <w:rPr>
          <w:lang w:val="uk-UA"/>
        </w:rPr>
        <w:t xml:space="preserve">, </w:t>
      </w:r>
      <w:r w:rsidR="00A01293" w:rsidRPr="00F0117E">
        <w:rPr>
          <w:lang w:val="uk-UA"/>
        </w:rPr>
        <w:t>в результаті чого моніторинг був передбачуваний</w:t>
      </w:r>
      <w:r w:rsidR="00E81B07" w:rsidRPr="00F0117E">
        <w:rPr>
          <w:lang w:val="uk-UA"/>
        </w:rPr>
        <w:t xml:space="preserve">. </w:t>
      </w:r>
      <w:r w:rsidR="00A01293" w:rsidRPr="00F0117E">
        <w:rPr>
          <w:lang w:val="uk-UA"/>
        </w:rPr>
        <w:t>Заявник не скористався можливістю опротестувати рішення органів прокуратури в національних судах,</w:t>
      </w:r>
      <w:r w:rsidR="00E81B07" w:rsidRPr="00F0117E">
        <w:rPr>
          <w:lang w:val="uk-UA"/>
        </w:rPr>
        <w:t xml:space="preserve"> </w:t>
      </w:r>
      <w:r w:rsidR="00A01293" w:rsidRPr="00F0117E">
        <w:rPr>
          <w:lang w:val="uk-UA"/>
        </w:rPr>
        <w:t>яку передбачали застосовні процесуальні правила</w:t>
      </w:r>
      <w:r w:rsidR="00E81B07" w:rsidRPr="00F0117E">
        <w:rPr>
          <w:lang w:val="uk-UA"/>
        </w:rPr>
        <w:t>.</w:t>
      </w:r>
    </w:p>
    <w:p w:rsidR="00E81B07" w:rsidRPr="00F0117E" w:rsidRDefault="00E81B07" w:rsidP="008B2B31">
      <w:pPr>
        <w:pStyle w:val="ECHRHeading1"/>
        <w:rPr>
          <w:lang w:val="uk-UA"/>
        </w:rPr>
      </w:pPr>
      <w:r w:rsidRPr="00F0117E">
        <w:rPr>
          <w:lang w:val="uk-UA"/>
        </w:rPr>
        <w:t>II.</w:t>
      </w:r>
      <w:r w:rsidR="00FA6D4F" w:rsidRPr="00F0117E">
        <w:rPr>
          <w:lang w:val="uk-UA"/>
        </w:rPr>
        <w:t xml:space="preserve"> </w:t>
      </w:r>
      <w:r w:rsidR="00A01293" w:rsidRPr="00F0117E">
        <w:rPr>
          <w:lang w:val="uk-UA"/>
        </w:rPr>
        <w:t>ВІДПОВІДНЕ НАЦІОНАЛЬНЕ ЗАКОНОДАВСТВО</w:t>
      </w:r>
    </w:p>
    <w:p w:rsidR="00E81B07" w:rsidRPr="00F0117E" w:rsidRDefault="00E81B07" w:rsidP="008B2B31">
      <w:pPr>
        <w:pStyle w:val="ECHRHeading2"/>
        <w:rPr>
          <w:lang w:val="uk-UA"/>
        </w:rPr>
      </w:pPr>
      <w:r w:rsidRPr="00F0117E">
        <w:rPr>
          <w:lang w:val="uk-UA"/>
        </w:rPr>
        <w:t>A.</w:t>
      </w:r>
      <w:r w:rsidR="00FA6D4F" w:rsidRPr="00F0117E">
        <w:rPr>
          <w:lang w:val="uk-UA"/>
        </w:rPr>
        <w:t xml:space="preserve"> </w:t>
      </w:r>
      <w:r w:rsidR="00A01293" w:rsidRPr="00F0117E">
        <w:rPr>
          <w:lang w:val="uk-UA"/>
        </w:rPr>
        <w:t>Конституція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32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A01293" w:rsidRPr="00F0117E">
        <w:rPr>
          <w:lang w:val="uk-UA"/>
        </w:rPr>
        <w:t>Відповідні частини Конституції Румунії передбачають</w:t>
      </w:r>
      <w:r w:rsidR="00E81B07" w:rsidRPr="00F0117E">
        <w:rPr>
          <w:lang w:val="uk-UA"/>
        </w:rPr>
        <w:t>:</w:t>
      </w:r>
    </w:p>
    <w:p w:rsidR="00E81B07" w:rsidRPr="00F0117E" w:rsidRDefault="00AA4944" w:rsidP="008B2B31">
      <w:pPr>
        <w:pStyle w:val="ECHRTitleCentre3"/>
        <w:rPr>
          <w:lang w:val="uk-UA"/>
        </w:rPr>
      </w:pPr>
      <w:r w:rsidRPr="00F0117E">
        <w:rPr>
          <w:lang w:val="uk-UA"/>
        </w:rPr>
        <w:t>Стаття</w:t>
      </w:r>
      <w:r w:rsidR="00E81B07" w:rsidRPr="00F0117E">
        <w:rPr>
          <w:lang w:val="uk-UA"/>
        </w:rPr>
        <w:t xml:space="preserve"> 26</w:t>
      </w:r>
    </w:p>
    <w:p w:rsidR="00E81B07" w:rsidRPr="00F0117E" w:rsidRDefault="00E81B07" w:rsidP="008B2B31">
      <w:pPr>
        <w:pStyle w:val="ECHRParaQuote"/>
        <w:rPr>
          <w:lang w:val="uk-UA" w:bidi="en-US"/>
        </w:rPr>
      </w:pPr>
      <w:r w:rsidRPr="00F0117E">
        <w:rPr>
          <w:lang w:val="uk-UA" w:bidi="en-US"/>
        </w:rPr>
        <w:t>“1.</w:t>
      </w:r>
      <w:r w:rsidR="00FA6D4F" w:rsidRPr="00F0117E">
        <w:rPr>
          <w:lang w:val="uk-UA" w:bidi="en-US"/>
        </w:rPr>
        <w:t xml:space="preserve"> </w:t>
      </w:r>
      <w:r w:rsidR="00AA4944" w:rsidRPr="00F0117E">
        <w:rPr>
          <w:lang w:val="uk-UA" w:bidi="en-US"/>
        </w:rPr>
        <w:t>Громадські органи влади поважають та захищають</w:t>
      </w:r>
      <w:r w:rsidRPr="00F0117E">
        <w:rPr>
          <w:lang w:val="uk-UA" w:bidi="en-US"/>
        </w:rPr>
        <w:t xml:space="preserve"> </w:t>
      </w:r>
      <w:r w:rsidR="00AA4944" w:rsidRPr="00F0117E">
        <w:rPr>
          <w:lang w:val="uk-UA" w:bidi="en-US"/>
        </w:rPr>
        <w:t>інтимне, сімейне та приватне життя</w:t>
      </w:r>
      <w:r w:rsidRPr="00F0117E">
        <w:rPr>
          <w:lang w:val="uk-UA" w:bidi="en-US"/>
        </w:rPr>
        <w:t>.”</w:t>
      </w:r>
    </w:p>
    <w:p w:rsidR="00E81B07" w:rsidRPr="00F0117E" w:rsidRDefault="006E1A11" w:rsidP="008B2B31">
      <w:pPr>
        <w:pStyle w:val="ECHRTitleCentre3"/>
        <w:rPr>
          <w:lang w:val="uk-UA"/>
        </w:rPr>
      </w:pPr>
      <w:r w:rsidRPr="00F0117E">
        <w:rPr>
          <w:lang w:val="uk-UA"/>
        </w:rPr>
        <w:t>Стаття</w:t>
      </w:r>
      <w:r w:rsidR="00E81B07" w:rsidRPr="00F0117E">
        <w:rPr>
          <w:lang w:val="uk-UA"/>
        </w:rPr>
        <w:t xml:space="preserve"> 28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 w:bidi="en-US"/>
        </w:rPr>
        <w:t>“</w:t>
      </w:r>
      <w:r w:rsidR="006E1A11" w:rsidRPr="00F0117E">
        <w:rPr>
          <w:lang w:val="uk-UA" w:bidi="en-US"/>
        </w:rPr>
        <w:t>Таємниця листування, телеграфних повідомлень</w:t>
      </w:r>
      <w:r w:rsidRPr="00F0117E">
        <w:rPr>
          <w:lang w:val="uk-UA" w:bidi="en-US"/>
        </w:rPr>
        <w:t xml:space="preserve">, </w:t>
      </w:r>
      <w:r w:rsidR="006E1A11" w:rsidRPr="00F0117E">
        <w:rPr>
          <w:lang w:val="uk-UA" w:bidi="en-US"/>
        </w:rPr>
        <w:t>інших поштових відправлень</w:t>
      </w:r>
      <w:r w:rsidRPr="00F0117E">
        <w:rPr>
          <w:lang w:val="uk-UA" w:bidi="en-US"/>
        </w:rPr>
        <w:t xml:space="preserve">, </w:t>
      </w:r>
      <w:r w:rsidR="006E1A11" w:rsidRPr="00F0117E">
        <w:rPr>
          <w:lang w:val="uk-UA" w:bidi="en-US"/>
        </w:rPr>
        <w:t>телефонних розмов</w:t>
      </w:r>
      <w:r w:rsidRPr="00F0117E">
        <w:rPr>
          <w:lang w:val="uk-UA" w:bidi="en-US"/>
        </w:rPr>
        <w:t xml:space="preserve"> </w:t>
      </w:r>
      <w:r w:rsidR="006E1A11" w:rsidRPr="00F0117E">
        <w:rPr>
          <w:lang w:val="uk-UA" w:bidi="en-US"/>
        </w:rPr>
        <w:t>та будь-яких інших законних засобів зв’язку недоторканна</w:t>
      </w:r>
      <w:r w:rsidRPr="00F0117E">
        <w:rPr>
          <w:lang w:val="uk-UA" w:bidi="en-US"/>
        </w:rPr>
        <w:t>.”</w:t>
      </w:r>
    </w:p>
    <w:p w:rsidR="00E81B07" w:rsidRPr="00F0117E" w:rsidRDefault="00E81B07" w:rsidP="008B2B31">
      <w:pPr>
        <w:pStyle w:val="ECHRHeading2"/>
        <w:rPr>
          <w:lang w:val="uk-UA"/>
        </w:rPr>
      </w:pPr>
      <w:r w:rsidRPr="00F0117E">
        <w:rPr>
          <w:lang w:val="uk-UA"/>
        </w:rPr>
        <w:lastRenderedPageBreak/>
        <w:t>B.</w:t>
      </w:r>
      <w:r w:rsidR="00FA6D4F" w:rsidRPr="00F0117E">
        <w:rPr>
          <w:lang w:val="uk-UA"/>
        </w:rPr>
        <w:t xml:space="preserve"> </w:t>
      </w:r>
      <w:r w:rsidR="00BC0171" w:rsidRPr="00F0117E">
        <w:rPr>
          <w:lang w:val="uk-UA"/>
        </w:rPr>
        <w:t>Кримінальний кодекс</w:t>
      </w:r>
    </w:p>
    <w:bookmarkStart w:id="19" w:name="Code_pénal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33</w:t>
      </w:r>
      <w:r w:rsidRPr="00F0117E">
        <w:rPr>
          <w:lang w:val="uk-UA"/>
        </w:rPr>
        <w:fldChar w:fldCharType="end"/>
      </w:r>
      <w:bookmarkEnd w:id="19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C0171" w:rsidRPr="00F0117E">
        <w:rPr>
          <w:lang w:val="uk-UA"/>
        </w:rPr>
        <w:t>Відповідні частини Кримінального кодексу,</w:t>
      </w:r>
      <w:r w:rsidR="00E81B07" w:rsidRPr="00F0117E">
        <w:rPr>
          <w:lang w:val="uk-UA"/>
        </w:rPr>
        <w:t xml:space="preserve"> </w:t>
      </w:r>
      <w:r w:rsidR="00BC0171" w:rsidRPr="00F0117E">
        <w:rPr>
          <w:lang w:val="uk-UA"/>
        </w:rPr>
        <w:t>який був у силі на той час, передбачають</w:t>
      </w:r>
      <w:r w:rsidR="00E81B07" w:rsidRPr="00F0117E">
        <w:rPr>
          <w:lang w:val="uk-UA"/>
        </w:rPr>
        <w:t>:</w:t>
      </w:r>
    </w:p>
    <w:p w:rsidR="00E81B07" w:rsidRPr="00F0117E" w:rsidRDefault="00BC0171" w:rsidP="008B2B31">
      <w:pPr>
        <w:pStyle w:val="ECHRTitleCentre3"/>
        <w:rPr>
          <w:lang w:val="uk-UA"/>
        </w:rPr>
      </w:pPr>
      <w:r w:rsidRPr="00F0117E">
        <w:rPr>
          <w:lang w:val="uk-UA"/>
        </w:rPr>
        <w:t>Стаття</w:t>
      </w:r>
      <w:r w:rsidR="00E81B07" w:rsidRPr="00F0117E">
        <w:rPr>
          <w:lang w:val="uk-UA"/>
        </w:rPr>
        <w:t xml:space="preserve"> 195 – </w:t>
      </w:r>
      <w:r w:rsidRPr="00F0117E">
        <w:rPr>
          <w:lang w:val="uk-UA"/>
        </w:rPr>
        <w:t>Порушення таємниці кореспонденції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“1.</w:t>
      </w:r>
      <w:r w:rsidR="00FA6D4F" w:rsidRPr="00F0117E">
        <w:rPr>
          <w:lang w:val="uk-UA"/>
        </w:rPr>
        <w:t xml:space="preserve"> </w:t>
      </w:r>
      <w:r w:rsidR="00BC0171" w:rsidRPr="00F0117E">
        <w:rPr>
          <w:lang w:val="uk-UA"/>
        </w:rPr>
        <w:t>Будь-яка особа, яка незаконно відкриє кореспонденцію іншої особи</w:t>
      </w:r>
      <w:r w:rsidRPr="00F0117E">
        <w:rPr>
          <w:lang w:val="uk-UA"/>
        </w:rPr>
        <w:t xml:space="preserve"> </w:t>
      </w:r>
      <w:r w:rsidR="00BC0171" w:rsidRPr="00F0117E">
        <w:rPr>
          <w:lang w:val="uk-UA"/>
        </w:rPr>
        <w:t>або перехопить розмови інших осіб чи спілкування з використанням</w:t>
      </w:r>
      <w:r w:rsidRPr="00F0117E">
        <w:rPr>
          <w:lang w:val="uk-UA"/>
        </w:rPr>
        <w:t xml:space="preserve"> </w:t>
      </w:r>
      <w:r w:rsidR="00BC0171" w:rsidRPr="00F0117E">
        <w:rPr>
          <w:lang w:val="uk-UA"/>
        </w:rPr>
        <w:t>телефону, телеграфу</w:t>
      </w:r>
      <w:r w:rsidRPr="00F0117E">
        <w:rPr>
          <w:lang w:val="uk-UA"/>
        </w:rPr>
        <w:t xml:space="preserve"> </w:t>
      </w:r>
      <w:r w:rsidR="00BC0171" w:rsidRPr="00F0117E">
        <w:rPr>
          <w:lang w:val="uk-UA"/>
        </w:rPr>
        <w:t>або будь-яких інших засобів передачі даних на велику відстань,</w:t>
      </w:r>
      <w:r w:rsidRPr="00F0117E">
        <w:rPr>
          <w:lang w:val="uk-UA"/>
        </w:rPr>
        <w:t xml:space="preserve"> </w:t>
      </w:r>
      <w:r w:rsidR="00BC0171" w:rsidRPr="00F0117E">
        <w:rPr>
          <w:lang w:val="uk-UA"/>
        </w:rPr>
        <w:t>понесе відповідальність у вигляді позбавлення волі на строк від</w:t>
      </w:r>
      <w:r w:rsidRPr="00F0117E">
        <w:rPr>
          <w:lang w:val="uk-UA"/>
        </w:rPr>
        <w:t xml:space="preserve"> </w:t>
      </w:r>
      <w:r w:rsidR="00BC0171" w:rsidRPr="00F0117E">
        <w:rPr>
          <w:lang w:val="uk-UA"/>
        </w:rPr>
        <w:t>шести місяців до трьох років</w:t>
      </w:r>
      <w:r w:rsidRPr="00F0117E">
        <w:rPr>
          <w:lang w:val="uk-UA"/>
        </w:rPr>
        <w:t>.”</w:t>
      </w:r>
    </w:p>
    <w:p w:rsidR="00E81B07" w:rsidRPr="00F0117E" w:rsidRDefault="00E81B07" w:rsidP="008B2B31">
      <w:pPr>
        <w:pStyle w:val="ECHRHeading2"/>
        <w:rPr>
          <w:lang w:val="uk-UA"/>
        </w:rPr>
      </w:pPr>
      <w:r w:rsidRPr="00F0117E">
        <w:rPr>
          <w:lang w:val="uk-UA"/>
        </w:rPr>
        <w:t>C.</w:t>
      </w:r>
      <w:r w:rsidR="00FA6D4F" w:rsidRPr="00F0117E">
        <w:rPr>
          <w:lang w:val="uk-UA"/>
        </w:rPr>
        <w:t xml:space="preserve"> </w:t>
      </w:r>
      <w:r w:rsidR="00BC0171" w:rsidRPr="00F0117E">
        <w:rPr>
          <w:lang w:val="uk-UA"/>
        </w:rPr>
        <w:t>Цивільний кодекс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rFonts w:asciiTheme="majorHAnsi" w:hAnsiTheme="majorHAnsi"/>
          <w:lang w:val="uk-UA"/>
        </w:rPr>
        <w:fldChar w:fldCharType="begin"/>
      </w:r>
      <w:r w:rsidR="00E81B07" w:rsidRPr="00F0117E">
        <w:rPr>
          <w:rFonts w:asciiTheme="majorHAnsi" w:hAnsiTheme="majorHAnsi"/>
          <w:lang w:val="uk-UA"/>
        </w:rPr>
        <w:instrText xml:space="preserve"> SEQ level0 \*arabic </w:instrText>
      </w:r>
      <w:r w:rsidRPr="00F0117E">
        <w:rPr>
          <w:rFonts w:asciiTheme="majorHAnsi" w:hAnsiTheme="majorHAnsi"/>
          <w:lang w:val="uk-UA"/>
        </w:rPr>
        <w:fldChar w:fldCharType="separate"/>
      </w:r>
      <w:r w:rsidR="008B2B31" w:rsidRPr="00F0117E">
        <w:rPr>
          <w:rFonts w:asciiTheme="majorHAnsi" w:hAnsiTheme="majorHAnsi"/>
          <w:noProof/>
          <w:lang w:val="uk-UA"/>
        </w:rPr>
        <w:t>34</w:t>
      </w:r>
      <w:r w:rsidRPr="00F0117E">
        <w:rPr>
          <w:rFonts w:asciiTheme="majorHAnsi" w:hAnsiTheme="majorHAnsi"/>
          <w:lang w:val="uk-UA"/>
        </w:rPr>
        <w:fldChar w:fldCharType="end"/>
      </w:r>
      <w:r w:rsidR="00E81B07" w:rsidRPr="00F0117E">
        <w:rPr>
          <w:rFonts w:asciiTheme="majorHAnsi" w:hAnsiTheme="majorHAnsi"/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C0171" w:rsidRPr="00F0117E">
        <w:rPr>
          <w:lang w:val="uk-UA"/>
        </w:rPr>
        <w:t>Відповідні положення Цивільного кодексу,</w:t>
      </w:r>
      <w:r w:rsidR="00E81B07" w:rsidRPr="00F0117E">
        <w:rPr>
          <w:lang w:val="uk-UA"/>
        </w:rPr>
        <w:t xml:space="preserve"> </w:t>
      </w:r>
      <w:r w:rsidR="00BC0171" w:rsidRPr="00F0117E">
        <w:rPr>
          <w:lang w:val="uk-UA"/>
        </w:rPr>
        <w:t>який був у силі на час відповідних подій,</w:t>
      </w:r>
      <w:r w:rsidR="00E81B07" w:rsidRPr="00F0117E">
        <w:rPr>
          <w:lang w:val="uk-UA"/>
        </w:rPr>
        <w:t xml:space="preserve"> </w:t>
      </w:r>
      <w:r w:rsidR="00BC0171" w:rsidRPr="00F0117E">
        <w:rPr>
          <w:lang w:val="uk-UA"/>
        </w:rPr>
        <w:t>були сформульовані наступним чином</w:t>
      </w:r>
      <w:r w:rsidR="00E81B07" w:rsidRPr="00F0117E">
        <w:rPr>
          <w:lang w:val="uk-UA"/>
        </w:rPr>
        <w:t>:</w:t>
      </w:r>
    </w:p>
    <w:p w:rsidR="00E81B07" w:rsidRPr="00F0117E" w:rsidRDefault="00E272BA" w:rsidP="008B2B31">
      <w:pPr>
        <w:pStyle w:val="ECHRTitleCentre3"/>
        <w:rPr>
          <w:lang w:val="uk-UA"/>
        </w:rPr>
      </w:pPr>
      <w:r w:rsidRPr="00F0117E">
        <w:rPr>
          <w:lang w:val="uk-UA"/>
        </w:rPr>
        <w:t>Стаття</w:t>
      </w:r>
      <w:r w:rsidR="00E81B07" w:rsidRPr="00F0117E">
        <w:rPr>
          <w:lang w:val="uk-UA"/>
        </w:rPr>
        <w:t xml:space="preserve"> 998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</w:t>
      </w:r>
      <w:r w:rsidR="00E272BA" w:rsidRPr="00F0117E">
        <w:rPr>
          <w:lang w:val="uk-UA"/>
        </w:rPr>
        <w:t>Будь-яка дія, вчинена особою,</w:t>
      </w:r>
      <w:r w:rsidRPr="00F0117E">
        <w:rPr>
          <w:lang w:val="uk-UA"/>
        </w:rPr>
        <w:t xml:space="preserve"> </w:t>
      </w:r>
      <w:r w:rsidR="00E272BA" w:rsidRPr="00F0117E">
        <w:rPr>
          <w:lang w:val="uk-UA"/>
        </w:rPr>
        <w:t>яка шкодить іншій особі,</w:t>
      </w:r>
      <w:r w:rsidRPr="00F0117E">
        <w:rPr>
          <w:lang w:val="uk-UA"/>
        </w:rPr>
        <w:t xml:space="preserve"> </w:t>
      </w:r>
      <w:r w:rsidR="00E272BA" w:rsidRPr="00F0117E">
        <w:rPr>
          <w:lang w:val="uk-UA"/>
        </w:rPr>
        <w:t>робить особу, яка заподіяла шкоду, відповідальною</w:t>
      </w:r>
      <w:r w:rsidRPr="00F0117E">
        <w:rPr>
          <w:lang w:val="uk-UA"/>
        </w:rPr>
        <w:t xml:space="preserve"> </w:t>
      </w:r>
      <w:r w:rsidR="00E272BA" w:rsidRPr="00F0117E">
        <w:rPr>
          <w:lang w:val="uk-UA"/>
        </w:rPr>
        <w:t>за її виправлення</w:t>
      </w:r>
      <w:r w:rsidRPr="00F0117E">
        <w:rPr>
          <w:lang w:val="uk-UA"/>
        </w:rPr>
        <w:t>.”</w:t>
      </w:r>
    </w:p>
    <w:p w:rsidR="00E81B07" w:rsidRPr="00F0117E" w:rsidRDefault="00E272BA" w:rsidP="008B2B31">
      <w:pPr>
        <w:pStyle w:val="ECHRTitleCentre3"/>
        <w:rPr>
          <w:lang w:val="uk-UA"/>
        </w:rPr>
      </w:pPr>
      <w:r w:rsidRPr="00F0117E">
        <w:rPr>
          <w:lang w:val="uk-UA"/>
        </w:rPr>
        <w:t>Стаття</w:t>
      </w:r>
      <w:r w:rsidR="00E81B07" w:rsidRPr="00F0117E">
        <w:rPr>
          <w:lang w:val="uk-UA"/>
        </w:rPr>
        <w:t xml:space="preserve"> 999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</w:t>
      </w:r>
      <w:r w:rsidR="00E272BA" w:rsidRPr="00F0117E">
        <w:rPr>
          <w:lang w:val="uk-UA"/>
        </w:rPr>
        <w:t>Кожен несе відповідальність за шкоду,</w:t>
      </w:r>
      <w:r w:rsidRPr="00F0117E">
        <w:rPr>
          <w:lang w:val="uk-UA"/>
        </w:rPr>
        <w:t xml:space="preserve"> </w:t>
      </w:r>
      <w:r w:rsidR="00E272BA" w:rsidRPr="00F0117E">
        <w:rPr>
          <w:lang w:val="uk-UA"/>
        </w:rPr>
        <w:t>яку заподіяв не тільки власними діями,</w:t>
      </w:r>
      <w:r w:rsidRPr="00F0117E">
        <w:rPr>
          <w:lang w:val="uk-UA"/>
        </w:rPr>
        <w:t xml:space="preserve"> </w:t>
      </w:r>
      <w:r w:rsidR="00E272BA" w:rsidRPr="00F0117E">
        <w:rPr>
          <w:lang w:val="uk-UA"/>
        </w:rPr>
        <w:t>але і своєю бездіяльністю або недбалістю</w:t>
      </w:r>
      <w:r w:rsidRPr="00F0117E">
        <w:rPr>
          <w:lang w:val="uk-UA"/>
        </w:rPr>
        <w:t>.”</w:t>
      </w:r>
    </w:p>
    <w:p w:rsidR="00E81B07" w:rsidRPr="00F0117E" w:rsidRDefault="00E81B07" w:rsidP="008B2B31">
      <w:pPr>
        <w:pStyle w:val="ECHRHeading2"/>
        <w:rPr>
          <w:lang w:val="uk-UA"/>
        </w:rPr>
      </w:pPr>
      <w:r w:rsidRPr="00F0117E">
        <w:rPr>
          <w:lang w:val="uk-UA"/>
        </w:rPr>
        <w:t>D. </w:t>
      </w:r>
      <w:r w:rsidR="00514BE1" w:rsidRPr="00F0117E">
        <w:rPr>
          <w:lang w:val="uk-UA"/>
        </w:rPr>
        <w:t>Трудовий кодекс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35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 </w:t>
      </w:r>
      <w:r w:rsidR="00514BE1" w:rsidRPr="00F0117E">
        <w:rPr>
          <w:lang w:val="uk-UA"/>
        </w:rPr>
        <w:t>У формулюванні, актуальному на той час, Трудовий кодекс передбачав</w:t>
      </w:r>
      <w:r w:rsidR="00E81B07" w:rsidRPr="00F0117E">
        <w:rPr>
          <w:lang w:val="uk-UA"/>
        </w:rPr>
        <w:t>:</w:t>
      </w:r>
    </w:p>
    <w:p w:rsidR="00E81B07" w:rsidRPr="00F0117E" w:rsidRDefault="00514BE1" w:rsidP="008B2B31">
      <w:pPr>
        <w:pStyle w:val="ECHRTitleCentre3"/>
        <w:rPr>
          <w:lang w:val="uk-UA"/>
        </w:rPr>
      </w:pPr>
      <w:r w:rsidRPr="00F0117E">
        <w:rPr>
          <w:lang w:val="uk-UA"/>
        </w:rPr>
        <w:t>Стаття</w:t>
      </w:r>
      <w:r w:rsidR="00E81B07" w:rsidRPr="00F0117E">
        <w:rPr>
          <w:lang w:val="uk-UA"/>
        </w:rPr>
        <w:t xml:space="preserve"> 40</w:t>
      </w:r>
    </w:p>
    <w:p w:rsidR="00E81B07" w:rsidRPr="00F0117E" w:rsidRDefault="00E81B07" w:rsidP="008B2B31">
      <w:pPr>
        <w:pStyle w:val="ECHRParaQuote"/>
        <w:rPr>
          <w:lang w:val="uk-UA" w:bidi="en-US"/>
        </w:rPr>
      </w:pPr>
      <w:r w:rsidRPr="00F0117E">
        <w:rPr>
          <w:lang w:val="uk-UA" w:bidi="en-US"/>
        </w:rPr>
        <w:t>“1.</w:t>
      </w:r>
      <w:r w:rsidR="00FA6D4F" w:rsidRPr="00F0117E">
        <w:rPr>
          <w:lang w:val="uk-UA" w:bidi="en-US"/>
        </w:rPr>
        <w:t xml:space="preserve"> </w:t>
      </w:r>
      <w:r w:rsidR="00514BE1" w:rsidRPr="00F0117E">
        <w:rPr>
          <w:lang w:val="uk-UA" w:bidi="en-US"/>
        </w:rPr>
        <w:t>Роботодавець, у принципі, має наступні права</w:t>
      </w:r>
      <w:r w:rsidRPr="00F0117E">
        <w:rPr>
          <w:lang w:val="uk-UA" w:bidi="en-US"/>
        </w:rPr>
        <w:t>:</w:t>
      </w:r>
    </w:p>
    <w:p w:rsidR="00E81B07" w:rsidRPr="00F0117E" w:rsidRDefault="00E81B07" w:rsidP="008B2B31">
      <w:pPr>
        <w:pStyle w:val="JuQuotSub"/>
        <w:rPr>
          <w:lang w:val="uk-UA" w:bidi="en-US"/>
        </w:rPr>
      </w:pPr>
      <w:r w:rsidRPr="00F0117E">
        <w:rPr>
          <w:lang w:val="uk-UA" w:bidi="en-US"/>
        </w:rPr>
        <w:t>...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 w:bidi="en-US"/>
        </w:rPr>
        <w:t>(d)</w:t>
      </w:r>
      <w:r w:rsidR="00FA6D4F" w:rsidRPr="00F0117E">
        <w:rPr>
          <w:lang w:val="uk-UA" w:bidi="en-US"/>
        </w:rPr>
        <w:t xml:space="preserve"> </w:t>
      </w:r>
      <w:r w:rsidR="00514BE1" w:rsidRPr="00F0117E">
        <w:rPr>
          <w:lang w:val="uk-UA" w:bidi="en-US"/>
        </w:rPr>
        <w:t>право контролювати, як</w:t>
      </w:r>
      <w:r w:rsidRPr="00F0117E">
        <w:rPr>
          <w:lang w:val="uk-UA" w:bidi="en-US"/>
        </w:rPr>
        <w:t xml:space="preserve"> [</w:t>
      </w:r>
      <w:r w:rsidR="00514BE1" w:rsidRPr="00F0117E">
        <w:rPr>
          <w:lang w:val="uk-UA" w:bidi="en-US"/>
        </w:rPr>
        <w:t>працівники</w:t>
      </w:r>
      <w:r w:rsidRPr="00F0117E">
        <w:rPr>
          <w:lang w:val="uk-UA" w:bidi="en-US"/>
        </w:rPr>
        <w:t xml:space="preserve">] </w:t>
      </w:r>
      <w:r w:rsidR="00514BE1" w:rsidRPr="00F0117E">
        <w:rPr>
          <w:lang w:val="uk-UA" w:bidi="en-US"/>
        </w:rPr>
        <w:t>виконують професійні обов’язки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...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2.</w:t>
      </w:r>
      <w:r w:rsidR="00FA6D4F" w:rsidRPr="00F0117E">
        <w:rPr>
          <w:lang w:val="uk-UA"/>
        </w:rPr>
        <w:t xml:space="preserve"> </w:t>
      </w:r>
      <w:r w:rsidR="00514BE1" w:rsidRPr="00F0117E">
        <w:rPr>
          <w:lang w:val="uk-UA"/>
        </w:rPr>
        <w:t>Роботодавець, у принципі, має наступні обов’язки</w:t>
      </w:r>
      <w:r w:rsidRPr="00F0117E">
        <w:rPr>
          <w:lang w:val="uk-UA"/>
        </w:rPr>
        <w:t>:</w:t>
      </w:r>
    </w:p>
    <w:p w:rsidR="00E36F4C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...</w:t>
      </w:r>
    </w:p>
    <w:p w:rsidR="00E81B07" w:rsidRPr="00F0117E" w:rsidRDefault="00E81B07" w:rsidP="008B2B31">
      <w:pPr>
        <w:pStyle w:val="JuQuotSub"/>
        <w:rPr>
          <w:lang w:val="uk-UA" w:bidi="en-US"/>
        </w:rPr>
      </w:pPr>
      <w:r w:rsidRPr="00F0117E">
        <w:rPr>
          <w:lang w:val="uk-UA"/>
        </w:rPr>
        <w:t>(i)</w:t>
      </w:r>
      <w:r w:rsidR="00FA6D4F" w:rsidRPr="00F0117E">
        <w:rPr>
          <w:lang w:val="uk-UA"/>
        </w:rPr>
        <w:t xml:space="preserve"> </w:t>
      </w:r>
      <w:r w:rsidR="00514BE1" w:rsidRPr="00F0117E">
        <w:rPr>
          <w:lang w:val="uk-UA"/>
        </w:rPr>
        <w:t xml:space="preserve">гарантувати конфіденційність </w:t>
      </w:r>
      <w:r w:rsidR="00E64795" w:rsidRPr="00F0117E">
        <w:rPr>
          <w:lang w:val="uk-UA"/>
        </w:rPr>
        <w:t>персональних</w:t>
      </w:r>
      <w:r w:rsidR="00514BE1" w:rsidRPr="00F0117E">
        <w:rPr>
          <w:lang w:val="uk-UA"/>
        </w:rPr>
        <w:t xml:space="preserve"> даних працівників</w:t>
      </w:r>
      <w:r w:rsidRPr="00F0117E">
        <w:rPr>
          <w:lang w:val="uk-UA"/>
        </w:rPr>
        <w:t>.”</w:t>
      </w:r>
    </w:p>
    <w:p w:rsidR="00E36F4C" w:rsidRPr="00F0117E" w:rsidRDefault="00E81B07" w:rsidP="008B2B31">
      <w:pPr>
        <w:pStyle w:val="ECHRHeading2"/>
        <w:rPr>
          <w:lang w:val="uk-UA"/>
        </w:rPr>
      </w:pPr>
      <w:r w:rsidRPr="00F0117E">
        <w:rPr>
          <w:lang w:val="uk-UA"/>
        </w:rPr>
        <w:lastRenderedPageBreak/>
        <w:t>E.</w:t>
      </w:r>
      <w:r w:rsidR="00FA6D4F" w:rsidRPr="00F0117E">
        <w:rPr>
          <w:lang w:val="uk-UA"/>
        </w:rPr>
        <w:t xml:space="preserve"> </w:t>
      </w:r>
      <w:r w:rsidR="00F32EA7" w:rsidRPr="00F0117E">
        <w:rPr>
          <w:lang w:val="uk-UA"/>
        </w:rPr>
        <w:t>Закон №</w:t>
      </w:r>
      <w:r w:rsidRPr="00F0117E">
        <w:rPr>
          <w:lang w:val="uk-UA"/>
        </w:rPr>
        <w:t xml:space="preserve"> 677/2001 </w:t>
      </w:r>
      <w:r w:rsidR="00F32EA7" w:rsidRPr="00F0117E">
        <w:rPr>
          <w:lang w:val="uk-UA"/>
        </w:rPr>
        <w:t>про захист осіб</w:t>
      </w:r>
      <w:r w:rsidRPr="00F0117E">
        <w:rPr>
          <w:lang w:val="uk-UA"/>
        </w:rPr>
        <w:t xml:space="preserve"> </w:t>
      </w:r>
      <w:r w:rsidR="00F32EA7" w:rsidRPr="00F0117E">
        <w:rPr>
          <w:lang w:val="uk-UA"/>
        </w:rPr>
        <w:t xml:space="preserve">у зв’язку з </w:t>
      </w:r>
      <w:r w:rsidR="008A4497" w:rsidRPr="00F0117E">
        <w:rPr>
          <w:lang w:val="uk-UA"/>
        </w:rPr>
        <w:t>опрацюванням</w:t>
      </w:r>
      <w:r w:rsidR="00F32EA7" w:rsidRPr="00F0117E">
        <w:rPr>
          <w:lang w:val="uk-UA"/>
        </w:rPr>
        <w:t xml:space="preserve"> </w:t>
      </w:r>
      <w:r w:rsidR="008A4497" w:rsidRPr="00F0117E">
        <w:rPr>
          <w:lang w:val="uk-UA"/>
        </w:rPr>
        <w:t>персональних</w:t>
      </w:r>
      <w:r w:rsidR="00F32EA7" w:rsidRPr="00F0117E">
        <w:rPr>
          <w:lang w:val="uk-UA"/>
        </w:rPr>
        <w:t xml:space="preserve"> даних</w:t>
      </w:r>
      <w:r w:rsidRPr="00F0117E">
        <w:rPr>
          <w:lang w:val="uk-UA"/>
        </w:rPr>
        <w:t xml:space="preserve"> </w:t>
      </w:r>
      <w:r w:rsidR="00F32EA7" w:rsidRPr="00F0117E">
        <w:rPr>
          <w:lang w:val="uk-UA"/>
        </w:rPr>
        <w:t>та про вільне переміщення таких даних</w:t>
      </w:r>
    </w:p>
    <w:bookmarkStart w:id="20" w:name="loi_677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36</w:t>
      </w:r>
      <w:r w:rsidRPr="00F0117E">
        <w:rPr>
          <w:lang w:val="uk-UA"/>
        </w:rPr>
        <w:fldChar w:fldCharType="end"/>
      </w:r>
      <w:bookmarkEnd w:id="20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F32EA7" w:rsidRPr="00F0117E">
        <w:rPr>
          <w:lang w:val="uk-UA"/>
        </w:rPr>
        <w:t>Відповідні частини Закону №</w:t>
      </w:r>
      <w:r w:rsidR="00E81B07" w:rsidRPr="00F0117E">
        <w:rPr>
          <w:lang w:val="uk-UA"/>
        </w:rPr>
        <w:t xml:space="preserve"> 677/2001 </w:t>
      </w:r>
      <w:r w:rsidR="00F32EA7" w:rsidRPr="00F0117E">
        <w:rPr>
          <w:lang w:val="uk-UA"/>
        </w:rPr>
        <w:t>про захист осіб</w:t>
      </w:r>
      <w:r w:rsidR="00E81B07" w:rsidRPr="00F0117E">
        <w:rPr>
          <w:lang w:val="uk-UA"/>
        </w:rPr>
        <w:t xml:space="preserve"> </w:t>
      </w:r>
      <w:r w:rsidR="00F32EA7" w:rsidRPr="00F0117E">
        <w:rPr>
          <w:lang w:val="uk-UA"/>
        </w:rPr>
        <w:t xml:space="preserve">у зв’язку з </w:t>
      </w:r>
      <w:r w:rsidR="008A4497" w:rsidRPr="00F0117E">
        <w:rPr>
          <w:lang w:val="uk-UA"/>
        </w:rPr>
        <w:t>опрацюванням</w:t>
      </w:r>
      <w:r w:rsidR="00F32EA7" w:rsidRPr="00F0117E">
        <w:rPr>
          <w:lang w:val="uk-UA"/>
        </w:rPr>
        <w:t xml:space="preserve"> </w:t>
      </w:r>
      <w:r w:rsidR="008A4497" w:rsidRPr="00F0117E">
        <w:rPr>
          <w:lang w:val="uk-UA"/>
        </w:rPr>
        <w:t>персональних</w:t>
      </w:r>
      <w:r w:rsidR="00F32EA7" w:rsidRPr="00F0117E">
        <w:rPr>
          <w:lang w:val="uk-UA"/>
        </w:rPr>
        <w:t xml:space="preserve"> даних</w:t>
      </w:r>
      <w:r w:rsidR="00E81B07" w:rsidRPr="00F0117E">
        <w:rPr>
          <w:lang w:val="uk-UA"/>
        </w:rPr>
        <w:t xml:space="preserve"> </w:t>
      </w:r>
      <w:r w:rsidR="00F32EA7" w:rsidRPr="00F0117E">
        <w:rPr>
          <w:lang w:val="uk-UA"/>
        </w:rPr>
        <w:t>та про вільне переміщення таких даних</w:t>
      </w:r>
      <w:r w:rsidR="00E81B07" w:rsidRPr="00F0117E">
        <w:rPr>
          <w:lang w:val="uk-UA"/>
        </w:rPr>
        <w:t xml:space="preserve"> (</w:t>
      </w:r>
      <w:r w:rsidR="00F32EA7" w:rsidRPr="00F0117E">
        <w:rPr>
          <w:lang w:val="uk-UA"/>
        </w:rPr>
        <w:t>надалі «Закон № 677/2001»</w:t>
      </w:r>
      <w:r w:rsidR="00E81B07" w:rsidRPr="00F0117E">
        <w:rPr>
          <w:lang w:val="uk-UA"/>
        </w:rPr>
        <w:t xml:space="preserve">), </w:t>
      </w:r>
      <w:r w:rsidR="00F32EA7" w:rsidRPr="00F0117E">
        <w:rPr>
          <w:lang w:val="uk-UA"/>
        </w:rPr>
        <w:t>яки</w:t>
      </w:r>
      <w:r w:rsidR="003173D0" w:rsidRPr="00F0117E">
        <w:rPr>
          <w:lang w:val="uk-UA"/>
        </w:rPr>
        <w:t>й відтворює певні положення Дир</w:t>
      </w:r>
      <w:r w:rsidR="00F32EA7" w:rsidRPr="00F0117E">
        <w:rPr>
          <w:lang w:val="uk-UA"/>
        </w:rPr>
        <w:t>ективи</w:t>
      </w:r>
      <w:r w:rsidR="00E81B07" w:rsidRPr="00F0117E">
        <w:rPr>
          <w:lang w:val="uk-UA"/>
        </w:rPr>
        <w:t xml:space="preserve"> 95/46/EC </w:t>
      </w:r>
      <w:r w:rsidR="00F32EA7" w:rsidRPr="00F0117E">
        <w:rPr>
          <w:lang w:val="uk-UA"/>
        </w:rPr>
        <w:t>Європейського Парламенту</w:t>
      </w:r>
      <w:r w:rsidR="00E81B07" w:rsidRPr="00F0117E">
        <w:rPr>
          <w:lang w:val="uk-UA"/>
        </w:rPr>
        <w:t xml:space="preserve"> </w:t>
      </w:r>
      <w:r w:rsidR="00F32EA7" w:rsidRPr="00F0117E">
        <w:rPr>
          <w:lang w:val="uk-UA"/>
        </w:rPr>
        <w:t>та Ради Європейського Союзу від</w:t>
      </w:r>
      <w:r w:rsidR="00E81B07" w:rsidRPr="00F0117E">
        <w:rPr>
          <w:lang w:val="uk-UA"/>
        </w:rPr>
        <w:t xml:space="preserve"> 24 </w:t>
      </w:r>
      <w:r w:rsidR="00F32EA7" w:rsidRPr="00F0117E">
        <w:rPr>
          <w:lang w:val="uk-UA"/>
        </w:rPr>
        <w:t>жовтня</w:t>
      </w:r>
      <w:r w:rsidR="00E81B07" w:rsidRPr="00F0117E">
        <w:rPr>
          <w:lang w:val="uk-UA"/>
        </w:rPr>
        <w:t xml:space="preserve"> 1995 </w:t>
      </w:r>
      <w:r w:rsidR="00F32EA7" w:rsidRPr="00F0117E">
        <w:rPr>
          <w:lang w:val="uk-UA"/>
        </w:rPr>
        <w:t>року про захист осіб</w:t>
      </w:r>
      <w:r w:rsidR="00E81B07" w:rsidRPr="00F0117E">
        <w:rPr>
          <w:lang w:val="uk-UA"/>
        </w:rPr>
        <w:t xml:space="preserve"> </w:t>
      </w:r>
      <w:r w:rsidR="00F32EA7" w:rsidRPr="00F0117E">
        <w:rPr>
          <w:lang w:val="uk-UA"/>
        </w:rPr>
        <w:t xml:space="preserve">у зв’язку з </w:t>
      </w:r>
      <w:r w:rsidR="008A4497" w:rsidRPr="00F0117E">
        <w:rPr>
          <w:lang w:val="uk-UA"/>
        </w:rPr>
        <w:t>опрацюванням</w:t>
      </w:r>
      <w:r w:rsidR="00F32EA7" w:rsidRPr="00F0117E">
        <w:rPr>
          <w:lang w:val="uk-UA"/>
        </w:rPr>
        <w:t xml:space="preserve"> </w:t>
      </w:r>
      <w:r w:rsidR="001522E4" w:rsidRPr="00F0117E">
        <w:rPr>
          <w:lang w:val="uk-UA"/>
        </w:rPr>
        <w:t>персональних</w:t>
      </w:r>
      <w:r w:rsidR="00F32EA7" w:rsidRPr="00F0117E">
        <w:rPr>
          <w:lang w:val="uk-UA"/>
        </w:rPr>
        <w:t xml:space="preserve"> даних та про вільне переміщення таких даних</w:t>
      </w:r>
      <w:r w:rsidR="00E81B07" w:rsidRPr="00F0117E">
        <w:rPr>
          <w:lang w:val="uk-UA"/>
        </w:rPr>
        <w:t xml:space="preserve"> (</w:t>
      </w:r>
      <w:r w:rsidR="00F32EA7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Directive_UE \h  \* MERGEFORMAT ">
        <w:r w:rsidR="008B2B31" w:rsidRPr="00F0117E">
          <w:rPr>
            <w:lang w:val="uk-UA"/>
          </w:rPr>
          <w:t>45</w:t>
        </w:r>
      </w:fldSimple>
      <w:r w:rsidR="00E81B07" w:rsidRPr="00F0117E">
        <w:rPr>
          <w:lang w:val="uk-UA"/>
        </w:rPr>
        <w:t xml:space="preserve"> </w:t>
      </w:r>
      <w:r w:rsidR="00F32EA7" w:rsidRPr="00F0117E">
        <w:rPr>
          <w:lang w:val="uk-UA"/>
        </w:rPr>
        <w:t>нижче</w:t>
      </w:r>
      <w:r w:rsidR="00E81B07" w:rsidRPr="00F0117E">
        <w:rPr>
          <w:lang w:val="uk-UA"/>
        </w:rPr>
        <w:t>),</w:t>
      </w:r>
      <w:r w:rsidR="00E36F4C" w:rsidRPr="00F0117E">
        <w:rPr>
          <w:lang w:val="uk-UA"/>
        </w:rPr>
        <w:t xml:space="preserve"> </w:t>
      </w:r>
      <w:r w:rsidR="00F32EA7" w:rsidRPr="00F0117E">
        <w:rPr>
          <w:lang w:val="uk-UA"/>
        </w:rPr>
        <w:t>передбачають</w:t>
      </w:r>
      <w:r w:rsidR="00E81B07" w:rsidRPr="00F0117E">
        <w:rPr>
          <w:lang w:val="uk-UA"/>
        </w:rPr>
        <w:t>:</w:t>
      </w:r>
    </w:p>
    <w:p w:rsidR="00E81B07" w:rsidRPr="00F0117E" w:rsidRDefault="00CF1DF7" w:rsidP="008B2B31">
      <w:pPr>
        <w:pStyle w:val="ECHRTitleCentre3"/>
        <w:rPr>
          <w:lang w:val="uk-UA"/>
        </w:rPr>
      </w:pPr>
      <w:r w:rsidRPr="00F0117E">
        <w:rPr>
          <w:lang w:val="uk-UA"/>
        </w:rPr>
        <w:t>Стаття</w:t>
      </w:r>
      <w:r w:rsidR="00E81B07" w:rsidRPr="00F0117E">
        <w:rPr>
          <w:lang w:val="uk-UA"/>
        </w:rPr>
        <w:t xml:space="preserve"> 3 – </w:t>
      </w:r>
      <w:r w:rsidR="00954598" w:rsidRPr="00F0117E">
        <w:rPr>
          <w:lang w:val="uk-UA"/>
        </w:rPr>
        <w:t>Терміни</w:t>
      </w:r>
    </w:p>
    <w:p w:rsidR="00E81B07" w:rsidRPr="00F0117E" w:rsidRDefault="00E81B07" w:rsidP="008B2B31">
      <w:pPr>
        <w:pStyle w:val="ECHRParaQuote"/>
        <w:rPr>
          <w:lang w:val="uk-UA" w:bidi="en-US"/>
        </w:rPr>
      </w:pPr>
      <w:r w:rsidRPr="00F0117E">
        <w:rPr>
          <w:lang w:val="uk-UA" w:bidi="en-US"/>
        </w:rPr>
        <w:t>“</w:t>
      </w:r>
      <w:r w:rsidR="00954598" w:rsidRPr="00F0117E">
        <w:rPr>
          <w:lang w:val="uk-UA" w:bidi="en-US"/>
        </w:rPr>
        <w:t>У цьому законі наведені нижче терміни означають наступне</w:t>
      </w:r>
      <w:r w:rsidRPr="00F0117E">
        <w:rPr>
          <w:lang w:val="uk-UA"/>
        </w:rPr>
        <w:t>:</w:t>
      </w:r>
    </w:p>
    <w:p w:rsidR="00E81B07" w:rsidRPr="00F0117E" w:rsidRDefault="00E81B07" w:rsidP="008B2B31">
      <w:pPr>
        <w:pStyle w:val="JuQuotSub"/>
        <w:rPr>
          <w:lang w:val="uk-UA" w:bidi="en-US"/>
        </w:rPr>
      </w:pPr>
      <w:r w:rsidRPr="00F0117E">
        <w:rPr>
          <w:lang w:val="uk-UA" w:bidi="en-US"/>
        </w:rPr>
        <w:t>(a)</w:t>
      </w:r>
      <w:r w:rsidR="00FA6D4F" w:rsidRPr="00F0117E">
        <w:rPr>
          <w:lang w:val="uk-UA" w:bidi="en-US"/>
        </w:rPr>
        <w:t xml:space="preserve"> </w:t>
      </w:r>
      <w:r w:rsidR="008B2B31" w:rsidRPr="00F0117E">
        <w:rPr>
          <w:lang w:val="uk-UA" w:bidi="en-US"/>
        </w:rPr>
        <w:t>’</w:t>
      </w:r>
      <w:r w:rsidR="00E64795" w:rsidRPr="00F0117E">
        <w:rPr>
          <w:lang w:val="uk-UA" w:bidi="en-US"/>
        </w:rPr>
        <w:t>персональн</w:t>
      </w:r>
      <w:r w:rsidR="00E775AD" w:rsidRPr="00F0117E">
        <w:rPr>
          <w:lang w:val="uk-UA" w:bidi="en-US"/>
        </w:rPr>
        <w:t>і дані</w:t>
      </w:r>
      <w:r w:rsidR="008B2B31" w:rsidRPr="00F0117E">
        <w:rPr>
          <w:lang w:val="uk-UA" w:bidi="en-US"/>
        </w:rPr>
        <w:t>’</w:t>
      </w:r>
      <w:r w:rsidRPr="00F0117E">
        <w:rPr>
          <w:lang w:val="uk-UA" w:bidi="en-US"/>
        </w:rPr>
        <w:t xml:space="preserve"> </w:t>
      </w:r>
      <w:r w:rsidR="00E775AD" w:rsidRPr="00F0117E">
        <w:rPr>
          <w:lang w:val="uk-UA" w:bidi="en-US"/>
        </w:rPr>
        <w:t xml:space="preserve">– будь-яка інформація, яка відноситься до </w:t>
      </w:r>
      <w:r w:rsidR="00BD7CFD" w:rsidRPr="00F0117E">
        <w:rPr>
          <w:lang w:val="uk-UA" w:bidi="en-US"/>
        </w:rPr>
        <w:t>ідентифікованої</w:t>
      </w:r>
      <w:r w:rsidR="00E775AD" w:rsidRPr="00F0117E">
        <w:rPr>
          <w:lang w:val="uk-UA" w:bidi="en-US"/>
        </w:rPr>
        <w:t xml:space="preserve"> або такої, що може бути </w:t>
      </w:r>
      <w:r w:rsidR="00BD7CFD" w:rsidRPr="00F0117E">
        <w:rPr>
          <w:lang w:val="uk-UA" w:bidi="en-US"/>
        </w:rPr>
        <w:t>ідентифікована</w:t>
      </w:r>
      <w:r w:rsidR="00E775AD" w:rsidRPr="00F0117E">
        <w:rPr>
          <w:lang w:val="uk-UA" w:bidi="en-US"/>
        </w:rPr>
        <w:t>, фізичної особи</w:t>
      </w:r>
      <w:r w:rsidRPr="00F0117E">
        <w:rPr>
          <w:lang w:val="uk-UA" w:bidi="en-US"/>
        </w:rPr>
        <w:t xml:space="preserve">; </w:t>
      </w:r>
      <w:r w:rsidR="00E775AD" w:rsidRPr="00F0117E">
        <w:rPr>
          <w:lang w:val="uk-UA" w:bidi="en-US"/>
        </w:rPr>
        <w:t xml:space="preserve">особа, яка може бути </w:t>
      </w:r>
      <w:r w:rsidR="00BD7CFD" w:rsidRPr="00F0117E">
        <w:rPr>
          <w:lang w:val="uk-UA" w:bidi="en-US"/>
        </w:rPr>
        <w:t>ідентифікована</w:t>
      </w:r>
      <w:r w:rsidR="00E775AD" w:rsidRPr="00F0117E">
        <w:rPr>
          <w:lang w:val="uk-UA" w:bidi="en-US"/>
        </w:rPr>
        <w:t xml:space="preserve"> – це особа, яку можна </w:t>
      </w:r>
      <w:r w:rsidR="00BD7CFD" w:rsidRPr="00F0117E">
        <w:rPr>
          <w:lang w:val="uk-UA" w:bidi="en-US"/>
        </w:rPr>
        <w:t>упізнати</w:t>
      </w:r>
      <w:r w:rsidR="00E775AD" w:rsidRPr="00F0117E">
        <w:rPr>
          <w:lang w:val="uk-UA" w:bidi="en-US"/>
        </w:rPr>
        <w:t xml:space="preserve"> прямим або непрямим шляхом</w:t>
      </w:r>
      <w:r w:rsidRPr="00F0117E">
        <w:rPr>
          <w:lang w:val="uk-UA" w:bidi="en-US"/>
        </w:rPr>
        <w:t xml:space="preserve">, </w:t>
      </w:r>
      <w:r w:rsidR="00E775AD" w:rsidRPr="00F0117E">
        <w:rPr>
          <w:lang w:val="uk-UA" w:bidi="en-US"/>
        </w:rPr>
        <w:t>зокрема, за ідентифікаційним номером або однією чи декільком характерним рисам фізичних, фізіологічних, економічних, культурних або соціальних особливостей такої особи</w:t>
      </w:r>
      <w:r w:rsidRPr="00F0117E">
        <w:rPr>
          <w:lang w:val="uk-UA" w:bidi="en-US"/>
        </w:rPr>
        <w:t>;</w:t>
      </w:r>
    </w:p>
    <w:p w:rsidR="00E81B07" w:rsidRPr="00F0117E" w:rsidRDefault="00E81B07" w:rsidP="008B2B31">
      <w:pPr>
        <w:pStyle w:val="JuQuotSub"/>
        <w:rPr>
          <w:lang w:val="uk-UA" w:bidi="en-US"/>
        </w:rPr>
      </w:pPr>
      <w:r w:rsidRPr="00F0117E">
        <w:rPr>
          <w:lang w:val="uk-UA" w:bidi="en-US"/>
        </w:rPr>
        <w:t>...”</w:t>
      </w:r>
    </w:p>
    <w:p w:rsidR="00E36F4C" w:rsidRPr="00F0117E" w:rsidRDefault="005B0398" w:rsidP="008B2B31">
      <w:pPr>
        <w:pStyle w:val="ECHRTitleCentre3"/>
        <w:rPr>
          <w:lang w:val="uk-UA"/>
        </w:rPr>
      </w:pPr>
      <w:r w:rsidRPr="00F0117E">
        <w:rPr>
          <w:lang w:val="uk-UA"/>
        </w:rPr>
        <w:t>Стаття</w:t>
      </w:r>
      <w:r w:rsidR="00E81B07" w:rsidRPr="00F0117E">
        <w:rPr>
          <w:lang w:val="uk-UA"/>
        </w:rPr>
        <w:t xml:space="preserve"> 5 – </w:t>
      </w:r>
      <w:r w:rsidRPr="00F0117E">
        <w:rPr>
          <w:lang w:val="uk-UA"/>
        </w:rPr>
        <w:t xml:space="preserve">Умови законності при </w:t>
      </w:r>
      <w:r w:rsidR="008A4497" w:rsidRPr="00F0117E">
        <w:rPr>
          <w:lang w:val="uk-UA"/>
        </w:rPr>
        <w:t>опрацюванні</w:t>
      </w:r>
      <w:r w:rsidRPr="00F0117E">
        <w:rPr>
          <w:lang w:val="uk-UA"/>
        </w:rPr>
        <w:t xml:space="preserve"> даних</w:t>
      </w:r>
    </w:p>
    <w:p w:rsidR="00E81B07" w:rsidRPr="00F0117E" w:rsidRDefault="00E81B07" w:rsidP="008B2B31">
      <w:pPr>
        <w:pStyle w:val="ECHRParaQuote"/>
        <w:rPr>
          <w:lang w:val="uk-UA" w:bidi="en-US"/>
        </w:rPr>
      </w:pPr>
      <w:r w:rsidRPr="00F0117E">
        <w:rPr>
          <w:lang w:val="uk-UA" w:bidi="en-US"/>
        </w:rPr>
        <w:t>“1.</w:t>
      </w:r>
      <w:r w:rsidR="00FA6D4F" w:rsidRPr="00F0117E">
        <w:rPr>
          <w:lang w:val="uk-UA" w:bidi="en-US"/>
        </w:rPr>
        <w:t xml:space="preserve"> </w:t>
      </w:r>
      <w:r w:rsidR="008A4497" w:rsidRPr="00F0117E">
        <w:rPr>
          <w:lang w:val="uk-UA" w:bidi="en-US"/>
        </w:rPr>
        <w:t>Персональні</w:t>
      </w:r>
      <w:r w:rsidR="005B0398" w:rsidRPr="00F0117E">
        <w:rPr>
          <w:lang w:val="uk-UA" w:bidi="en-US"/>
        </w:rPr>
        <w:t xml:space="preserve"> дані</w:t>
      </w:r>
      <w:r w:rsidRPr="00F0117E">
        <w:rPr>
          <w:lang w:val="uk-UA" w:bidi="en-US"/>
        </w:rPr>
        <w:t xml:space="preserve"> ... </w:t>
      </w:r>
      <w:r w:rsidR="005B0398" w:rsidRPr="00F0117E">
        <w:rPr>
          <w:lang w:val="uk-UA" w:bidi="en-US"/>
        </w:rPr>
        <w:t xml:space="preserve">не можуть бути </w:t>
      </w:r>
      <w:r w:rsidR="008A4497" w:rsidRPr="00F0117E">
        <w:rPr>
          <w:lang w:val="uk-UA" w:bidi="en-US"/>
        </w:rPr>
        <w:t>опрацьовані</w:t>
      </w:r>
      <w:r w:rsidR="005B0398" w:rsidRPr="00F0117E">
        <w:rPr>
          <w:lang w:val="uk-UA" w:bidi="en-US"/>
        </w:rPr>
        <w:t xml:space="preserve"> будь-яким шляхом,</w:t>
      </w:r>
      <w:r w:rsidRPr="00F0117E">
        <w:rPr>
          <w:lang w:val="uk-UA" w:bidi="en-US"/>
        </w:rPr>
        <w:t xml:space="preserve"> </w:t>
      </w:r>
      <w:r w:rsidR="005B0398" w:rsidRPr="00F0117E">
        <w:rPr>
          <w:lang w:val="uk-UA" w:bidi="en-US"/>
        </w:rPr>
        <w:t>якщо суб’єкт даних</w:t>
      </w:r>
      <w:r w:rsidRPr="00F0117E">
        <w:rPr>
          <w:lang w:val="uk-UA" w:bidi="en-US"/>
        </w:rPr>
        <w:t xml:space="preserve"> </w:t>
      </w:r>
      <w:r w:rsidR="005B0398" w:rsidRPr="00F0117E">
        <w:rPr>
          <w:lang w:val="uk-UA" w:bidi="en-US"/>
        </w:rPr>
        <w:t>не дав чітку та недвозначну згоду на це</w:t>
      </w:r>
      <w:r w:rsidRPr="00F0117E">
        <w:rPr>
          <w:lang w:val="uk-UA" w:bidi="en-US"/>
        </w:rPr>
        <w:t>.</w:t>
      </w:r>
    </w:p>
    <w:p w:rsidR="00E81B07" w:rsidRPr="00F0117E" w:rsidRDefault="00E81B07" w:rsidP="008B2B31">
      <w:pPr>
        <w:pStyle w:val="ECHRParaQuote"/>
        <w:rPr>
          <w:lang w:val="uk-UA" w:bidi="en-US"/>
        </w:rPr>
      </w:pPr>
      <w:r w:rsidRPr="00F0117E">
        <w:rPr>
          <w:lang w:val="uk-UA" w:bidi="en-US"/>
        </w:rPr>
        <w:t>2.</w:t>
      </w:r>
      <w:r w:rsidR="00FA6D4F" w:rsidRPr="00F0117E">
        <w:rPr>
          <w:lang w:val="uk-UA" w:bidi="en-US"/>
        </w:rPr>
        <w:t xml:space="preserve"> </w:t>
      </w:r>
      <w:r w:rsidR="005B0398" w:rsidRPr="00F0117E">
        <w:rPr>
          <w:lang w:val="uk-UA" w:bidi="en-US"/>
        </w:rPr>
        <w:t>Згода суб’єкта даних не буде необхідною за наступних обставин</w:t>
      </w:r>
      <w:r w:rsidRPr="00F0117E">
        <w:rPr>
          <w:lang w:val="uk-UA" w:bidi="en-US"/>
        </w:rPr>
        <w:t>:</w:t>
      </w:r>
    </w:p>
    <w:p w:rsidR="00E81B07" w:rsidRPr="00F0117E" w:rsidRDefault="00E81B07" w:rsidP="008B2B31">
      <w:pPr>
        <w:pStyle w:val="JuQuotSub"/>
        <w:rPr>
          <w:lang w:val="uk-UA" w:bidi="en-US"/>
        </w:rPr>
      </w:pPr>
      <w:r w:rsidRPr="00F0117E">
        <w:rPr>
          <w:lang w:val="uk-UA" w:bidi="en-US"/>
        </w:rPr>
        <w:t>(a)</w:t>
      </w:r>
      <w:r w:rsidR="00FA6D4F" w:rsidRPr="00F0117E">
        <w:rPr>
          <w:lang w:val="uk-UA" w:bidi="en-US"/>
        </w:rPr>
        <w:t xml:space="preserve"> </w:t>
      </w:r>
      <w:r w:rsidR="005B0398" w:rsidRPr="00F0117E">
        <w:rPr>
          <w:lang w:val="uk-UA" w:bidi="en-US"/>
        </w:rPr>
        <w:t xml:space="preserve">якщо </w:t>
      </w:r>
      <w:r w:rsidR="008A4497" w:rsidRPr="00F0117E">
        <w:rPr>
          <w:lang w:val="uk-UA" w:bidi="en-US"/>
        </w:rPr>
        <w:t>опрацювання є необхідним</w:t>
      </w:r>
      <w:r w:rsidR="005B0398" w:rsidRPr="00F0117E">
        <w:rPr>
          <w:lang w:val="uk-UA" w:bidi="en-US"/>
        </w:rPr>
        <w:t xml:space="preserve"> для виконання контракту,</w:t>
      </w:r>
      <w:r w:rsidRPr="00F0117E">
        <w:rPr>
          <w:lang w:val="uk-UA" w:bidi="en-US"/>
        </w:rPr>
        <w:t xml:space="preserve"> </w:t>
      </w:r>
      <w:r w:rsidR="005B0398" w:rsidRPr="00F0117E">
        <w:rPr>
          <w:lang w:val="uk-UA" w:bidi="en-US"/>
        </w:rPr>
        <w:t>стороною якого є суб’єкт даних,</w:t>
      </w:r>
      <w:r w:rsidRPr="00F0117E">
        <w:rPr>
          <w:lang w:val="uk-UA" w:bidi="en-US"/>
        </w:rPr>
        <w:t xml:space="preserve"> </w:t>
      </w:r>
      <w:r w:rsidR="005B0398" w:rsidRPr="00F0117E">
        <w:rPr>
          <w:lang w:val="uk-UA" w:bidi="en-US"/>
        </w:rPr>
        <w:t>або для вжиття заходів за запитом суб’єкта даних</w:t>
      </w:r>
      <w:r w:rsidRPr="00F0117E">
        <w:rPr>
          <w:lang w:val="uk-UA" w:bidi="en-US"/>
        </w:rPr>
        <w:t xml:space="preserve"> </w:t>
      </w:r>
      <w:r w:rsidR="005B0398" w:rsidRPr="00F0117E">
        <w:rPr>
          <w:lang w:val="uk-UA" w:bidi="en-US"/>
        </w:rPr>
        <w:t>до укладення контракту</w:t>
      </w:r>
      <w:r w:rsidRPr="00F0117E">
        <w:rPr>
          <w:lang w:val="uk-UA" w:bidi="en-US"/>
        </w:rPr>
        <w:t>;</w:t>
      </w:r>
    </w:p>
    <w:p w:rsidR="00E81B07" w:rsidRPr="00F0117E" w:rsidRDefault="00E81B07" w:rsidP="008B2B31">
      <w:pPr>
        <w:pStyle w:val="JuQuotSub"/>
        <w:rPr>
          <w:lang w:val="uk-UA" w:bidi="en-US"/>
        </w:rPr>
      </w:pPr>
      <w:r w:rsidRPr="00F0117E">
        <w:rPr>
          <w:lang w:val="uk-UA" w:bidi="en-US"/>
        </w:rPr>
        <w:t>...</w:t>
      </w:r>
    </w:p>
    <w:p w:rsidR="00E81B07" w:rsidRPr="00F0117E" w:rsidRDefault="00E81B07" w:rsidP="008B2B31">
      <w:pPr>
        <w:pStyle w:val="JuQuotSub"/>
        <w:rPr>
          <w:lang w:val="uk-UA" w:bidi="en-US"/>
        </w:rPr>
      </w:pPr>
      <w:r w:rsidRPr="00F0117E">
        <w:rPr>
          <w:lang w:val="uk-UA" w:bidi="en-US"/>
        </w:rPr>
        <w:t>(e)</w:t>
      </w:r>
      <w:r w:rsidR="00FA6D4F" w:rsidRPr="00F0117E">
        <w:rPr>
          <w:lang w:val="uk-UA" w:bidi="en-US"/>
        </w:rPr>
        <w:t xml:space="preserve"> </w:t>
      </w:r>
      <w:r w:rsidR="00874BD3" w:rsidRPr="00F0117E">
        <w:rPr>
          <w:lang w:val="uk-UA" w:bidi="en-US"/>
        </w:rPr>
        <w:t xml:space="preserve">якщо </w:t>
      </w:r>
      <w:r w:rsidR="008A4497" w:rsidRPr="00F0117E">
        <w:rPr>
          <w:lang w:val="uk-UA" w:bidi="en-US"/>
        </w:rPr>
        <w:t>опрацювання даних є необхідним</w:t>
      </w:r>
      <w:r w:rsidRPr="00F0117E">
        <w:rPr>
          <w:lang w:val="uk-UA" w:bidi="en-US"/>
        </w:rPr>
        <w:t xml:space="preserve"> </w:t>
      </w:r>
      <w:r w:rsidR="00874BD3" w:rsidRPr="00F0117E">
        <w:rPr>
          <w:lang w:val="uk-UA" w:bidi="en-US"/>
        </w:rPr>
        <w:t>для цілей законних інтересів,</w:t>
      </w:r>
      <w:r w:rsidRPr="00F0117E">
        <w:rPr>
          <w:lang w:val="uk-UA" w:bidi="en-US"/>
        </w:rPr>
        <w:t xml:space="preserve"> </w:t>
      </w:r>
      <w:r w:rsidR="00874BD3" w:rsidRPr="00F0117E">
        <w:rPr>
          <w:lang w:val="uk-UA" w:bidi="en-US"/>
        </w:rPr>
        <w:t>переслідуваних контролером або третьою стороною,</w:t>
      </w:r>
      <w:r w:rsidRPr="00F0117E">
        <w:rPr>
          <w:lang w:val="uk-UA" w:bidi="en-US"/>
        </w:rPr>
        <w:t xml:space="preserve"> </w:t>
      </w:r>
      <w:r w:rsidR="00874BD3" w:rsidRPr="00F0117E">
        <w:rPr>
          <w:lang w:val="uk-UA" w:bidi="en-US"/>
        </w:rPr>
        <w:t>або сторонами, яким розкриваються дані</w:t>
      </w:r>
      <w:r w:rsidRPr="00F0117E">
        <w:rPr>
          <w:lang w:val="uk-UA" w:bidi="en-US"/>
        </w:rPr>
        <w:t xml:space="preserve">, </w:t>
      </w:r>
      <w:r w:rsidR="00874BD3" w:rsidRPr="00F0117E">
        <w:rPr>
          <w:lang w:val="uk-UA" w:bidi="en-US"/>
        </w:rPr>
        <w:t>окрім випадків, коли над такими інтересами переважають інтереси</w:t>
      </w:r>
      <w:r w:rsidRPr="00F0117E">
        <w:rPr>
          <w:lang w:val="uk-UA" w:bidi="en-US"/>
        </w:rPr>
        <w:t xml:space="preserve"> </w:t>
      </w:r>
      <w:r w:rsidR="00874BD3" w:rsidRPr="00F0117E">
        <w:rPr>
          <w:lang w:val="uk-UA" w:bidi="en-US"/>
        </w:rPr>
        <w:t>або основоположні права та свободи суб’єкта даних</w:t>
      </w:r>
      <w:r w:rsidRPr="00F0117E">
        <w:rPr>
          <w:lang w:val="uk-UA" w:bidi="en-US"/>
        </w:rPr>
        <w:t>;</w:t>
      </w:r>
    </w:p>
    <w:p w:rsidR="00E81B07" w:rsidRPr="00F0117E" w:rsidRDefault="00E81B07" w:rsidP="008B2B31">
      <w:pPr>
        <w:pStyle w:val="JuQuotSub"/>
        <w:rPr>
          <w:lang w:val="uk-UA" w:bidi="en-US"/>
        </w:rPr>
      </w:pPr>
      <w:r w:rsidRPr="00F0117E">
        <w:rPr>
          <w:lang w:val="uk-UA" w:bidi="en-US"/>
        </w:rPr>
        <w:t>...</w:t>
      </w:r>
    </w:p>
    <w:p w:rsidR="00E81B07" w:rsidRPr="00F0117E" w:rsidRDefault="00E81B07" w:rsidP="008B2B31">
      <w:pPr>
        <w:pStyle w:val="ECHRParaQuote"/>
        <w:rPr>
          <w:lang w:val="uk-UA" w:bidi="en-US"/>
        </w:rPr>
      </w:pPr>
      <w:r w:rsidRPr="00F0117E">
        <w:rPr>
          <w:lang w:val="uk-UA" w:bidi="en-US"/>
        </w:rPr>
        <w:t>3.</w:t>
      </w:r>
      <w:r w:rsidR="00FA6D4F" w:rsidRPr="00F0117E">
        <w:rPr>
          <w:lang w:val="uk-UA" w:bidi="en-US"/>
        </w:rPr>
        <w:t xml:space="preserve"> </w:t>
      </w:r>
      <w:r w:rsidR="00FA5783" w:rsidRPr="00F0117E">
        <w:rPr>
          <w:lang w:val="uk-UA" w:bidi="en-US"/>
        </w:rPr>
        <w:t>Положення пункту</w:t>
      </w:r>
      <w:r w:rsidRPr="00F0117E">
        <w:rPr>
          <w:lang w:val="uk-UA" w:bidi="en-US"/>
        </w:rPr>
        <w:t xml:space="preserve"> 2 </w:t>
      </w:r>
      <w:r w:rsidR="00FA5783" w:rsidRPr="00F0117E">
        <w:rPr>
          <w:lang w:val="uk-UA" w:bidi="en-US"/>
        </w:rPr>
        <w:t>не завдають шкоди статутним положенням,</w:t>
      </w:r>
      <w:r w:rsidRPr="00F0117E">
        <w:rPr>
          <w:lang w:val="uk-UA" w:bidi="en-US"/>
        </w:rPr>
        <w:t xml:space="preserve"> </w:t>
      </w:r>
      <w:r w:rsidR="00FA5783" w:rsidRPr="00F0117E">
        <w:rPr>
          <w:lang w:val="uk-UA" w:bidi="en-US"/>
        </w:rPr>
        <w:t>які регулюють обов’язок громадських органів влади</w:t>
      </w:r>
      <w:r w:rsidRPr="00F0117E">
        <w:rPr>
          <w:lang w:val="uk-UA" w:bidi="en-US"/>
        </w:rPr>
        <w:t xml:space="preserve"> </w:t>
      </w:r>
      <w:r w:rsidR="00FA5783" w:rsidRPr="00F0117E">
        <w:rPr>
          <w:lang w:val="uk-UA" w:bidi="en-US"/>
        </w:rPr>
        <w:t>щодо поваги та захисту інтимного, сімейного та приватного життя</w:t>
      </w:r>
      <w:r w:rsidRPr="00F0117E">
        <w:rPr>
          <w:lang w:val="uk-UA" w:bidi="en-US"/>
        </w:rPr>
        <w:t>.”</w:t>
      </w:r>
    </w:p>
    <w:p w:rsidR="00E81B07" w:rsidRPr="00F0117E" w:rsidRDefault="00FA5783" w:rsidP="008B2B31">
      <w:pPr>
        <w:pStyle w:val="ECHRTitleCentre3"/>
        <w:rPr>
          <w:lang w:val="uk-UA"/>
        </w:rPr>
      </w:pPr>
      <w:r w:rsidRPr="00F0117E">
        <w:rPr>
          <w:lang w:val="uk-UA"/>
        </w:rPr>
        <w:t>Стаття</w:t>
      </w:r>
      <w:r w:rsidR="00E81B07" w:rsidRPr="00F0117E">
        <w:rPr>
          <w:lang w:val="uk-UA"/>
        </w:rPr>
        <w:t xml:space="preserve"> 18 – </w:t>
      </w:r>
      <w:r w:rsidRPr="00F0117E">
        <w:rPr>
          <w:lang w:val="uk-UA"/>
        </w:rPr>
        <w:t xml:space="preserve">Право </w:t>
      </w:r>
      <w:r w:rsidR="009608AB" w:rsidRPr="00F0117E">
        <w:rPr>
          <w:lang w:val="uk-UA"/>
        </w:rPr>
        <w:t>на звернення до суду</w:t>
      </w:r>
    </w:p>
    <w:p w:rsidR="00E81B07" w:rsidRPr="00F0117E" w:rsidRDefault="00E81B07" w:rsidP="008B2B31">
      <w:pPr>
        <w:pStyle w:val="ECHRParaQuote"/>
        <w:rPr>
          <w:lang w:val="uk-UA" w:bidi="en-US"/>
        </w:rPr>
      </w:pPr>
      <w:r w:rsidRPr="00F0117E">
        <w:rPr>
          <w:lang w:val="uk-UA" w:bidi="en-US"/>
        </w:rPr>
        <w:t>“1.</w:t>
      </w:r>
      <w:r w:rsidR="00FA6D4F" w:rsidRPr="00F0117E">
        <w:rPr>
          <w:lang w:val="uk-UA" w:bidi="en-US"/>
        </w:rPr>
        <w:t xml:space="preserve"> </w:t>
      </w:r>
      <w:r w:rsidR="009608AB" w:rsidRPr="00F0117E">
        <w:rPr>
          <w:lang w:val="uk-UA" w:bidi="en-US"/>
        </w:rPr>
        <w:t>Суб’єкти даних мають право звернутися до суду для захисту прав, які гарантує цей Закон і які були порушені</w:t>
      </w:r>
      <w:r w:rsidRPr="00F0117E">
        <w:rPr>
          <w:lang w:val="uk-UA" w:bidi="en-US"/>
        </w:rPr>
        <w:t xml:space="preserve">, </w:t>
      </w:r>
      <w:r w:rsidR="009608AB" w:rsidRPr="00F0117E">
        <w:rPr>
          <w:lang w:val="uk-UA" w:bidi="en-US"/>
        </w:rPr>
        <w:t>яке не завдає шкоди можливості подати скаргу</w:t>
      </w:r>
      <w:r w:rsidRPr="00F0117E">
        <w:rPr>
          <w:lang w:val="uk-UA" w:bidi="en-US"/>
        </w:rPr>
        <w:t xml:space="preserve"> </w:t>
      </w:r>
      <w:r w:rsidR="009608AB" w:rsidRPr="00F0117E">
        <w:rPr>
          <w:lang w:val="uk-UA" w:bidi="en-US"/>
        </w:rPr>
        <w:t>до контролюючого органу</w:t>
      </w:r>
      <w:r w:rsidRPr="00F0117E">
        <w:rPr>
          <w:lang w:val="uk-UA" w:bidi="en-US"/>
        </w:rPr>
        <w:t>.</w:t>
      </w:r>
    </w:p>
    <w:p w:rsidR="00E81B07" w:rsidRPr="00F0117E" w:rsidRDefault="00E81B07" w:rsidP="008B2B31">
      <w:pPr>
        <w:pStyle w:val="ECHRParaQuote"/>
        <w:rPr>
          <w:lang w:val="uk-UA" w:bidi="en-US"/>
        </w:rPr>
      </w:pPr>
      <w:r w:rsidRPr="00F0117E">
        <w:rPr>
          <w:lang w:val="uk-UA" w:bidi="en-US"/>
        </w:rPr>
        <w:t>2.</w:t>
      </w:r>
      <w:r w:rsidR="00FA6D4F" w:rsidRPr="00F0117E">
        <w:rPr>
          <w:lang w:val="uk-UA" w:bidi="en-US"/>
        </w:rPr>
        <w:t xml:space="preserve"> </w:t>
      </w:r>
      <w:r w:rsidR="009608AB" w:rsidRPr="00F0117E">
        <w:rPr>
          <w:lang w:val="uk-UA" w:bidi="en-US"/>
        </w:rPr>
        <w:t>Будь-яка особа, яка понесла шкоду</w:t>
      </w:r>
      <w:r w:rsidRPr="00F0117E">
        <w:rPr>
          <w:lang w:val="uk-UA" w:bidi="en-US"/>
        </w:rPr>
        <w:t xml:space="preserve"> </w:t>
      </w:r>
      <w:r w:rsidR="009608AB" w:rsidRPr="00F0117E">
        <w:rPr>
          <w:lang w:val="uk-UA" w:bidi="en-US"/>
        </w:rPr>
        <w:t xml:space="preserve">в результаті </w:t>
      </w:r>
      <w:r w:rsidR="008A4497" w:rsidRPr="00F0117E">
        <w:rPr>
          <w:lang w:val="uk-UA" w:bidi="en-US"/>
        </w:rPr>
        <w:t>незаконного опрацювання</w:t>
      </w:r>
      <w:r w:rsidR="009608AB" w:rsidRPr="00F0117E">
        <w:rPr>
          <w:lang w:val="uk-UA" w:bidi="en-US"/>
        </w:rPr>
        <w:t xml:space="preserve"> своїх </w:t>
      </w:r>
      <w:r w:rsidR="00E64795" w:rsidRPr="00F0117E">
        <w:rPr>
          <w:lang w:val="uk-UA" w:bidi="en-US"/>
        </w:rPr>
        <w:t>персональн</w:t>
      </w:r>
      <w:r w:rsidR="009608AB" w:rsidRPr="00F0117E">
        <w:rPr>
          <w:lang w:val="uk-UA" w:bidi="en-US"/>
        </w:rPr>
        <w:t>их даних,</w:t>
      </w:r>
      <w:r w:rsidRPr="00F0117E">
        <w:rPr>
          <w:lang w:val="uk-UA" w:bidi="en-US"/>
        </w:rPr>
        <w:t xml:space="preserve"> </w:t>
      </w:r>
      <w:r w:rsidR="009608AB" w:rsidRPr="00F0117E">
        <w:rPr>
          <w:lang w:val="uk-UA" w:bidi="en-US"/>
        </w:rPr>
        <w:t>може звернутися до компетентного суду за відшкодуванням</w:t>
      </w:r>
      <w:r w:rsidRPr="00F0117E">
        <w:rPr>
          <w:lang w:val="uk-UA" w:bidi="en-US"/>
        </w:rPr>
        <w:t xml:space="preserve"> [</w:t>
      </w:r>
      <w:r w:rsidR="009608AB" w:rsidRPr="00F0117E">
        <w:rPr>
          <w:lang w:val="uk-UA" w:bidi="en-US"/>
        </w:rPr>
        <w:t>шкоди</w:t>
      </w:r>
      <w:r w:rsidRPr="00F0117E">
        <w:rPr>
          <w:lang w:val="uk-UA" w:bidi="en-US"/>
        </w:rPr>
        <w:t>].</w:t>
      </w:r>
    </w:p>
    <w:p w:rsidR="00E81B07" w:rsidRPr="00F0117E" w:rsidRDefault="00E81B07" w:rsidP="008B2B31">
      <w:pPr>
        <w:pStyle w:val="ECHRParaQuote"/>
        <w:rPr>
          <w:lang w:val="uk-UA" w:bidi="en-US"/>
        </w:rPr>
      </w:pPr>
      <w:r w:rsidRPr="00F0117E">
        <w:rPr>
          <w:lang w:val="uk-UA" w:bidi="en-US"/>
        </w:rPr>
        <w:lastRenderedPageBreak/>
        <w:t>...”</w:t>
      </w:r>
    </w:p>
    <w:p w:rsidR="00E81B07" w:rsidRPr="00F0117E" w:rsidRDefault="00E36F4C" w:rsidP="008B2B31">
      <w:pPr>
        <w:pStyle w:val="ECHRHeading1"/>
        <w:rPr>
          <w:lang w:val="uk-UA"/>
        </w:rPr>
      </w:pPr>
      <w:r w:rsidRPr="00F0117E">
        <w:rPr>
          <w:lang w:val="uk-UA"/>
        </w:rPr>
        <w:t>III.</w:t>
      </w:r>
      <w:r w:rsidR="00FA6D4F" w:rsidRPr="00F0117E">
        <w:rPr>
          <w:lang w:val="uk-UA"/>
        </w:rPr>
        <w:t xml:space="preserve"> </w:t>
      </w:r>
      <w:r w:rsidR="000B5A0D" w:rsidRPr="00F0117E">
        <w:rPr>
          <w:lang w:val="uk-UA"/>
        </w:rPr>
        <w:t>МІЖНАРОДНЕ ПРАВО ТА ПРАКТИКА</w:t>
      </w:r>
    </w:p>
    <w:p w:rsidR="00E81B07" w:rsidRPr="00F0117E" w:rsidRDefault="00E81B07" w:rsidP="008B2B31">
      <w:pPr>
        <w:pStyle w:val="ECHRHeading2"/>
        <w:rPr>
          <w:lang w:val="uk-UA"/>
        </w:rPr>
      </w:pPr>
      <w:r w:rsidRPr="00F0117E">
        <w:rPr>
          <w:lang w:val="uk-UA"/>
        </w:rPr>
        <w:t>A.</w:t>
      </w:r>
      <w:r w:rsidR="00FA6D4F" w:rsidRPr="00F0117E">
        <w:rPr>
          <w:lang w:val="uk-UA"/>
        </w:rPr>
        <w:t xml:space="preserve"> </w:t>
      </w:r>
      <w:r w:rsidR="000B5A0D" w:rsidRPr="00F0117E">
        <w:rPr>
          <w:lang w:val="uk-UA"/>
        </w:rPr>
        <w:t>Стандарти Організації Об’єднаних Націй</w:t>
      </w:r>
    </w:p>
    <w:p w:rsidR="00E36F4C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37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0B5A0D" w:rsidRPr="00F0117E">
        <w:rPr>
          <w:lang w:val="uk-UA"/>
        </w:rPr>
        <w:t>Настанови для регулювання</w:t>
      </w:r>
      <w:r w:rsidR="00E81B07" w:rsidRPr="00F0117E">
        <w:rPr>
          <w:bCs/>
          <w:lang w:val="uk-UA"/>
        </w:rPr>
        <w:t xml:space="preserve"> </w:t>
      </w:r>
      <w:r w:rsidR="00EE44DB" w:rsidRPr="00F0117E">
        <w:rPr>
          <w:bCs/>
          <w:lang w:val="uk-UA"/>
        </w:rPr>
        <w:t>комп’ютеризованих</w:t>
      </w:r>
      <w:r w:rsidR="000B5A0D" w:rsidRPr="00F0117E">
        <w:rPr>
          <w:bCs/>
          <w:lang w:val="uk-UA"/>
        </w:rPr>
        <w:t xml:space="preserve"> персональних даних</w:t>
      </w:r>
      <w:r w:rsidR="00E81B07" w:rsidRPr="00F0117E">
        <w:rPr>
          <w:bCs/>
          <w:lang w:val="uk-UA"/>
        </w:rPr>
        <w:t xml:space="preserve">, </w:t>
      </w:r>
      <w:r w:rsidR="000B5A0D" w:rsidRPr="00F0117E">
        <w:rPr>
          <w:bCs/>
          <w:lang w:val="uk-UA"/>
        </w:rPr>
        <w:t>прийняті Генеральною Асамблеєю ООН</w:t>
      </w:r>
      <w:r w:rsidR="00E81B07" w:rsidRPr="00F0117E">
        <w:rPr>
          <w:bCs/>
          <w:lang w:val="uk-UA"/>
        </w:rPr>
        <w:t xml:space="preserve"> 14 </w:t>
      </w:r>
      <w:r w:rsidR="000B5A0D" w:rsidRPr="00F0117E">
        <w:rPr>
          <w:bCs/>
          <w:lang w:val="uk-UA"/>
        </w:rPr>
        <w:t>грудня</w:t>
      </w:r>
      <w:r w:rsidR="00E81B07" w:rsidRPr="00F0117E">
        <w:rPr>
          <w:bCs/>
          <w:lang w:val="uk-UA"/>
        </w:rPr>
        <w:t xml:space="preserve"> 1990 </w:t>
      </w:r>
      <w:r w:rsidR="000B5A0D" w:rsidRPr="00F0117E">
        <w:rPr>
          <w:bCs/>
          <w:lang w:val="uk-UA"/>
        </w:rPr>
        <w:t>року в Резолюції</w:t>
      </w:r>
      <w:r w:rsidR="00E81B07" w:rsidRPr="00F0117E">
        <w:rPr>
          <w:bCs/>
          <w:lang w:val="uk-UA"/>
        </w:rPr>
        <w:t xml:space="preserve"> 45/95 </w:t>
      </w:r>
      <w:r w:rsidR="00E81B07" w:rsidRPr="00F0117E">
        <w:rPr>
          <w:lang w:val="uk-UA"/>
        </w:rPr>
        <w:t xml:space="preserve">(A/RES/45/95), </w:t>
      </w:r>
      <w:r w:rsidR="000B5A0D" w:rsidRPr="00F0117E">
        <w:rPr>
          <w:lang w:val="uk-UA"/>
        </w:rPr>
        <w:t>наводять мінімальні гарантії, які повинно передбачати національне законодавство</w:t>
      </w:r>
      <w:r w:rsidR="00E81B07" w:rsidRPr="00F0117E">
        <w:rPr>
          <w:lang w:val="uk-UA"/>
        </w:rPr>
        <w:t xml:space="preserve">. </w:t>
      </w:r>
      <w:r w:rsidR="000B5A0D" w:rsidRPr="00F0117E">
        <w:rPr>
          <w:lang w:val="uk-UA"/>
        </w:rPr>
        <w:t>Відповідні принципи передбачають</w:t>
      </w:r>
      <w:r w:rsidR="00E81B07" w:rsidRPr="00F0117E">
        <w:rPr>
          <w:lang w:val="uk-UA"/>
        </w:rPr>
        <w:t>: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</w:t>
      </w:r>
      <w:r w:rsidRPr="00F0117E">
        <w:rPr>
          <w:b/>
          <w:lang w:val="uk-UA"/>
        </w:rPr>
        <w:t>1.</w:t>
      </w:r>
      <w:r w:rsidR="00FA6D4F" w:rsidRPr="00F0117E">
        <w:rPr>
          <w:b/>
          <w:lang w:val="uk-UA"/>
        </w:rPr>
        <w:t xml:space="preserve"> </w:t>
      </w:r>
      <w:r w:rsidR="000B5A0D" w:rsidRPr="00F0117E">
        <w:rPr>
          <w:b/>
          <w:iCs/>
          <w:lang w:val="uk-UA"/>
        </w:rPr>
        <w:t xml:space="preserve">Принцип законності та </w:t>
      </w:r>
      <w:r w:rsidR="00580213" w:rsidRPr="00F0117E">
        <w:rPr>
          <w:b/>
          <w:iCs/>
          <w:lang w:val="uk-UA"/>
        </w:rPr>
        <w:t>чесності</w:t>
      </w:r>
    </w:p>
    <w:p w:rsidR="00E81B07" w:rsidRPr="00F0117E" w:rsidRDefault="00B0099F" w:rsidP="008B2B31">
      <w:pPr>
        <w:pStyle w:val="ECHRParaQuote"/>
        <w:rPr>
          <w:lang w:val="uk-UA"/>
        </w:rPr>
      </w:pPr>
      <w:r w:rsidRPr="00F0117E">
        <w:rPr>
          <w:lang w:val="uk-UA"/>
        </w:rPr>
        <w:t>Інформація про осіб не повинна збиратися або оброблятися</w:t>
      </w:r>
      <w:r w:rsidR="00E81B07" w:rsidRPr="00F0117E">
        <w:rPr>
          <w:lang w:val="uk-UA"/>
        </w:rPr>
        <w:t xml:space="preserve"> </w:t>
      </w:r>
      <w:r w:rsidR="00580213" w:rsidRPr="00F0117E">
        <w:rPr>
          <w:lang w:val="uk-UA"/>
        </w:rPr>
        <w:t>нечесними</w:t>
      </w:r>
      <w:r w:rsidRPr="00F0117E">
        <w:rPr>
          <w:lang w:val="uk-UA"/>
        </w:rPr>
        <w:t xml:space="preserve"> або незаконними шляхами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вона не повинна використовуватися для цілей, які суперечать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цілям та принципам Хартії Європейських Націй</w:t>
      </w:r>
      <w:r w:rsidR="00E81B07"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b/>
          <w:iCs/>
          <w:lang w:val="uk-UA"/>
        </w:rPr>
      </w:pPr>
      <w:r w:rsidRPr="00F0117E">
        <w:rPr>
          <w:b/>
          <w:iCs/>
          <w:lang w:val="uk-UA"/>
        </w:rPr>
        <w:t>2.</w:t>
      </w:r>
      <w:r w:rsidR="00FA6D4F" w:rsidRPr="00F0117E">
        <w:rPr>
          <w:b/>
          <w:iCs/>
          <w:lang w:val="uk-UA"/>
        </w:rPr>
        <w:t xml:space="preserve"> </w:t>
      </w:r>
      <w:r w:rsidR="00B0099F" w:rsidRPr="00F0117E">
        <w:rPr>
          <w:b/>
          <w:iCs/>
          <w:lang w:val="uk-UA"/>
        </w:rPr>
        <w:t>Принцип точності</w:t>
      </w:r>
    </w:p>
    <w:p w:rsidR="00E81B07" w:rsidRPr="00F0117E" w:rsidRDefault="00B0099F" w:rsidP="008B2B31">
      <w:pPr>
        <w:pStyle w:val="ECHRParaQuote"/>
        <w:rPr>
          <w:lang w:val="uk-UA"/>
        </w:rPr>
      </w:pPr>
      <w:r w:rsidRPr="00F0117E">
        <w:rPr>
          <w:lang w:val="uk-UA"/>
        </w:rPr>
        <w:t>Особи, які відповідають за складання файлів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або їх зберігання,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мають обов’язок проводити регулярні перевірки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точності та актуальності записаних даних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і забезпечувати, щоб вони були найповнішими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для уникнення помилок або опущень,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і щоб вони регулярно оновлювалися,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 xml:space="preserve">або коли інформація, яка міститься у файлі, використовується протягом </w:t>
      </w:r>
      <w:r w:rsidR="008A4497" w:rsidRPr="00F0117E">
        <w:rPr>
          <w:lang w:val="uk-UA"/>
        </w:rPr>
        <w:t>опрацювання</w:t>
      </w:r>
      <w:r w:rsidRPr="00F0117E">
        <w:rPr>
          <w:lang w:val="uk-UA"/>
        </w:rPr>
        <w:t xml:space="preserve"> інформації</w:t>
      </w:r>
      <w:r w:rsidR="00E81B07"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b/>
          <w:iCs/>
          <w:lang w:val="uk-UA"/>
        </w:rPr>
      </w:pPr>
      <w:r w:rsidRPr="00F0117E">
        <w:rPr>
          <w:b/>
          <w:iCs/>
          <w:lang w:val="uk-UA"/>
        </w:rPr>
        <w:t>3.</w:t>
      </w:r>
      <w:r w:rsidR="00FA6D4F" w:rsidRPr="00F0117E">
        <w:rPr>
          <w:b/>
          <w:iCs/>
          <w:lang w:val="uk-UA"/>
        </w:rPr>
        <w:t xml:space="preserve"> </w:t>
      </w:r>
      <w:r w:rsidR="00B0099F" w:rsidRPr="00F0117E">
        <w:rPr>
          <w:b/>
          <w:iCs/>
          <w:lang w:val="uk-UA"/>
        </w:rPr>
        <w:t>Принцип уточнення мети</w:t>
      </w:r>
    </w:p>
    <w:p w:rsidR="00E81B07" w:rsidRPr="00F0117E" w:rsidRDefault="00B0099F" w:rsidP="008B2B31">
      <w:pPr>
        <w:pStyle w:val="ECHRParaQuote"/>
        <w:rPr>
          <w:lang w:val="uk-UA"/>
        </w:rPr>
      </w:pPr>
      <w:r w:rsidRPr="00F0117E">
        <w:rPr>
          <w:lang w:val="uk-UA"/>
        </w:rPr>
        <w:t>Мета, як</w:t>
      </w:r>
      <w:r w:rsidR="0011361D" w:rsidRPr="00F0117E">
        <w:rPr>
          <w:lang w:val="uk-UA"/>
        </w:rPr>
        <w:t>ій</w:t>
      </w:r>
      <w:r w:rsidRPr="00F0117E">
        <w:rPr>
          <w:lang w:val="uk-UA"/>
        </w:rPr>
        <w:t xml:space="preserve"> повинен служити файл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та його використання для цієї мети</w:t>
      </w:r>
      <w:r w:rsidR="0011361D" w:rsidRPr="00F0117E">
        <w:rPr>
          <w:lang w:val="uk-UA"/>
        </w:rPr>
        <w:t>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повинна бути точною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законною, та, після встановлення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отримати певний ступінь публічності,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або повинна бути доведеною до уваги відповідної особи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щоб зробити можливим подальше забезпечення наступного</w:t>
      </w:r>
      <w:r w:rsidR="00E81B07" w:rsidRPr="00F0117E">
        <w:rPr>
          <w:lang w:val="uk-UA"/>
        </w:rPr>
        <w:t>: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(a)</w:t>
      </w:r>
      <w:r w:rsidR="00FA6D4F" w:rsidRPr="00F0117E">
        <w:rPr>
          <w:lang w:val="uk-UA"/>
        </w:rPr>
        <w:t xml:space="preserve"> </w:t>
      </w:r>
      <w:r w:rsidR="00B0099F" w:rsidRPr="00F0117E">
        <w:rPr>
          <w:lang w:val="uk-UA"/>
        </w:rPr>
        <w:t xml:space="preserve">Усі </w:t>
      </w:r>
      <w:r w:rsidR="00EE44DB" w:rsidRPr="00F0117E">
        <w:rPr>
          <w:lang w:val="uk-UA"/>
        </w:rPr>
        <w:t>персональн</w:t>
      </w:r>
      <w:r w:rsidR="00B0099F" w:rsidRPr="00F0117E">
        <w:rPr>
          <w:lang w:val="uk-UA"/>
        </w:rPr>
        <w:t>і дані, які збираються та записуються,</w:t>
      </w:r>
      <w:r w:rsidRPr="00F0117E">
        <w:rPr>
          <w:lang w:val="uk-UA"/>
        </w:rPr>
        <w:t xml:space="preserve"> </w:t>
      </w:r>
      <w:r w:rsidR="00B0099F" w:rsidRPr="00F0117E">
        <w:rPr>
          <w:lang w:val="uk-UA"/>
        </w:rPr>
        <w:t>повинні залишатися актуальними та відповідати заявленій меті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(b)</w:t>
      </w:r>
      <w:r w:rsidR="00FA6D4F" w:rsidRPr="00F0117E">
        <w:rPr>
          <w:lang w:val="uk-UA"/>
        </w:rPr>
        <w:t xml:space="preserve"> </w:t>
      </w:r>
      <w:r w:rsidR="00B0099F" w:rsidRPr="00F0117E">
        <w:rPr>
          <w:lang w:val="uk-UA"/>
        </w:rPr>
        <w:t>Ніякі з відповідних персональних даних не повинні використовуватися або розкриватися</w:t>
      </w:r>
      <w:r w:rsidRPr="00F0117E">
        <w:rPr>
          <w:lang w:val="uk-UA"/>
        </w:rPr>
        <w:t xml:space="preserve">, </w:t>
      </w:r>
      <w:r w:rsidR="00B0099F" w:rsidRPr="00F0117E">
        <w:rPr>
          <w:lang w:val="uk-UA"/>
        </w:rPr>
        <w:t>без згоди відповідної особи</w:t>
      </w:r>
      <w:r w:rsidRPr="00F0117E">
        <w:rPr>
          <w:lang w:val="uk-UA"/>
        </w:rPr>
        <w:t xml:space="preserve">, </w:t>
      </w:r>
      <w:r w:rsidR="00B0099F" w:rsidRPr="00F0117E">
        <w:rPr>
          <w:lang w:val="uk-UA"/>
        </w:rPr>
        <w:t>для цілей, несумісних з заявленою метою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(c)</w:t>
      </w:r>
      <w:r w:rsidR="00FA6D4F" w:rsidRPr="00F0117E">
        <w:rPr>
          <w:lang w:val="uk-UA"/>
        </w:rPr>
        <w:t xml:space="preserve"> </w:t>
      </w:r>
      <w:r w:rsidR="00B0099F" w:rsidRPr="00F0117E">
        <w:rPr>
          <w:lang w:val="uk-UA"/>
        </w:rPr>
        <w:t>Період зберігання даних</w:t>
      </w:r>
      <w:r w:rsidRPr="00F0117E">
        <w:rPr>
          <w:lang w:val="uk-UA"/>
        </w:rPr>
        <w:t xml:space="preserve"> </w:t>
      </w:r>
      <w:r w:rsidR="00B0099F" w:rsidRPr="00F0117E">
        <w:rPr>
          <w:lang w:val="uk-UA"/>
        </w:rPr>
        <w:t>не повинен перевищувати період,</w:t>
      </w:r>
      <w:r w:rsidRPr="00F0117E">
        <w:rPr>
          <w:lang w:val="uk-UA"/>
        </w:rPr>
        <w:t xml:space="preserve"> </w:t>
      </w:r>
      <w:r w:rsidR="00B0099F" w:rsidRPr="00F0117E">
        <w:rPr>
          <w:lang w:val="uk-UA"/>
        </w:rPr>
        <w:t>який дозволить досягти заявленої мети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b/>
          <w:iCs/>
          <w:lang w:val="uk-UA"/>
        </w:rPr>
      </w:pPr>
      <w:r w:rsidRPr="00F0117E">
        <w:rPr>
          <w:b/>
          <w:iCs/>
          <w:lang w:val="uk-UA"/>
        </w:rPr>
        <w:t>4.</w:t>
      </w:r>
      <w:r w:rsidR="00FA6D4F" w:rsidRPr="00F0117E">
        <w:rPr>
          <w:b/>
          <w:iCs/>
          <w:lang w:val="uk-UA"/>
        </w:rPr>
        <w:t xml:space="preserve"> </w:t>
      </w:r>
      <w:r w:rsidR="00376A67" w:rsidRPr="00F0117E">
        <w:rPr>
          <w:b/>
          <w:iCs/>
          <w:lang w:val="uk-UA"/>
        </w:rPr>
        <w:t>Принципи доступу зацікавленої особи</w:t>
      </w:r>
    </w:p>
    <w:p w:rsidR="00E81B07" w:rsidRPr="00F0117E" w:rsidRDefault="00376A67" w:rsidP="008B2B31">
      <w:pPr>
        <w:pStyle w:val="ECHRParaQuote"/>
        <w:rPr>
          <w:lang w:val="uk-UA"/>
        </w:rPr>
      </w:pPr>
      <w:r w:rsidRPr="00F0117E">
        <w:rPr>
          <w:lang w:val="uk-UA"/>
        </w:rPr>
        <w:t xml:space="preserve">Кожна особа, яка має докази </w:t>
      </w:r>
      <w:r w:rsidR="0011361D" w:rsidRPr="00F0117E">
        <w:rPr>
          <w:lang w:val="uk-UA"/>
        </w:rPr>
        <w:t xml:space="preserve">щодо </w:t>
      </w:r>
      <w:r w:rsidRPr="00F0117E">
        <w:rPr>
          <w:lang w:val="uk-UA"/>
        </w:rPr>
        <w:t xml:space="preserve">своєї </w:t>
      </w:r>
      <w:r w:rsidR="0011361D" w:rsidRPr="00F0117E">
        <w:rPr>
          <w:lang w:val="uk-UA"/>
        </w:rPr>
        <w:t>ідентифікації</w:t>
      </w:r>
      <w:r w:rsidRPr="00F0117E">
        <w:rPr>
          <w:lang w:val="uk-UA"/>
        </w:rPr>
        <w:t>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має право знати, чи обробляється інформація щодо неї,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та отримувати її у зрозумілій формі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без неналежних затримок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або витрат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і вимагати здійснити відповідні виправлення або видалення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у випадку незаконних, непотрібних або неточних записів,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і коли дані передаються, особа має право бути проінформованою про адресатів</w:t>
      </w:r>
      <w:r w:rsidR="00E81B07" w:rsidRPr="00F0117E">
        <w:rPr>
          <w:lang w:val="uk-UA"/>
        </w:rPr>
        <w:t xml:space="preserve">. </w:t>
      </w:r>
      <w:r w:rsidR="00245A15" w:rsidRPr="00F0117E">
        <w:rPr>
          <w:lang w:val="uk-UA"/>
        </w:rPr>
        <w:t>Повинно бути зроблено положення про захист правового захисту</w:t>
      </w:r>
      <w:r w:rsidR="00E81B07" w:rsidRPr="00F0117E">
        <w:rPr>
          <w:lang w:val="uk-UA"/>
        </w:rPr>
        <w:t xml:space="preserve">, </w:t>
      </w:r>
      <w:r w:rsidR="00245A15" w:rsidRPr="00F0117E">
        <w:rPr>
          <w:lang w:val="uk-UA"/>
        </w:rPr>
        <w:t>якщо це необхідно, у контролюючому органі,</w:t>
      </w:r>
      <w:r w:rsidR="00E81B07" w:rsidRPr="00F0117E">
        <w:rPr>
          <w:lang w:val="uk-UA"/>
        </w:rPr>
        <w:t xml:space="preserve"> </w:t>
      </w:r>
      <w:r w:rsidR="00245A15" w:rsidRPr="00F0117E">
        <w:rPr>
          <w:lang w:val="uk-UA"/>
        </w:rPr>
        <w:t>указаному у принципі 8 нижче</w:t>
      </w:r>
      <w:r w:rsidR="00E81B07" w:rsidRPr="00F0117E">
        <w:rPr>
          <w:lang w:val="uk-UA"/>
        </w:rPr>
        <w:t xml:space="preserve">. </w:t>
      </w:r>
      <w:r w:rsidR="00245A15" w:rsidRPr="00F0117E">
        <w:rPr>
          <w:lang w:val="uk-UA"/>
        </w:rPr>
        <w:t>Вартість будь-якого виправлення несе особа, відповідальна за матеріали справи</w:t>
      </w:r>
      <w:r w:rsidR="00E81B07" w:rsidRPr="00F0117E">
        <w:rPr>
          <w:lang w:val="uk-UA"/>
        </w:rPr>
        <w:t xml:space="preserve">. </w:t>
      </w:r>
      <w:r w:rsidR="00245A15" w:rsidRPr="00F0117E">
        <w:rPr>
          <w:lang w:val="uk-UA"/>
        </w:rPr>
        <w:t>Бажано, щоб положення цього принципу</w:t>
      </w:r>
      <w:r w:rsidR="00E81B07" w:rsidRPr="00F0117E">
        <w:rPr>
          <w:lang w:val="uk-UA"/>
        </w:rPr>
        <w:t xml:space="preserve"> </w:t>
      </w:r>
      <w:r w:rsidR="00245A15" w:rsidRPr="00F0117E">
        <w:rPr>
          <w:lang w:val="uk-UA"/>
        </w:rPr>
        <w:t>застосовувалися до кожної особи</w:t>
      </w:r>
      <w:r w:rsidR="00E81B07" w:rsidRPr="00F0117E">
        <w:rPr>
          <w:lang w:val="uk-UA"/>
        </w:rPr>
        <w:t xml:space="preserve">, </w:t>
      </w:r>
      <w:r w:rsidR="00245A15" w:rsidRPr="00F0117E">
        <w:rPr>
          <w:lang w:val="uk-UA"/>
        </w:rPr>
        <w:t>незалежно від національності або місця проживання</w:t>
      </w:r>
      <w:r w:rsidR="00E81B07"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lastRenderedPageBreak/>
        <w:t>...</w:t>
      </w:r>
    </w:p>
    <w:p w:rsidR="00E81B07" w:rsidRPr="00F0117E" w:rsidRDefault="00E81B07" w:rsidP="008B2B31">
      <w:pPr>
        <w:pStyle w:val="ECHRParaQuote"/>
        <w:rPr>
          <w:b/>
          <w:iCs/>
          <w:lang w:val="uk-UA"/>
        </w:rPr>
      </w:pPr>
      <w:r w:rsidRPr="00F0117E">
        <w:rPr>
          <w:b/>
          <w:iCs/>
          <w:lang w:val="uk-UA"/>
        </w:rPr>
        <w:t>6.</w:t>
      </w:r>
      <w:r w:rsidR="00FA6D4F" w:rsidRPr="00F0117E">
        <w:rPr>
          <w:b/>
          <w:iCs/>
          <w:lang w:val="uk-UA"/>
        </w:rPr>
        <w:t xml:space="preserve"> </w:t>
      </w:r>
      <w:r w:rsidR="00E321D7" w:rsidRPr="00F0117E">
        <w:rPr>
          <w:b/>
          <w:iCs/>
          <w:lang w:val="uk-UA"/>
        </w:rPr>
        <w:t>Повноваження щодо виключень</w:t>
      </w:r>
    </w:p>
    <w:p w:rsidR="00E81B07" w:rsidRPr="00F0117E" w:rsidRDefault="00E321D7" w:rsidP="008B2B31">
      <w:pPr>
        <w:pStyle w:val="ECHRParaQuote"/>
        <w:rPr>
          <w:lang w:val="uk-UA"/>
        </w:rPr>
      </w:pPr>
      <w:r w:rsidRPr="00F0117E">
        <w:rPr>
          <w:lang w:val="uk-UA"/>
        </w:rPr>
        <w:t>Відхилення від принципів 1-4 можуть бути ухвалені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тільки якщо вони є необхідними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для захисту національної безпеки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громадського порядку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громадського здоров’я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або моралі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а також, зокрема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прав та свобод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інших осіб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особливо переслідуваних осіб</w:t>
      </w:r>
      <w:r w:rsidR="00E81B07" w:rsidRPr="00F0117E">
        <w:rPr>
          <w:lang w:val="uk-UA"/>
        </w:rPr>
        <w:t xml:space="preserve"> (</w:t>
      </w:r>
      <w:r w:rsidRPr="00F0117E">
        <w:rPr>
          <w:lang w:val="uk-UA"/>
        </w:rPr>
        <w:t>гуманітарна стаття</w:t>
      </w:r>
      <w:r w:rsidR="00E81B07" w:rsidRPr="00F0117E">
        <w:rPr>
          <w:lang w:val="uk-UA"/>
        </w:rPr>
        <w:t>)</w:t>
      </w:r>
      <w:r w:rsidRPr="00F0117E">
        <w:rPr>
          <w:lang w:val="uk-UA"/>
        </w:rPr>
        <w:t>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за умови, якщо таке відхилення чітко зазначено у законі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або аналогічному положенні, оприлюдненому відповідно до внутрішньої правової системи, яке чітко означує обмеження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та встановлює відповідні гарантії</w:t>
      </w:r>
      <w:r w:rsidR="00E81B07"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...”</w:t>
      </w:r>
    </w:p>
    <w:bookmarkStart w:id="21" w:name="recueil_OIT"/>
    <w:p w:rsidR="00E36F4C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38</w:t>
      </w:r>
      <w:r w:rsidRPr="00F0117E">
        <w:rPr>
          <w:lang w:val="uk-UA"/>
        </w:rPr>
        <w:fldChar w:fldCharType="end"/>
      </w:r>
      <w:bookmarkEnd w:id="21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D806E3" w:rsidRPr="00F0117E">
        <w:rPr>
          <w:lang w:val="uk-UA"/>
        </w:rPr>
        <w:t>Міжнародна організація праці</w:t>
      </w:r>
      <w:r w:rsidR="00E81B07" w:rsidRPr="00F0117E">
        <w:rPr>
          <w:lang w:val="uk-UA"/>
        </w:rPr>
        <w:t xml:space="preserve"> (</w:t>
      </w:r>
      <w:r w:rsidR="00D806E3" w:rsidRPr="00F0117E">
        <w:rPr>
          <w:lang w:val="uk-UA"/>
        </w:rPr>
        <w:t>МОП</w:t>
      </w:r>
      <w:r w:rsidR="00E81B07" w:rsidRPr="00F0117E">
        <w:rPr>
          <w:lang w:val="uk-UA"/>
        </w:rPr>
        <w:t xml:space="preserve">) </w:t>
      </w:r>
      <w:r w:rsidR="00D806E3" w:rsidRPr="00F0117E">
        <w:rPr>
          <w:lang w:val="uk-UA"/>
        </w:rPr>
        <w:t>видала Кодекс практики щодо захисту персональних даних працівників</w:t>
      </w:r>
      <w:r w:rsidR="00E81B07" w:rsidRPr="00F0117E">
        <w:rPr>
          <w:lang w:val="uk-UA"/>
        </w:rPr>
        <w:t xml:space="preserve"> (</w:t>
      </w:r>
      <w:r w:rsidR="00D806E3" w:rsidRPr="00F0117E">
        <w:rPr>
          <w:lang w:val="uk-UA"/>
        </w:rPr>
        <w:t>надалі – «Кодекс практики МОП»</w:t>
      </w:r>
      <w:r w:rsidR="00E81B07" w:rsidRPr="00F0117E">
        <w:rPr>
          <w:lang w:val="uk-UA"/>
        </w:rPr>
        <w:t xml:space="preserve">) </w:t>
      </w:r>
      <w:r w:rsidR="00D806E3" w:rsidRPr="00F0117E">
        <w:rPr>
          <w:lang w:val="uk-UA"/>
        </w:rPr>
        <w:t>у</w:t>
      </w:r>
      <w:r w:rsidR="00E81B07" w:rsidRPr="00F0117E">
        <w:rPr>
          <w:lang w:val="uk-UA"/>
        </w:rPr>
        <w:t xml:space="preserve"> 1997</w:t>
      </w:r>
      <w:r w:rsidR="00D806E3" w:rsidRPr="00F0117E">
        <w:rPr>
          <w:lang w:val="uk-UA"/>
        </w:rPr>
        <w:t xml:space="preserve"> році</w:t>
      </w:r>
      <w:r w:rsidR="00E81B07" w:rsidRPr="00F0117E">
        <w:rPr>
          <w:lang w:val="uk-UA"/>
        </w:rPr>
        <w:t xml:space="preserve">, </w:t>
      </w:r>
      <w:r w:rsidR="00D806E3" w:rsidRPr="00F0117E">
        <w:rPr>
          <w:lang w:val="uk-UA"/>
        </w:rPr>
        <w:t>в якому наводилися наступні принципи</w:t>
      </w:r>
      <w:r w:rsidR="00E81B07" w:rsidRPr="00F0117E">
        <w:rPr>
          <w:lang w:val="uk-UA"/>
        </w:rPr>
        <w:t>: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</w:t>
      </w:r>
      <w:r w:rsidRPr="00F0117E">
        <w:rPr>
          <w:b/>
          <w:lang w:val="uk-UA"/>
        </w:rPr>
        <w:t>5.</w:t>
      </w:r>
      <w:r w:rsidR="00FA6D4F" w:rsidRPr="00F0117E">
        <w:rPr>
          <w:b/>
          <w:lang w:val="uk-UA"/>
        </w:rPr>
        <w:t xml:space="preserve"> </w:t>
      </w:r>
      <w:r w:rsidR="00D806E3" w:rsidRPr="00F0117E">
        <w:rPr>
          <w:b/>
          <w:lang w:val="uk-UA"/>
        </w:rPr>
        <w:t>Загальні принципи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5.1.</w:t>
      </w:r>
      <w:r w:rsidR="00FA6D4F" w:rsidRPr="00F0117E">
        <w:rPr>
          <w:lang w:val="uk-UA"/>
        </w:rPr>
        <w:t xml:space="preserve"> </w:t>
      </w:r>
      <w:r w:rsidR="00EE44DB" w:rsidRPr="00F0117E">
        <w:rPr>
          <w:lang w:val="uk-UA"/>
        </w:rPr>
        <w:t>Персональн</w:t>
      </w:r>
      <w:r w:rsidR="00382B9F" w:rsidRPr="00F0117E">
        <w:rPr>
          <w:lang w:val="uk-UA"/>
        </w:rPr>
        <w:t>і</w:t>
      </w:r>
      <w:r w:rsidR="00D806E3" w:rsidRPr="00F0117E">
        <w:rPr>
          <w:lang w:val="uk-UA"/>
        </w:rPr>
        <w:t xml:space="preserve"> дані повинні </w:t>
      </w:r>
      <w:r w:rsidR="008A4497" w:rsidRPr="00F0117E">
        <w:rPr>
          <w:lang w:val="uk-UA"/>
        </w:rPr>
        <w:t>опрацьовуватися</w:t>
      </w:r>
      <w:r w:rsidR="00D806E3" w:rsidRPr="00F0117E">
        <w:rPr>
          <w:lang w:val="uk-UA"/>
        </w:rPr>
        <w:t xml:space="preserve"> законно</w:t>
      </w:r>
      <w:r w:rsidRPr="00F0117E">
        <w:rPr>
          <w:lang w:val="uk-UA"/>
        </w:rPr>
        <w:t xml:space="preserve"> </w:t>
      </w:r>
      <w:r w:rsidR="00D806E3" w:rsidRPr="00F0117E">
        <w:rPr>
          <w:lang w:val="uk-UA"/>
        </w:rPr>
        <w:t xml:space="preserve">та </w:t>
      </w:r>
      <w:r w:rsidR="00580213" w:rsidRPr="00F0117E">
        <w:rPr>
          <w:lang w:val="uk-UA"/>
        </w:rPr>
        <w:t>чесно</w:t>
      </w:r>
      <w:r w:rsidRPr="00F0117E">
        <w:rPr>
          <w:lang w:val="uk-UA"/>
        </w:rPr>
        <w:t xml:space="preserve">, </w:t>
      </w:r>
      <w:r w:rsidR="00D806E3" w:rsidRPr="00F0117E">
        <w:rPr>
          <w:lang w:val="uk-UA"/>
        </w:rPr>
        <w:t>і тільки для цілей, які мають пряме відношення</w:t>
      </w:r>
      <w:r w:rsidRPr="00F0117E">
        <w:rPr>
          <w:lang w:val="uk-UA"/>
        </w:rPr>
        <w:t xml:space="preserve"> </w:t>
      </w:r>
      <w:r w:rsidR="00D806E3" w:rsidRPr="00F0117E">
        <w:rPr>
          <w:lang w:val="uk-UA"/>
        </w:rPr>
        <w:t>для роботи працівника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5.2.</w:t>
      </w:r>
      <w:r w:rsidR="00FA6D4F" w:rsidRPr="00F0117E">
        <w:rPr>
          <w:lang w:val="uk-UA"/>
        </w:rPr>
        <w:t xml:space="preserve"> </w:t>
      </w:r>
      <w:r w:rsidR="00EE44DB" w:rsidRPr="00F0117E">
        <w:rPr>
          <w:lang w:val="uk-UA"/>
        </w:rPr>
        <w:t>Персональн</w:t>
      </w:r>
      <w:r w:rsidR="00D806E3" w:rsidRPr="00F0117E">
        <w:rPr>
          <w:lang w:val="uk-UA"/>
        </w:rPr>
        <w:t>і дані, у принципі, повинні використовуватися</w:t>
      </w:r>
      <w:r w:rsidRPr="00F0117E">
        <w:rPr>
          <w:lang w:val="uk-UA"/>
        </w:rPr>
        <w:t xml:space="preserve"> </w:t>
      </w:r>
      <w:r w:rsidR="00D806E3" w:rsidRPr="00F0117E">
        <w:rPr>
          <w:lang w:val="uk-UA"/>
        </w:rPr>
        <w:t>лише для цілей, для яких вони збиралися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5.3.</w:t>
      </w:r>
      <w:r w:rsidR="00FA6D4F" w:rsidRPr="00F0117E">
        <w:rPr>
          <w:lang w:val="uk-UA"/>
        </w:rPr>
        <w:t xml:space="preserve"> </w:t>
      </w:r>
      <w:r w:rsidR="00382B9F" w:rsidRPr="00F0117E">
        <w:rPr>
          <w:lang w:val="uk-UA"/>
        </w:rPr>
        <w:t xml:space="preserve">Якщо </w:t>
      </w:r>
      <w:r w:rsidR="00EE44DB" w:rsidRPr="00F0117E">
        <w:rPr>
          <w:lang w:val="uk-UA"/>
        </w:rPr>
        <w:t>персональн</w:t>
      </w:r>
      <w:r w:rsidR="00382B9F" w:rsidRPr="00F0117E">
        <w:rPr>
          <w:lang w:val="uk-UA"/>
        </w:rPr>
        <w:t xml:space="preserve">і дані повинні </w:t>
      </w:r>
      <w:r w:rsidR="008A4497" w:rsidRPr="00F0117E">
        <w:rPr>
          <w:lang w:val="uk-UA"/>
        </w:rPr>
        <w:t>опрацьовуватися</w:t>
      </w:r>
      <w:r w:rsidR="00382B9F" w:rsidRPr="00F0117E">
        <w:rPr>
          <w:lang w:val="uk-UA"/>
        </w:rPr>
        <w:t xml:space="preserve"> для цілей, які відрізняються</w:t>
      </w:r>
      <w:r w:rsidRPr="00F0117E">
        <w:rPr>
          <w:lang w:val="uk-UA"/>
        </w:rPr>
        <w:t xml:space="preserve"> </w:t>
      </w:r>
      <w:r w:rsidR="00382B9F" w:rsidRPr="00F0117E">
        <w:rPr>
          <w:lang w:val="uk-UA"/>
        </w:rPr>
        <w:t>від цілей, за яких дані збиралися</w:t>
      </w:r>
      <w:r w:rsidRPr="00F0117E">
        <w:rPr>
          <w:lang w:val="uk-UA"/>
        </w:rPr>
        <w:t xml:space="preserve">, </w:t>
      </w:r>
      <w:r w:rsidR="00382B9F" w:rsidRPr="00F0117E">
        <w:rPr>
          <w:lang w:val="uk-UA"/>
        </w:rPr>
        <w:t>роботодавець повинен забезпечити, щоб вони не використовувалися</w:t>
      </w:r>
      <w:r w:rsidRPr="00F0117E">
        <w:rPr>
          <w:lang w:val="uk-UA"/>
        </w:rPr>
        <w:t xml:space="preserve"> </w:t>
      </w:r>
      <w:r w:rsidR="00382B9F" w:rsidRPr="00F0117E">
        <w:rPr>
          <w:lang w:val="uk-UA"/>
        </w:rPr>
        <w:t>способом, несумісним із початковою метою</w:t>
      </w:r>
      <w:r w:rsidRPr="00F0117E">
        <w:rPr>
          <w:lang w:val="uk-UA"/>
        </w:rPr>
        <w:t xml:space="preserve">, </w:t>
      </w:r>
      <w:r w:rsidR="00382B9F" w:rsidRPr="00F0117E">
        <w:rPr>
          <w:lang w:val="uk-UA"/>
        </w:rPr>
        <w:t>і повинен вжити необхідних заходів</w:t>
      </w:r>
      <w:r w:rsidRPr="00F0117E">
        <w:rPr>
          <w:lang w:val="uk-UA"/>
        </w:rPr>
        <w:t xml:space="preserve"> </w:t>
      </w:r>
      <w:r w:rsidR="00382B9F" w:rsidRPr="00F0117E">
        <w:rPr>
          <w:lang w:val="uk-UA"/>
        </w:rPr>
        <w:t>для уникнення будь-яких непорозумінь, спричинених зміною мети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5.4.</w:t>
      </w:r>
      <w:r w:rsidR="00FA6D4F" w:rsidRPr="00F0117E">
        <w:rPr>
          <w:lang w:val="uk-UA"/>
        </w:rPr>
        <w:t xml:space="preserve"> </w:t>
      </w:r>
      <w:r w:rsidR="00EE44DB" w:rsidRPr="00F0117E">
        <w:rPr>
          <w:lang w:val="uk-UA"/>
        </w:rPr>
        <w:t>Персональн</w:t>
      </w:r>
      <w:r w:rsidR="00382B9F" w:rsidRPr="00F0117E">
        <w:rPr>
          <w:lang w:val="uk-UA"/>
        </w:rPr>
        <w:t>і дані, зібрані у зв’язку</w:t>
      </w:r>
      <w:r w:rsidRPr="00F0117E">
        <w:rPr>
          <w:lang w:val="uk-UA"/>
        </w:rPr>
        <w:t xml:space="preserve"> </w:t>
      </w:r>
      <w:r w:rsidR="00382B9F" w:rsidRPr="00F0117E">
        <w:rPr>
          <w:lang w:val="uk-UA"/>
        </w:rPr>
        <w:t>з технічними або організаційними заходами</w:t>
      </w:r>
      <w:r w:rsidRPr="00F0117E">
        <w:rPr>
          <w:lang w:val="uk-UA"/>
        </w:rPr>
        <w:t xml:space="preserve"> </w:t>
      </w:r>
      <w:r w:rsidR="00382B9F" w:rsidRPr="00F0117E">
        <w:rPr>
          <w:lang w:val="uk-UA"/>
        </w:rPr>
        <w:t>для забезпечення безпеки та належного функціонування</w:t>
      </w:r>
      <w:r w:rsidRPr="00F0117E">
        <w:rPr>
          <w:lang w:val="uk-UA"/>
        </w:rPr>
        <w:t xml:space="preserve"> </w:t>
      </w:r>
      <w:r w:rsidR="00382B9F" w:rsidRPr="00F0117E">
        <w:rPr>
          <w:lang w:val="uk-UA"/>
        </w:rPr>
        <w:t>автоматизованих інформаційних систем,</w:t>
      </w:r>
      <w:r w:rsidRPr="00F0117E">
        <w:rPr>
          <w:lang w:val="uk-UA"/>
        </w:rPr>
        <w:t xml:space="preserve"> </w:t>
      </w:r>
      <w:r w:rsidR="00382B9F" w:rsidRPr="00F0117E">
        <w:rPr>
          <w:lang w:val="uk-UA"/>
        </w:rPr>
        <w:t>не повинні використовуватися для контролю за поводженням працівників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5.5.</w:t>
      </w:r>
      <w:r w:rsidR="00FA6D4F" w:rsidRPr="00F0117E">
        <w:rPr>
          <w:lang w:val="uk-UA"/>
        </w:rPr>
        <w:t xml:space="preserve"> </w:t>
      </w:r>
      <w:r w:rsidR="008A1B59" w:rsidRPr="00F0117E">
        <w:rPr>
          <w:lang w:val="uk-UA"/>
        </w:rPr>
        <w:t>Рішення стосовно працівника не повинні ґрунтуватися</w:t>
      </w:r>
      <w:r w:rsidRPr="00F0117E">
        <w:rPr>
          <w:lang w:val="uk-UA"/>
        </w:rPr>
        <w:t xml:space="preserve"> </w:t>
      </w:r>
      <w:r w:rsidR="008A1B59" w:rsidRPr="00F0117E">
        <w:rPr>
          <w:lang w:val="uk-UA"/>
        </w:rPr>
        <w:t xml:space="preserve">лише на особистій обробці </w:t>
      </w:r>
      <w:r w:rsidR="00EE44DB" w:rsidRPr="00F0117E">
        <w:rPr>
          <w:lang w:val="uk-UA"/>
        </w:rPr>
        <w:t>персональн</w:t>
      </w:r>
      <w:r w:rsidR="008A1B59" w:rsidRPr="00F0117E">
        <w:rPr>
          <w:lang w:val="uk-UA"/>
        </w:rPr>
        <w:t>их даних цього працівника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5.6.</w:t>
      </w:r>
      <w:r w:rsidR="00FA6D4F" w:rsidRPr="00F0117E">
        <w:rPr>
          <w:lang w:val="uk-UA"/>
        </w:rPr>
        <w:t xml:space="preserve"> </w:t>
      </w:r>
      <w:r w:rsidR="00EE44DB" w:rsidRPr="00F0117E">
        <w:rPr>
          <w:lang w:val="uk-UA"/>
        </w:rPr>
        <w:t>Персональн</w:t>
      </w:r>
      <w:r w:rsidR="008A1B59" w:rsidRPr="00F0117E">
        <w:rPr>
          <w:lang w:val="uk-UA"/>
        </w:rPr>
        <w:t>і дані, зібрані за допомогою електронного моніторингу,</w:t>
      </w:r>
      <w:r w:rsidRPr="00F0117E">
        <w:rPr>
          <w:lang w:val="uk-UA"/>
        </w:rPr>
        <w:t xml:space="preserve"> </w:t>
      </w:r>
      <w:r w:rsidR="008A1B59" w:rsidRPr="00F0117E">
        <w:rPr>
          <w:lang w:val="uk-UA"/>
        </w:rPr>
        <w:t>не повинні бути єдиними чинниками</w:t>
      </w:r>
      <w:r w:rsidRPr="00F0117E">
        <w:rPr>
          <w:lang w:val="uk-UA"/>
        </w:rPr>
        <w:t xml:space="preserve"> </w:t>
      </w:r>
      <w:r w:rsidR="008A1B59" w:rsidRPr="00F0117E">
        <w:rPr>
          <w:lang w:val="uk-UA"/>
        </w:rPr>
        <w:t>при оцінці ефективності працівника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5.7.</w:t>
      </w:r>
      <w:r w:rsidR="00FA6D4F" w:rsidRPr="00F0117E">
        <w:rPr>
          <w:lang w:val="uk-UA"/>
        </w:rPr>
        <w:t xml:space="preserve"> </w:t>
      </w:r>
      <w:r w:rsidR="008A1B59" w:rsidRPr="00F0117E">
        <w:rPr>
          <w:lang w:val="uk-UA"/>
        </w:rPr>
        <w:t xml:space="preserve">Роботодавці повинні регулярно оцінювати свою практику </w:t>
      </w:r>
      <w:r w:rsidR="008A4497" w:rsidRPr="00F0117E">
        <w:rPr>
          <w:lang w:val="uk-UA"/>
        </w:rPr>
        <w:t>опрацювання</w:t>
      </w:r>
      <w:r w:rsidR="008A1B59" w:rsidRPr="00F0117E">
        <w:rPr>
          <w:lang w:val="uk-UA"/>
        </w:rPr>
        <w:t xml:space="preserve"> даних</w:t>
      </w:r>
      <w:r w:rsidRPr="00F0117E">
        <w:rPr>
          <w:lang w:val="uk-UA"/>
        </w:rPr>
        <w:t>: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(a)</w:t>
      </w:r>
      <w:r w:rsidR="00FA6D4F" w:rsidRPr="00F0117E">
        <w:rPr>
          <w:lang w:val="uk-UA"/>
        </w:rPr>
        <w:t xml:space="preserve"> </w:t>
      </w:r>
      <w:r w:rsidR="008A1B59" w:rsidRPr="00F0117E">
        <w:rPr>
          <w:lang w:val="uk-UA"/>
        </w:rPr>
        <w:t xml:space="preserve">для якомога сильнішого зменшення типу та обсягу </w:t>
      </w:r>
      <w:r w:rsidR="00EE44DB" w:rsidRPr="00F0117E">
        <w:rPr>
          <w:lang w:val="uk-UA"/>
        </w:rPr>
        <w:t>персональн</w:t>
      </w:r>
      <w:r w:rsidR="008A1B59" w:rsidRPr="00F0117E">
        <w:rPr>
          <w:lang w:val="uk-UA"/>
        </w:rPr>
        <w:t>их даних, які з</w:t>
      </w:r>
      <w:r w:rsidR="006B7382" w:rsidRPr="00F0117E">
        <w:rPr>
          <w:lang w:val="uk-UA"/>
        </w:rPr>
        <w:t>б</w:t>
      </w:r>
      <w:r w:rsidR="008A1B59" w:rsidRPr="00F0117E">
        <w:rPr>
          <w:lang w:val="uk-UA"/>
        </w:rPr>
        <w:t>ираються, та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(b)</w:t>
      </w:r>
      <w:r w:rsidR="00FA6D4F" w:rsidRPr="00F0117E">
        <w:rPr>
          <w:lang w:val="uk-UA"/>
        </w:rPr>
        <w:t xml:space="preserve"> </w:t>
      </w:r>
      <w:r w:rsidR="008A1B59" w:rsidRPr="00F0117E">
        <w:rPr>
          <w:lang w:val="uk-UA"/>
        </w:rPr>
        <w:t>для поліпшення шляхів захисту приватності працівників</w:t>
      </w:r>
      <w:r w:rsidRPr="00F0117E">
        <w:rPr>
          <w:lang w:val="uk-UA"/>
        </w:rPr>
        <w:t>.</w:t>
      </w:r>
    </w:p>
    <w:p w:rsidR="00E36F4C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5.8.</w:t>
      </w:r>
      <w:r w:rsidR="00FA6D4F" w:rsidRPr="00F0117E">
        <w:rPr>
          <w:lang w:val="uk-UA"/>
        </w:rPr>
        <w:t xml:space="preserve"> </w:t>
      </w:r>
      <w:r w:rsidR="008A1B59" w:rsidRPr="00F0117E">
        <w:rPr>
          <w:lang w:val="uk-UA"/>
        </w:rPr>
        <w:t>Працівників та їх представників необхідно інформувати</w:t>
      </w:r>
      <w:r w:rsidRPr="00F0117E">
        <w:rPr>
          <w:lang w:val="uk-UA"/>
        </w:rPr>
        <w:t xml:space="preserve"> </w:t>
      </w:r>
      <w:r w:rsidR="008A1B59" w:rsidRPr="00F0117E">
        <w:rPr>
          <w:lang w:val="uk-UA"/>
        </w:rPr>
        <w:t>про будь-який процес зібрання даних</w:t>
      </w:r>
      <w:r w:rsidRPr="00F0117E">
        <w:rPr>
          <w:lang w:val="uk-UA"/>
        </w:rPr>
        <w:t xml:space="preserve">, </w:t>
      </w:r>
      <w:r w:rsidR="008A1B59" w:rsidRPr="00F0117E">
        <w:rPr>
          <w:lang w:val="uk-UA"/>
        </w:rPr>
        <w:t>правила, які регулюють цей процес, та їх права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...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5.13.</w:t>
      </w:r>
      <w:r w:rsidR="00FA6D4F" w:rsidRPr="00F0117E">
        <w:rPr>
          <w:lang w:val="uk-UA"/>
        </w:rPr>
        <w:t xml:space="preserve"> </w:t>
      </w:r>
      <w:r w:rsidR="008A1B59" w:rsidRPr="00F0117E">
        <w:rPr>
          <w:lang w:val="uk-UA"/>
        </w:rPr>
        <w:t>Працівники не можуть відмовитися від своїх прав на приватність</w:t>
      </w:r>
      <w:r w:rsidRPr="00F0117E">
        <w:rPr>
          <w:lang w:val="uk-UA"/>
        </w:rPr>
        <w:t>.”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39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11361D" w:rsidRPr="00F0117E">
        <w:rPr>
          <w:lang w:val="uk-UA"/>
        </w:rPr>
        <w:t xml:space="preserve">Стосовно </w:t>
      </w:r>
      <w:r w:rsidR="008A1B59" w:rsidRPr="00F0117E">
        <w:rPr>
          <w:lang w:val="uk-UA"/>
        </w:rPr>
        <w:t>більш конкретного питання моніторингу працівників</w:t>
      </w:r>
      <w:r w:rsidR="00E81B07" w:rsidRPr="00F0117E">
        <w:rPr>
          <w:lang w:val="uk-UA"/>
        </w:rPr>
        <w:t xml:space="preserve">, </w:t>
      </w:r>
      <w:r w:rsidR="008A1B59" w:rsidRPr="00F0117E">
        <w:rPr>
          <w:lang w:val="uk-UA"/>
        </w:rPr>
        <w:t xml:space="preserve">Кодекс </w:t>
      </w:r>
      <w:r w:rsidR="00912E8D" w:rsidRPr="00F0117E">
        <w:rPr>
          <w:lang w:val="uk-UA"/>
        </w:rPr>
        <w:t>п</w:t>
      </w:r>
      <w:r w:rsidR="008A1B59" w:rsidRPr="00F0117E">
        <w:rPr>
          <w:lang w:val="uk-UA"/>
        </w:rPr>
        <w:t>рактики МОП</w:t>
      </w:r>
      <w:r w:rsidR="00E81B07" w:rsidRPr="00F0117E">
        <w:rPr>
          <w:lang w:val="uk-UA"/>
        </w:rPr>
        <w:t xml:space="preserve"> </w:t>
      </w:r>
      <w:r w:rsidR="008A1B59" w:rsidRPr="00F0117E">
        <w:rPr>
          <w:lang w:val="uk-UA"/>
        </w:rPr>
        <w:t>містить наступне</w:t>
      </w:r>
      <w:r w:rsidR="00E81B07" w:rsidRPr="00F0117E">
        <w:rPr>
          <w:lang w:val="uk-UA"/>
        </w:rPr>
        <w:t>:</w:t>
      </w:r>
    </w:p>
    <w:p w:rsidR="00E81B07" w:rsidRPr="00F0117E" w:rsidRDefault="00E81B07" w:rsidP="008B2B31">
      <w:pPr>
        <w:pStyle w:val="ECHRParaQuote"/>
        <w:rPr>
          <w:b/>
          <w:lang w:val="uk-UA"/>
        </w:rPr>
      </w:pPr>
      <w:r w:rsidRPr="00F0117E">
        <w:rPr>
          <w:lang w:val="uk-UA"/>
        </w:rPr>
        <w:lastRenderedPageBreak/>
        <w:t>“</w:t>
      </w:r>
      <w:r w:rsidRPr="00F0117E">
        <w:rPr>
          <w:b/>
          <w:lang w:val="uk-UA"/>
        </w:rPr>
        <w:t>6.</w:t>
      </w:r>
      <w:r w:rsidR="00FA6D4F" w:rsidRPr="00F0117E">
        <w:rPr>
          <w:b/>
          <w:lang w:val="uk-UA"/>
        </w:rPr>
        <w:t xml:space="preserve"> </w:t>
      </w:r>
      <w:r w:rsidR="00496170" w:rsidRPr="00F0117E">
        <w:rPr>
          <w:b/>
          <w:lang w:val="uk-UA"/>
        </w:rPr>
        <w:t xml:space="preserve">Зібрання </w:t>
      </w:r>
      <w:r w:rsidR="00912E8D" w:rsidRPr="00F0117E">
        <w:rPr>
          <w:b/>
          <w:lang w:val="uk-UA"/>
        </w:rPr>
        <w:t>персональних</w:t>
      </w:r>
      <w:r w:rsidR="00496170" w:rsidRPr="00F0117E">
        <w:rPr>
          <w:b/>
          <w:lang w:val="uk-UA"/>
        </w:rPr>
        <w:t xml:space="preserve"> даних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6.1.</w:t>
      </w:r>
      <w:r w:rsidR="00FA6D4F" w:rsidRPr="00F0117E">
        <w:rPr>
          <w:lang w:val="uk-UA"/>
        </w:rPr>
        <w:t xml:space="preserve"> </w:t>
      </w:r>
      <w:r w:rsidR="00BA00A3" w:rsidRPr="00F0117E">
        <w:rPr>
          <w:lang w:val="uk-UA"/>
        </w:rPr>
        <w:t xml:space="preserve">Усі </w:t>
      </w:r>
      <w:r w:rsidR="00E64795" w:rsidRPr="00F0117E">
        <w:rPr>
          <w:lang w:val="uk-UA"/>
        </w:rPr>
        <w:t>персональн</w:t>
      </w:r>
      <w:r w:rsidR="00BA00A3" w:rsidRPr="00F0117E">
        <w:rPr>
          <w:lang w:val="uk-UA"/>
        </w:rPr>
        <w:t>і дані, у принципі, повинні</w:t>
      </w:r>
      <w:r w:rsidRPr="00F0117E">
        <w:rPr>
          <w:lang w:val="uk-UA"/>
        </w:rPr>
        <w:t xml:space="preserve"> </w:t>
      </w:r>
      <w:r w:rsidR="00BA00A3" w:rsidRPr="00F0117E">
        <w:rPr>
          <w:lang w:val="uk-UA"/>
        </w:rPr>
        <w:t>бути отримані від окремого працівника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...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6.14.</w:t>
      </w:r>
      <w:r w:rsidR="00FA6D4F" w:rsidRPr="00F0117E">
        <w:rPr>
          <w:lang w:val="uk-UA"/>
        </w:rPr>
        <w:t xml:space="preserve"> </w:t>
      </w:r>
      <w:r w:rsidRPr="00F0117E">
        <w:rPr>
          <w:lang w:val="uk-UA"/>
        </w:rPr>
        <w:t>(1)</w:t>
      </w:r>
      <w:r w:rsidR="00FA6D4F" w:rsidRPr="00F0117E">
        <w:rPr>
          <w:lang w:val="uk-UA"/>
        </w:rPr>
        <w:t xml:space="preserve"> </w:t>
      </w:r>
      <w:r w:rsidR="00E43525" w:rsidRPr="00F0117E">
        <w:rPr>
          <w:lang w:val="uk-UA"/>
        </w:rPr>
        <w:t>Якщо працівники під</w:t>
      </w:r>
      <w:r w:rsidR="00652190" w:rsidRPr="00F0117E">
        <w:rPr>
          <w:lang w:val="uk-UA"/>
        </w:rPr>
        <w:t>л</w:t>
      </w:r>
      <w:r w:rsidR="00E43525" w:rsidRPr="00F0117E">
        <w:rPr>
          <w:lang w:val="uk-UA"/>
        </w:rPr>
        <w:t>ягають моніторингу,</w:t>
      </w:r>
      <w:r w:rsidRPr="00F0117E">
        <w:rPr>
          <w:lang w:val="uk-UA"/>
        </w:rPr>
        <w:t xml:space="preserve"> </w:t>
      </w:r>
      <w:r w:rsidR="00E43525" w:rsidRPr="00F0117E">
        <w:rPr>
          <w:lang w:val="uk-UA"/>
        </w:rPr>
        <w:t>їх необхідно інформувати заздалегідь</w:t>
      </w:r>
      <w:r w:rsidRPr="00F0117E">
        <w:rPr>
          <w:lang w:val="uk-UA"/>
        </w:rPr>
        <w:t xml:space="preserve"> </w:t>
      </w:r>
      <w:r w:rsidR="00E43525" w:rsidRPr="00F0117E">
        <w:rPr>
          <w:lang w:val="uk-UA"/>
        </w:rPr>
        <w:t>про підстави для моніторингу</w:t>
      </w:r>
      <w:r w:rsidRPr="00F0117E">
        <w:rPr>
          <w:lang w:val="uk-UA"/>
        </w:rPr>
        <w:t xml:space="preserve">, </w:t>
      </w:r>
      <w:r w:rsidR="00E43525" w:rsidRPr="00F0117E">
        <w:rPr>
          <w:lang w:val="uk-UA"/>
        </w:rPr>
        <w:t>розпорядок</w:t>
      </w:r>
      <w:r w:rsidRPr="00F0117E">
        <w:rPr>
          <w:lang w:val="uk-UA"/>
        </w:rPr>
        <w:t xml:space="preserve">, </w:t>
      </w:r>
      <w:r w:rsidR="00E43525" w:rsidRPr="00F0117E">
        <w:rPr>
          <w:lang w:val="uk-UA"/>
        </w:rPr>
        <w:t>застосовані методи та техніки,</w:t>
      </w:r>
      <w:r w:rsidRPr="00F0117E">
        <w:rPr>
          <w:lang w:val="uk-UA"/>
        </w:rPr>
        <w:t xml:space="preserve"> </w:t>
      </w:r>
      <w:r w:rsidR="00E43525" w:rsidRPr="00F0117E">
        <w:rPr>
          <w:lang w:val="uk-UA"/>
        </w:rPr>
        <w:t>а також про дані, які збираються</w:t>
      </w:r>
      <w:r w:rsidRPr="00F0117E">
        <w:rPr>
          <w:lang w:val="uk-UA"/>
        </w:rPr>
        <w:t xml:space="preserve">, </w:t>
      </w:r>
      <w:r w:rsidR="00E43525" w:rsidRPr="00F0117E">
        <w:rPr>
          <w:lang w:val="uk-UA"/>
        </w:rPr>
        <w:t>і роботодавець повинен мінімізувати втручання у приватність працівників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(2)</w:t>
      </w:r>
      <w:r w:rsidR="00FA6D4F" w:rsidRPr="00F0117E">
        <w:rPr>
          <w:lang w:val="uk-UA"/>
        </w:rPr>
        <w:t xml:space="preserve"> </w:t>
      </w:r>
      <w:r w:rsidR="00E43525" w:rsidRPr="00F0117E">
        <w:rPr>
          <w:lang w:val="uk-UA"/>
        </w:rPr>
        <w:t>Таємний моніторинг дозволяється лише у наступних випадках</w:t>
      </w:r>
      <w:r w:rsidRPr="00F0117E">
        <w:rPr>
          <w:lang w:val="uk-UA"/>
        </w:rPr>
        <w:t>: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(a)</w:t>
      </w:r>
      <w:r w:rsidR="00FA6D4F" w:rsidRPr="00F0117E">
        <w:rPr>
          <w:lang w:val="uk-UA"/>
        </w:rPr>
        <w:t xml:space="preserve"> </w:t>
      </w:r>
      <w:r w:rsidR="00E43525" w:rsidRPr="00F0117E">
        <w:rPr>
          <w:lang w:val="uk-UA"/>
        </w:rPr>
        <w:t>якщо він відповідає національному законодавству</w:t>
      </w:r>
      <w:r w:rsidRPr="00F0117E">
        <w:rPr>
          <w:lang w:val="uk-UA"/>
        </w:rPr>
        <w:t xml:space="preserve">; </w:t>
      </w:r>
      <w:r w:rsidR="00E43525" w:rsidRPr="00F0117E">
        <w:rPr>
          <w:lang w:val="uk-UA"/>
        </w:rPr>
        <w:t>або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(b)</w:t>
      </w:r>
      <w:r w:rsidR="00FA6D4F" w:rsidRPr="00F0117E">
        <w:rPr>
          <w:lang w:val="uk-UA"/>
        </w:rPr>
        <w:t xml:space="preserve"> </w:t>
      </w:r>
      <w:r w:rsidR="00E43525" w:rsidRPr="00F0117E">
        <w:rPr>
          <w:lang w:val="uk-UA"/>
        </w:rPr>
        <w:t>якщо існує обґрунтована підозра</w:t>
      </w:r>
      <w:r w:rsidRPr="00F0117E">
        <w:rPr>
          <w:lang w:val="uk-UA"/>
        </w:rPr>
        <w:t xml:space="preserve"> </w:t>
      </w:r>
      <w:r w:rsidR="00E43525" w:rsidRPr="00F0117E">
        <w:rPr>
          <w:lang w:val="uk-UA"/>
        </w:rPr>
        <w:t>кримінальної діяльності або іншого тяжкого порушення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(3)</w:t>
      </w:r>
      <w:r w:rsidR="00FA6D4F" w:rsidRPr="00F0117E">
        <w:rPr>
          <w:lang w:val="uk-UA"/>
        </w:rPr>
        <w:t xml:space="preserve"> </w:t>
      </w:r>
      <w:r w:rsidR="00E43525" w:rsidRPr="00F0117E">
        <w:rPr>
          <w:lang w:val="uk-UA"/>
        </w:rPr>
        <w:t>Тривалий моніторинг повинен дозволятися, лише якщо</w:t>
      </w:r>
      <w:r w:rsidRPr="00F0117E">
        <w:rPr>
          <w:lang w:val="uk-UA"/>
        </w:rPr>
        <w:t xml:space="preserve"> </w:t>
      </w:r>
      <w:r w:rsidR="00E43525" w:rsidRPr="00F0117E">
        <w:rPr>
          <w:lang w:val="uk-UA"/>
        </w:rPr>
        <w:t>його роблять необхідним питання здоров’я та безпеки або захисту майна</w:t>
      </w:r>
      <w:r w:rsidRPr="00F0117E">
        <w:rPr>
          <w:lang w:val="uk-UA"/>
        </w:rPr>
        <w:t>.”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40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E43525" w:rsidRPr="00F0117E">
        <w:rPr>
          <w:lang w:val="uk-UA"/>
        </w:rPr>
        <w:t>Кодекс Практики МОП</w:t>
      </w:r>
      <w:r w:rsidR="00E81B07" w:rsidRPr="00F0117E">
        <w:rPr>
          <w:lang w:val="uk-UA"/>
        </w:rPr>
        <w:t xml:space="preserve"> </w:t>
      </w:r>
      <w:r w:rsidR="00E43525" w:rsidRPr="00F0117E">
        <w:rPr>
          <w:lang w:val="uk-UA"/>
        </w:rPr>
        <w:t>також включає перелік індивідуальних прав працівників</w:t>
      </w:r>
      <w:r w:rsidR="00E81B07" w:rsidRPr="00F0117E">
        <w:rPr>
          <w:lang w:val="uk-UA"/>
        </w:rPr>
        <w:t xml:space="preserve">, </w:t>
      </w:r>
      <w:r w:rsidR="00E43525" w:rsidRPr="00F0117E">
        <w:rPr>
          <w:lang w:val="uk-UA"/>
        </w:rPr>
        <w:t xml:space="preserve">зокрема тих, що стосується інформації про </w:t>
      </w:r>
      <w:r w:rsidR="00027D83" w:rsidRPr="00F0117E">
        <w:rPr>
          <w:lang w:val="uk-UA"/>
        </w:rPr>
        <w:t>опрацювання</w:t>
      </w:r>
      <w:r w:rsidR="00E43525" w:rsidRPr="00F0117E">
        <w:rPr>
          <w:lang w:val="uk-UA"/>
        </w:rPr>
        <w:t xml:space="preserve"> </w:t>
      </w:r>
      <w:r w:rsidR="00E61CB3" w:rsidRPr="00F0117E">
        <w:rPr>
          <w:lang w:val="uk-UA"/>
        </w:rPr>
        <w:t>персональних</w:t>
      </w:r>
      <w:r w:rsidR="00E43525" w:rsidRPr="00F0117E">
        <w:rPr>
          <w:lang w:val="uk-UA"/>
        </w:rPr>
        <w:t xml:space="preserve"> даних</w:t>
      </w:r>
      <w:r w:rsidR="00E81B07" w:rsidRPr="00F0117E">
        <w:rPr>
          <w:lang w:val="uk-UA"/>
        </w:rPr>
        <w:t xml:space="preserve">, </w:t>
      </w:r>
      <w:r w:rsidR="00E43525" w:rsidRPr="00F0117E">
        <w:rPr>
          <w:lang w:val="uk-UA"/>
        </w:rPr>
        <w:t>доступу до таких даних</w:t>
      </w:r>
      <w:r w:rsidR="00E81B07" w:rsidRPr="00F0117E">
        <w:rPr>
          <w:lang w:val="uk-UA"/>
        </w:rPr>
        <w:t xml:space="preserve"> </w:t>
      </w:r>
      <w:r w:rsidR="00E43525" w:rsidRPr="00F0117E">
        <w:rPr>
          <w:lang w:val="uk-UA"/>
        </w:rPr>
        <w:t>та перегляду будь-яких вжитих заходів</w:t>
      </w:r>
      <w:r w:rsidR="00E81B07" w:rsidRPr="00F0117E">
        <w:rPr>
          <w:lang w:val="uk-UA"/>
        </w:rPr>
        <w:t xml:space="preserve">. </w:t>
      </w:r>
      <w:r w:rsidR="00E43525" w:rsidRPr="00F0117E">
        <w:rPr>
          <w:lang w:val="uk-UA"/>
        </w:rPr>
        <w:t>Відповідні частини передбачають</w:t>
      </w:r>
      <w:r w:rsidR="00E81B07" w:rsidRPr="00F0117E">
        <w:rPr>
          <w:lang w:val="uk-UA"/>
        </w:rPr>
        <w:t>:</w:t>
      </w:r>
    </w:p>
    <w:p w:rsidR="00E81B07" w:rsidRPr="00F0117E" w:rsidRDefault="00E81B07" w:rsidP="008B2B31">
      <w:pPr>
        <w:pStyle w:val="ECHRParaQuote"/>
        <w:rPr>
          <w:b/>
          <w:lang w:val="uk-UA"/>
        </w:rPr>
      </w:pPr>
      <w:r w:rsidRPr="00F0117E">
        <w:rPr>
          <w:lang w:val="uk-UA"/>
        </w:rPr>
        <w:t>“</w:t>
      </w:r>
      <w:r w:rsidRPr="00F0117E">
        <w:rPr>
          <w:b/>
          <w:lang w:val="uk-UA"/>
        </w:rPr>
        <w:t>11.</w:t>
      </w:r>
      <w:r w:rsidR="00FA6D4F" w:rsidRPr="00F0117E">
        <w:rPr>
          <w:b/>
          <w:lang w:val="uk-UA"/>
        </w:rPr>
        <w:t xml:space="preserve"> </w:t>
      </w:r>
      <w:r w:rsidR="009B3520" w:rsidRPr="00F0117E">
        <w:rPr>
          <w:b/>
          <w:lang w:val="uk-UA"/>
        </w:rPr>
        <w:t>Індивідуальні права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11.1.</w:t>
      </w:r>
      <w:r w:rsidR="00FA6D4F" w:rsidRPr="00F0117E">
        <w:rPr>
          <w:lang w:val="uk-UA"/>
        </w:rPr>
        <w:t xml:space="preserve"> </w:t>
      </w:r>
      <w:r w:rsidR="009B3520" w:rsidRPr="00F0117E">
        <w:rPr>
          <w:lang w:val="uk-UA"/>
        </w:rPr>
        <w:t>Працівники повинні мати право бути регулярно проінформованими</w:t>
      </w:r>
      <w:r w:rsidRPr="00F0117E">
        <w:rPr>
          <w:lang w:val="uk-UA"/>
        </w:rPr>
        <w:t xml:space="preserve"> </w:t>
      </w:r>
      <w:r w:rsidR="009B3520" w:rsidRPr="00F0117E">
        <w:rPr>
          <w:lang w:val="uk-UA"/>
        </w:rPr>
        <w:t xml:space="preserve">про </w:t>
      </w:r>
      <w:r w:rsidR="00E64795" w:rsidRPr="00F0117E">
        <w:rPr>
          <w:lang w:val="uk-UA"/>
        </w:rPr>
        <w:t>персональн</w:t>
      </w:r>
      <w:r w:rsidR="009B3520" w:rsidRPr="00F0117E">
        <w:rPr>
          <w:lang w:val="uk-UA"/>
        </w:rPr>
        <w:t>і дані, які збираються стосовно них,</w:t>
      </w:r>
      <w:r w:rsidRPr="00F0117E">
        <w:rPr>
          <w:lang w:val="uk-UA"/>
        </w:rPr>
        <w:t xml:space="preserve"> </w:t>
      </w:r>
      <w:r w:rsidR="009B3520" w:rsidRPr="00F0117E">
        <w:rPr>
          <w:lang w:val="uk-UA"/>
        </w:rPr>
        <w:t>та про обробку таких даних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11.2.</w:t>
      </w:r>
      <w:r w:rsidR="00FA6D4F" w:rsidRPr="00F0117E">
        <w:rPr>
          <w:lang w:val="uk-UA"/>
        </w:rPr>
        <w:t xml:space="preserve"> </w:t>
      </w:r>
      <w:r w:rsidR="009B3520" w:rsidRPr="00F0117E">
        <w:rPr>
          <w:lang w:val="uk-UA"/>
        </w:rPr>
        <w:t xml:space="preserve">Працівники повинні мати доступ до усіх своїх </w:t>
      </w:r>
      <w:r w:rsidR="00E64795" w:rsidRPr="00F0117E">
        <w:rPr>
          <w:lang w:val="uk-UA"/>
        </w:rPr>
        <w:t>персональн</w:t>
      </w:r>
      <w:r w:rsidR="009B3520" w:rsidRPr="00F0117E">
        <w:rPr>
          <w:lang w:val="uk-UA"/>
        </w:rPr>
        <w:t>их даних</w:t>
      </w:r>
      <w:r w:rsidRPr="00F0117E">
        <w:rPr>
          <w:lang w:val="uk-UA"/>
        </w:rPr>
        <w:t xml:space="preserve">, </w:t>
      </w:r>
      <w:r w:rsidR="009B3520" w:rsidRPr="00F0117E">
        <w:rPr>
          <w:lang w:val="uk-UA"/>
        </w:rPr>
        <w:t>незалежно від того, чи такі дані обробляються автоматизованими системами</w:t>
      </w:r>
      <w:r w:rsidRPr="00F0117E">
        <w:rPr>
          <w:lang w:val="uk-UA"/>
        </w:rPr>
        <w:t xml:space="preserve"> </w:t>
      </w:r>
      <w:r w:rsidR="009B3520" w:rsidRPr="00F0117E">
        <w:rPr>
          <w:lang w:val="uk-UA"/>
        </w:rPr>
        <w:t>або зберігаються у певному файлі, створеному у ручному режимі,</w:t>
      </w:r>
      <w:r w:rsidRPr="00F0117E">
        <w:rPr>
          <w:lang w:val="uk-UA"/>
        </w:rPr>
        <w:t xml:space="preserve"> </w:t>
      </w:r>
      <w:r w:rsidR="009B3520" w:rsidRPr="00F0117E">
        <w:rPr>
          <w:lang w:val="uk-UA"/>
        </w:rPr>
        <w:t>стосовно окремого працівника, або у будь-якому іншому файлі,</w:t>
      </w:r>
      <w:r w:rsidRPr="00F0117E">
        <w:rPr>
          <w:lang w:val="uk-UA"/>
        </w:rPr>
        <w:t xml:space="preserve"> </w:t>
      </w:r>
      <w:r w:rsidR="009B3520" w:rsidRPr="00F0117E">
        <w:rPr>
          <w:lang w:val="uk-UA"/>
        </w:rPr>
        <w:t xml:space="preserve">до якого входять </w:t>
      </w:r>
      <w:r w:rsidR="00E64795" w:rsidRPr="00F0117E">
        <w:rPr>
          <w:lang w:val="uk-UA"/>
        </w:rPr>
        <w:t>персональн</w:t>
      </w:r>
      <w:r w:rsidR="009B3520" w:rsidRPr="00F0117E">
        <w:rPr>
          <w:lang w:val="uk-UA"/>
        </w:rPr>
        <w:t>і дані працівника</w:t>
      </w:r>
      <w:r w:rsidRPr="00F0117E">
        <w:rPr>
          <w:lang w:val="uk-UA"/>
        </w:rPr>
        <w:t>.</w:t>
      </w:r>
    </w:p>
    <w:p w:rsidR="00E36F4C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11.3.</w:t>
      </w:r>
      <w:r w:rsidR="00FA6D4F" w:rsidRPr="00F0117E">
        <w:rPr>
          <w:lang w:val="uk-UA"/>
        </w:rPr>
        <w:t xml:space="preserve"> </w:t>
      </w:r>
      <w:r w:rsidR="0060188B" w:rsidRPr="00F0117E">
        <w:rPr>
          <w:lang w:val="uk-UA"/>
        </w:rPr>
        <w:t>Право працівника знати про обробку своїх персональних даних</w:t>
      </w:r>
      <w:r w:rsidRPr="00F0117E">
        <w:rPr>
          <w:lang w:val="uk-UA"/>
        </w:rPr>
        <w:t xml:space="preserve"> </w:t>
      </w:r>
      <w:r w:rsidR="0060188B" w:rsidRPr="00F0117E">
        <w:rPr>
          <w:lang w:val="uk-UA"/>
        </w:rPr>
        <w:t>повинно включати право вивчати та отримувати копії</w:t>
      </w:r>
      <w:r w:rsidRPr="00F0117E">
        <w:rPr>
          <w:lang w:val="uk-UA"/>
        </w:rPr>
        <w:t xml:space="preserve"> </w:t>
      </w:r>
      <w:r w:rsidR="0060188B" w:rsidRPr="00F0117E">
        <w:rPr>
          <w:lang w:val="uk-UA"/>
        </w:rPr>
        <w:t>будь-яких записів у той мірі, в якій</w:t>
      </w:r>
      <w:r w:rsidRPr="00F0117E">
        <w:rPr>
          <w:lang w:val="uk-UA"/>
        </w:rPr>
        <w:t xml:space="preserve"> </w:t>
      </w:r>
      <w:r w:rsidR="0060188B" w:rsidRPr="00F0117E">
        <w:rPr>
          <w:lang w:val="uk-UA"/>
        </w:rPr>
        <w:t>дані, що містяться у записах, містять персональні дані працівника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...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11.8.</w:t>
      </w:r>
      <w:r w:rsidR="00FA6D4F" w:rsidRPr="00F0117E">
        <w:rPr>
          <w:lang w:val="uk-UA"/>
        </w:rPr>
        <w:t xml:space="preserve"> </w:t>
      </w:r>
      <w:r w:rsidR="0060188B" w:rsidRPr="00F0117E">
        <w:rPr>
          <w:lang w:val="uk-UA"/>
        </w:rPr>
        <w:t>У випадку розслідування в інтересах безпеки роботодавці повинні</w:t>
      </w:r>
      <w:r w:rsidRPr="00F0117E">
        <w:rPr>
          <w:lang w:val="uk-UA"/>
        </w:rPr>
        <w:t xml:space="preserve"> </w:t>
      </w:r>
      <w:r w:rsidR="0060188B" w:rsidRPr="00F0117E">
        <w:rPr>
          <w:lang w:val="uk-UA"/>
        </w:rPr>
        <w:t>мати право заперечити працівнику</w:t>
      </w:r>
      <w:r w:rsidRPr="00F0117E">
        <w:rPr>
          <w:lang w:val="uk-UA"/>
        </w:rPr>
        <w:t xml:space="preserve"> </w:t>
      </w:r>
      <w:r w:rsidR="0060188B" w:rsidRPr="00F0117E">
        <w:rPr>
          <w:lang w:val="uk-UA"/>
        </w:rPr>
        <w:t>доступ до персональних даних цього працівника</w:t>
      </w:r>
      <w:r w:rsidRPr="00F0117E">
        <w:rPr>
          <w:lang w:val="uk-UA"/>
        </w:rPr>
        <w:t xml:space="preserve"> </w:t>
      </w:r>
      <w:r w:rsidR="0060188B" w:rsidRPr="00F0117E">
        <w:rPr>
          <w:lang w:val="uk-UA"/>
        </w:rPr>
        <w:t>до закриття розслідування</w:t>
      </w:r>
      <w:r w:rsidRPr="00F0117E">
        <w:rPr>
          <w:lang w:val="uk-UA"/>
        </w:rPr>
        <w:t xml:space="preserve"> </w:t>
      </w:r>
      <w:r w:rsidR="00007C89" w:rsidRPr="00F0117E">
        <w:rPr>
          <w:lang w:val="uk-UA"/>
        </w:rPr>
        <w:t>і в тій мірі, в якій цілі розслідування можуть бути під загрозою</w:t>
      </w:r>
      <w:r w:rsidRPr="00F0117E">
        <w:rPr>
          <w:lang w:val="uk-UA"/>
        </w:rPr>
        <w:t xml:space="preserve">. </w:t>
      </w:r>
      <w:r w:rsidR="00007C89" w:rsidRPr="00F0117E">
        <w:rPr>
          <w:lang w:val="uk-UA"/>
        </w:rPr>
        <w:t>Однак, ніяке рішення стосовно робочих відносин</w:t>
      </w:r>
      <w:r w:rsidRPr="00F0117E">
        <w:rPr>
          <w:lang w:val="uk-UA"/>
        </w:rPr>
        <w:t xml:space="preserve"> </w:t>
      </w:r>
      <w:r w:rsidR="00007C89" w:rsidRPr="00F0117E">
        <w:rPr>
          <w:lang w:val="uk-UA"/>
        </w:rPr>
        <w:t>не може бути прийнятим до того, як працівник</w:t>
      </w:r>
      <w:r w:rsidRPr="00F0117E">
        <w:rPr>
          <w:lang w:val="uk-UA"/>
        </w:rPr>
        <w:t xml:space="preserve"> </w:t>
      </w:r>
      <w:r w:rsidR="00007C89" w:rsidRPr="00F0117E">
        <w:rPr>
          <w:lang w:val="uk-UA"/>
        </w:rPr>
        <w:t>отримає доступ до усіх своїх персональних даних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11.9.</w:t>
      </w:r>
      <w:r w:rsidR="00FA6D4F" w:rsidRPr="00F0117E">
        <w:rPr>
          <w:lang w:val="uk-UA"/>
        </w:rPr>
        <w:t xml:space="preserve"> </w:t>
      </w:r>
      <w:r w:rsidR="00007C89" w:rsidRPr="00F0117E">
        <w:rPr>
          <w:lang w:val="uk-UA"/>
        </w:rPr>
        <w:t>Працівники повинні мати право вимагати видалення або виправлення</w:t>
      </w:r>
      <w:r w:rsidRPr="00F0117E">
        <w:rPr>
          <w:lang w:val="uk-UA"/>
        </w:rPr>
        <w:t xml:space="preserve"> </w:t>
      </w:r>
      <w:r w:rsidR="00007C89" w:rsidRPr="00F0117E">
        <w:rPr>
          <w:lang w:val="uk-UA"/>
        </w:rPr>
        <w:t>неправильних або неповних персональних даних</w:t>
      </w:r>
      <w:r w:rsidRPr="00F0117E">
        <w:rPr>
          <w:lang w:val="uk-UA"/>
        </w:rPr>
        <w:t xml:space="preserve">, </w:t>
      </w:r>
      <w:r w:rsidR="00007C89" w:rsidRPr="00F0117E">
        <w:rPr>
          <w:lang w:val="uk-UA"/>
        </w:rPr>
        <w:t>а також персональних даних, оброблених не у відповідності</w:t>
      </w:r>
      <w:r w:rsidRPr="00F0117E">
        <w:rPr>
          <w:lang w:val="uk-UA"/>
        </w:rPr>
        <w:t xml:space="preserve"> </w:t>
      </w:r>
      <w:r w:rsidR="00007C89" w:rsidRPr="00F0117E">
        <w:rPr>
          <w:lang w:val="uk-UA"/>
        </w:rPr>
        <w:t>до положень цього кодексу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...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11.13.</w:t>
      </w:r>
      <w:r w:rsidR="00FA6D4F" w:rsidRPr="00F0117E">
        <w:rPr>
          <w:lang w:val="uk-UA"/>
        </w:rPr>
        <w:t xml:space="preserve"> </w:t>
      </w:r>
      <w:r w:rsidR="00007C89" w:rsidRPr="00F0117E">
        <w:rPr>
          <w:lang w:val="uk-UA"/>
        </w:rPr>
        <w:t>У будь-якому законодавстві, нормативному акті</w:t>
      </w:r>
      <w:r w:rsidRPr="00F0117E">
        <w:rPr>
          <w:lang w:val="uk-UA"/>
        </w:rPr>
        <w:t xml:space="preserve">, </w:t>
      </w:r>
      <w:r w:rsidR="00007C89" w:rsidRPr="00F0117E">
        <w:rPr>
          <w:lang w:val="uk-UA"/>
        </w:rPr>
        <w:t>колективному договорі, робочих правилах</w:t>
      </w:r>
      <w:r w:rsidRPr="00F0117E">
        <w:rPr>
          <w:lang w:val="uk-UA"/>
        </w:rPr>
        <w:t xml:space="preserve"> </w:t>
      </w:r>
      <w:r w:rsidR="00007C89" w:rsidRPr="00F0117E">
        <w:rPr>
          <w:lang w:val="uk-UA"/>
        </w:rPr>
        <w:t>або політиці, розробленій</w:t>
      </w:r>
      <w:r w:rsidRPr="00F0117E">
        <w:rPr>
          <w:lang w:val="uk-UA"/>
        </w:rPr>
        <w:t xml:space="preserve"> </w:t>
      </w:r>
      <w:r w:rsidR="00007C89" w:rsidRPr="00F0117E">
        <w:rPr>
          <w:lang w:val="uk-UA"/>
        </w:rPr>
        <w:t xml:space="preserve">відповідно до положень </w:t>
      </w:r>
      <w:r w:rsidR="00007C89" w:rsidRPr="00F0117E">
        <w:rPr>
          <w:lang w:val="uk-UA"/>
        </w:rPr>
        <w:lastRenderedPageBreak/>
        <w:t>цього кодексу</w:t>
      </w:r>
      <w:r w:rsidRPr="00F0117E">
        <w:rPr>
          <w:lang w:val="uk-UA"/>
        </w:rPr>
        <w:t xml:space="preserve">, </w:t>
      </w:r>
      <w:r w:rsidR="00007C89" w:rsidRPr="00F0117E">
        <w:rPr>
          <w:lang w:val="uk-UA"/>
        </w:rPr>
        <w:t>повинен вказуватися шлях для відшкодування,</w:t>
      </w:r>
      <w:r w:rsidRPr="00F0117E">
        <w:rPr>
          <w:lang w:val="uk-UA"/>
        </w:rPr>
        <w:t xml:space="preserve"> </w:t>
      </w:r>
      <w:r w:rsidR="00007C89" w:rsidRPr="00F0117E">
        <w:rPr>
          <w:lang w:val="uk-UA"/>
        </w:rPr>
        <w:t>який дозволить працівникам опротестувати застосування роботодавцем цього інструменту</w:t>
      </w:r>
      <w:r w:rsidRPr="00F0117E">
        <w:rPr>
          <w:lang w:val="uk-UA"/>
        </w:rPr>
        <w:t xml:space="preserve">. </w:t>
      </w:r>
      <w:r w:rsidR="00007C89" w:rsidRPr="00F0117E">
        <w:rPr>
          <w:lang w:val="uk-UA"/>
        </w:rPr>
        <w:t>Необхідно встановити порядок отримання</w:t>
      </w:r>
      <w:r w:rsidRPr="00F0117E">
        <w:rPr>
          <w:lang w:val="uk-UA"/>
        </w:rPr>
        <w:t xml:space="preserve"> </w:t>
      </w:r>
      <w:r w:rsidR="007D2514" w:rsidRPr="00F0117E">
        <w:rPr>
          <w:lang w:val="uk-UA"/>
        </w:rPr>
        <w:t>будь-</w:t>
      </w:r>
      <w:r w:rsidR="00007C89" w:rsidRPr="00F0117E">
        <w:rPr>
          <w:lang w:val="uk-UA"/>
        </w:rPr>
        <w:t>якої скарги, поданої працівниками, та відповіді на неї</w:t>
      </w:r>
      <w:r w:rsidRPr="00F0117E">
        <w:rPr>
          <w:lang w:val="uk-UA"/>
        </w:rPr>
        <w:t xml:space="preserve">. </w:t>
      </w:r>
      <w:r w:rsidR="00007C89" w:rsidRPr="00F0117E">
        <w:rPr>
          <w:lang w:val="uk-UA"/>
        </w:rPr>
        <w:t>Процес оскарження повинен бути легкодоступним для працівників та простим у використанні</w:t>
      </w:r>
      <w:r w:rsidRPr="00F0117E">
        <w:rPr>
          <w:lang w:val="uk-UA"/>
        </w:rPr>
        <w:t>.”</w:t>
      </w:r>
    </w:p>
    <w:p w:rsidR="00E81B07" w:rsidRPr="00F0117E" w:rsidRDefault="0002542A" w:rsidP="008B2B31">
      <w:pPr>
        <w:pStyle w:val="ECHRPara"/>
        <w:rPr>
          <w:rFonts w:ascii="Times New Roman" w:eastAsiaTheme="minorHAnsi" w:hAnsi="Times New Roman" w:cs="Times New Roman"/>
          <w:i/>
          <w:iCs/>
          <w:sz w:val="20"/>
          <w:szCs w:val="20"/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41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007C89" w:rsidRPr="00F0117E">
        <w:rPr>
          <w:lang w:val="uk-UA"/>
        </w:rPr>
        <w:t>На додаток, 18 грудня</w:t>
      </w:r>
      <w:r w:rsidR="00E81B07" w:rsidRPr="00F0117E">
        <w:rPr>
          <w:lang w:val="uk-UA"/>
        </w:rPr>
        <w:t xml:space="preserve"> 2013 </w:t>
      </w:r>
      <w:r w:rsidR="00007C89" w:rsidRPr="00F0117E">
        <w:rPr>
          <w:lang w:val="uk-UA"/>
        </w:rPr>
        <w:t>року Генеральна Асамблея ООН</w:t>
      </w:r>
      <w:r w:rsidR="00E81B07" w:rsidRPr="00F0117E">
        <w:rPr>
          <w:lang w:val="uk-UA"/>
        </w:rPr>
        <w:t xml:space="preserve"> </w:t>
      </w:r>
      <w:r w:rsidR="00007C89" w:rsidRPr="00F0117E">
        <w:rPr>
          <w:lang w:val="uk-UA"/>
        </w:rPr>
        <w:t>прийняла Резолюцію №</w:t>
      </w:r>
      <w:r w:rsidR="00E81B07" w:rsidRPr="00F0117E">
        <w:rPr>
          <w:lang w:val="uk-UA"/>
        </w:rPr>
        <w:t xml:space="preserve"> 68/167 </w:t>
      </w:r>
      <w:r w:rsidR="00007C89" w:rsidRPr="00F0117E">
        <w:rPr>
          <w:lang w:val="uk-UA"/>
        </w:rPr>
        <w:t xml:space="preserve">про право на </w:t>
      </w:r>
      <w:r w:rsidR="00974794" w:rsidRPr="00F0117E">
        <w:rPr>
          <w:lang w:val="uk-UA"/>
        </w:rPr>
        <w:t>недоторканність приватного життя</w:t>
      </w:r>
      <w:r w:rsidR="00007C89" w:rsidRPr="00F0117E">
        <w:rPr>
          <w:lang w:val="uk-UA"/>
        </w:rPr>
        <w:t xml:space="preserve"> у цифров</w:t>
      </w:r>
      <w:r w:rsidR="007D2514" w:rsidRPr="00F0117E">
        <w:rPr>
          <w:lang w:val="uk-UA"/>
        </w:rPr>
        <w:t>у</w:t>
      </w:r>
      <w:r w:rsidR="00007C89" w:rsidRPr="00F0117E">
        <w:rPr>
          <w:lang w:val="uk-UA"/>
        </w:rPr>
        <w:t xml:space="preserve"> </w:t>
      </w:r>
      <w:r w:rsidR="007D2514" w:rsidRPr="00F0117E">
        <w:rPr>
          <w:lang w:val="uk-UA"/>
        </w:rPr>
        <w:t>епоху</w:t>
      </w:r>
      <w:r w:rsidR="00E81B07" w:rsidRPr="00F0117E">
        <w:rPr>
          <w:lang w:val="uk-UA"/>
        </w:rPr>
        <w:t xml:space="preserve"> (A/RES/68/167), </w:t>
      </w:r>
      <w:r w:rsidR="00007C89" w:rsidRPr="00F0117E">
        <w:rPr>
          <w:lang w:val="uk-UA"/>
        </w:rPr>
        <w:t>в якій, зокрема, закликала держави</w:t>
      </w:r>
      <w:r w:rsidR="00E81B07" w:rsidRPr="00F0117E">
        <w:rPr>
          <w:lang w:val="uk-UA"/>
        </w:rPr>
        <w:t>: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“(</w:t>
      </w:r>
      <w:r w:rsidRPr="00F0117E">
        <w:rPr>
          <w:i/>
          <w:iCs/>
          <w:lang w:val="uk-UA"/>
        </w:rPr>
        <w:t>a</w:t>
      </w:r>
      <w:r w:rsidRPr="00F0117E">
        <w:rPr>
          <w:lang w:val="uk-UA"/>
        </w:rPr>
        <w:t>)</w:t>
      </w:r>
      <w:r w:rsidR="00FA6D4F" w:rsidRPr="00F0117E">
        <w:rPr>
          <w:lang w:val="uk-UA"/>
        </w:rPr>
        <w:t xml:space="preserve"> </w:t>
      </w:r>
      <w:r w:rsidR="00974794" w:rsidRPr="00F0117E">
        <w:rPr>
          <w:lang w:val="uk-UA"/>
        </w:rPr>
        <w:t>Поважати та захищати право на недоторканність приватного життя</w:t>
      </w:r>
      <w:r w:rsidRPr="00F0117E">
        <w:rPr>
          <w:lang w:val="uk-UA"/>
        </w:rPr>
        <w:t xml:space="preserve">, </w:t>
      </w:r>
      <w:r w:rsidR="00974794" w:rsidRPr="00F0117E">
        <w:rPr>
          <w:lang w:val="uk-UA"/>
        </w:rPr>
        <w:t>у тому числі у контексті цифрової комунікації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(</w:t>
      </w:r>
      <w:r w:rsidRPr="00F0117E">
        <w:rPr>
          <w:i/>
          <w:iCs/>
          <w:lang w:val="uk-UA"/>
        </w:rPr>
        <w:t>b</w:t>
      </w:r>
      <w:r w:rsidRPr="00F0117E">
        <w:rPr>
          <w:lang w:val="uk-UA"/>
        </w:rPr>
        <w:t>)</w:t>
      </w:r>
      <w:r w:rsidR="00FA6D4F" w:rsidRPr="00F0117E">
        <w:rPr>
          <w:lang w:val="uk-UA"/>
        </w:rPr>
        <w:t xml:space="preserve"> </w:t>
      </w:r>
      <w:r w:rsidR="00974794" w:rsidRPr="00F0117E">
        <w:rPr>
          <w:lang w:val="uk-UA"/>
        </w:rPr>
        <w:t>Вжити заходів для того, щоб покласти край</w:t>
      </w:r>
      <w:r w:rsidRPr="00F0117E">
        <w:rPr>
          <w:lang w:val="uk-UA"/>
        </w:rPr>
        <w:t xml:space="preserve"> </w:t>
      </w:r>
      <w:r w:rsidR="00974794" w:rsidRPr="00F0117E">
        <w:rPr>
          <w:lang w:val="uk-UA"/>
        </w:rPr>
        <w:t>порушенням цих прав та створити умови</w:t>
      </w:r>
      <w:r w:rsidRPr="00F0117E">
        <w:rPr>
          <w:lang w:val="uk-UA"/>
        </w:rPr>
        <w:t xml:space="preserve"> </w:t>
      </w:r>
      <w:r w:rsidR="00974794" w:rsidRPr="00F0117E">
        <w:rPr>
          <w:lang w:val="uk-UA"/>
        </w:rPr>
        <w:t>для запобігання таким порушенням</w:t>
      </w:r>
      <w:r w:rsidRPr="00F0117E">
        <w:rPr>
          <w:lang w:val="uk-UA"/>
        </w:rPr>
        <w:t xml:space="preserve">, </w:t>
      </w:r>
      <w:r w:rsidR="00974794" w:rsidRPr="00F0117E">
        <w:rPr>
          <w:lang w:val="uk-UA"/>
        </w:rPr>
        <w:t>у тому числі шляхом забезпечення того, щоб відповідне національне законодавство</w:t>
      </w:r>
      <w:r w:rsidRPr="00F0117E">
        <w:rPr>
          <w:lang w:val="uk-UA"/>
        </w:rPr>
        <w:t xml:space="preserve"> </w:t>
      </w:r>
      <w:r w:rsidR="00974794" w:rsidRPr="00F0117E">
        <w:rPr>
          <w:lang w:val="uk-UA"/>
        </w:rPr>
        <w:t>відповідало їх міжнародним зобов’язанням по міжнародному праву прав людини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(</w:t>
      </w:r>
      <w:r w:rsidRPr="00F0117E">
        <w:rPr>
          <w:i/>
          <w:iCs/>
          <w:lang w:val="uk-UA"/>
        </w:rPr>
        <w:t>c</w:t>
      </w:r>
      <w:r w:rsidRPr="00F0117E">
        <w:rPr>
          <w:lang w:val="uk-UA"/>
        </w:rPr>
        <w:t>)</w:t>
      </w:r>
      <w:r w:rsidR="00FA6D4F" w:rsidRPr="00F0117E">
        <w:rPr>
          <w:lang w:val="uk-UA"/>
        </w:rPr>
        <w:t xml:space="preserve"> </w:t>
      </w:r>
      <w:r w:rsidR="00974794" w:rsidRPr="00F0117E">
        <w:rPr>
          <w:lang w:val="uk-UA"/>
        </w:rPr>
        <w:t>Провести огляд своїх процедур, практики та законодавства,</w:t>
      </w:r>
      <w:r w:rsidRPr="00F0117E">
        <w:rPr>
          <w:lang w:val="uk-UA"/>
        </w:rPr>
        <w:t xml:space="preserve"> </w:t>
      </w:r>
      <w:r w:rsidR="00974794" w:rsidRPr="00F0117E">
        <w:rPr>
          <w:lang w:val="uk-UA"/>
        </w:rPr>
        <w:t>які стосуються спостереження за повідомленнями, їх перехоплення</w:t>
      </w:r>
      <w:r w:rsidRPr="00F0117E">
        <w:rPr>
          <w:lang w:val="uk-UA"/>
        </w:rPr>
        <w:t xml:space="preserve"> </w:t>
      </w:r>
      <w:r w:rsidR="00974794" w:rsidRPr="00F0117E">
        <w:rPr>
          <w:lang w:val="uk-UA"/>
        </w:rPr>
        <w:t>та зібрання персональних даних</w:t>
      </w:r>
      <w:r w:rsidRPr="00F0117E">
        <w:rPr>
          <w:lang w:val="uk-UA"/>
        </w:rPr>
        <w:t xml:space="preserve">, </w:t>
      </w:r>
      <w:r w:rsidR="00974794" w:rsidRPr="00F0117E">
        <w:rPr>
          <w:lang w:val="uk-UA"/>
        </w:rPr>
        <w:t>у тому числі масового спостереження, перехоплення та зібрання</w:t>
      </w:r>
      <w:r w:rsidRPr="00F0117E">
        <w:rPr>
          <w:lang w:val="uk-UA"/>
        </w:rPr>
        <w:t xml:space="preserve">, </w:t>
      </w:r>
      <w:r w:rsidR="00974794" w:rsidRPr="00F0117E">
        <w:rPr>
          <w:lang w:val="uk-UA"/>
        </w:rPr>
        <w:t>в цілях захисту права на недоторканність приватного життя</w:t>
      </w:r>
      <w:r w:rsidRPr="00F0117E">
        <w:rPr>
          <w:lang w:val="uk-UA"/>
        </w:rPr>
        <w:t xml:space="preserve"> </w:t>
      </w:r>
      <w:r w:rsidR="00974794" w:rsidRPr="00F0117E">
        <w:rPr>
          <w:lang w:val="uk-UA"/>
        </w:rPr>
        <w:t>шляхом забезпечення повного та ефективного виконання</w:t>
      </w:r>
      <w:r w:rsidRPr="00F0117E">
        <w:rPr>
          <w:lang w:val="uk-UA"/>
        </w:rPr>
        <w:t xml:space="preserve"> </w:t>
      </w:r>
      <w:r w:rsidR="00974794" w:rsidRPr="00F0117E">
        <w:rPr>
          <w:lang w:val="uk-UA"/>
        </w:rPr>
        <w:t>усіх обов’язків відповідно до національного права прав людини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(</w:t>
      </w:r>
      <w:r w:rsidRPr="00F0117E">
        <w:rPr>
          <w:i/>
          <w:iCs/>
          <w:lang w:val="uk-UA"/>
        </w:rPr>
        <w:t>d</w:t>
      </w:r>
      <w:r w:rsidRPr="00F0117E">
        <w:rPr>
          <w:lang w:val="uk-UA"/>
        </w:rPr>
        <w:t>)</w:t>
      </w:r>
      <w:r w:rsidR="00FA6D4F" w:rsidRPr="00F0117E">
        <w:rPr>
          <w:lang w:val="uk-UA"/>
        </w:rPr>
        <w:t xml:space="preserve"> </w:t>
      </w:r>
      <w:r w:rsidR="00974794" w:rsidRPr="00F0117E">
        <w:rPr>
          <w:lang w:val="uk-UA"/>
        </w:rPr>
        <w:t>Встановити нові або підтримувати існуючі незалежні</w:t>
      </w:r>
      <w:r w:rsidRPr="00F0117E">
        <w:rPr>
          <w:lang w:val="uk-UA"/>
        </w:rPr>
        <w:t xml:space="preserve">, </w:t>
      </w:r>
      <w:r w:rsidR="00974794" w:rsidRPr="00F0117E">
        <w:rPr>
          <w:lang w:val="uk-UA"/>
        </w:rPr>
        <w:t>ефективні внутрішні наглядові механізми,</w:t>
      </w:r>
      <w:r w:rsidRPr="00F0117E">
        <w:rPr>
          <w:lang w:val="uk-UA"/>
        </w:rPr>
        <w:t xml:space="preserve"> </w:t>
      </w:r>
      <w:r w:rsidR="00974794" w:rsidRPr="00F0117E">
        <w:rPr>
          <w:lang w:val="uk-UA"/>
        </w:rPr>
        <w:t>здатні забезпечити транспарентність у відповідних випадках та підзвітність у державному нагляді за повідомленнями</w:t>
      </w:r>
      <w:r w:rsidRPr="00F0117E">
        <w:rPr>
          <w:lang w:val="uk-UA"/>
        </w:rPr>
        <w:t xml:space="preserve">, </w:t>
      </w:r>
      <w:r w:rsidR="00974794" w:rsidRPr="00F0117E">
        <w:rPr>
          <w:lang w:val="uk-UA"/>
        </w:rPr>
        <w:t>їх перехопленні та зібранні персональних даних</w:t>
      </w:r>
      <w:r w:rsidRPr="00F0117E">
        <w:rPr>
          <w:lang w:val="uk-UA"/>
        </w:rPr>
        <w:t>[.]”</w:t>
      </w:r>
    </w:p>
    <w:p w:rsidR="00E81B07" w:rsidRPr="00F0117E" w:rsidRDefault="00E81B07" w:rsidP="008B2B31">
      <w:pPr>
        <w:pStyle w:val="ECHRHeading2"/>
        <w:rPr>
          <w:lang w:val="uk-UA"/>
        </w:rPr>
      </w:pPr>
      <w:r w:rsidRPr="00F0117E">
        <w:rPr>
          <w:lang w:val="uk-UA"/>
        </w:rPr>
        <w:t>B.</w:t>
      </w:r>
      <w:r w:rsidR="00FA6D4F" w:rsidRPr="00F0117E">
        <w:rPr>
          <w:lang w:val="uk-UA"/>
        </w:rPr>
        <w:t xml:space="preserve"> </w:t>
      </w:r>
      <w:r w:rsidR="00974794" w:rsidRPr="00F0117E">
        <w:rPr>
          <w:lang w:val="uk-UA"/>
        </w:rPr>
        <w:t>Стандарти Ради Європи</w:t>
      </w:r>
    </w:p>
    <w:p w:rsidR="00E36F4C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42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974794" w:rsidRPr="00F0117E">
        <w:rPr>
          <w:lang w:val="uk-UA"/>
        </w:rPr>
        <w:t>Конвенція Ради Європи про захист</w:t>
      </w:r>
      <w:r w:rsidR="00E81B07" w:rsidRPr="00F0117E">
        <w:rPr>
          <w:lang w:val="uk-UA"/>
        </w:rPr>
        <w:t xml:space="preserve"> </w:t>
      </w:r>
      <w:r w:rsidR="00974794" w:rsidRPr="00F0117E">
        <w:rPr>
          <w:lang w:val="uk-UA"/>
        </w:rPr>
        <w:t>осіб у зв’язку з автоматизованою обробкою</w:t>
      </w:r>
      <w:r w:rsidR="00E81B07" w:rsidRPr="00F0117E">
        <w:rPr>
          <w:lang w:val="uk-UA"/>
        </w:rPr>
        <w:t xml:space="preserve"> </w:t>
      </w:r>
      <w:r w:rsidR="00974794" w:rsidRPr="00F0117E">
        <w:rPr>
          <w:lang w:val="uk-UA"/>
        </w:rPr>
        <w:t>персональних даних</w:t>
      </w:r>
      <w:r w:rsidR="00E81B07" w:rsidRPr="00F0117E">
        <w:rPr>
          <w:lang w:val="uk-UA"/>
        </w:rPr>
        <w:t xml:space="preserve"> (1981, ETS </w:t>
      </w:r>
      <w:r w:rsidR="00FF09D7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 108), </w:t>
      </w:r>
      <w:r w:rsidR="00FF09D7" w:rsidRPr="00F0117E">
        <w:rPr>
          <w:lang w:val="uk-UA"/>
        </w:rPr>
        <w:t xml:space="preserve">яка набула сили </w:t>
      </w:r>
      <w:r w:rsidR="00FC34C7">
        <w:rPr>
          <w:lang w:val="uk-UA"/>
        </w:rPr>
        <w:t xml:space="preserve">стосовно </w:t>
      </w:r>
      <w:r w:rsidR="00FF09D7" w:rsidRPr="00F0117E">
        <w:rPr>
          <w:lang w:val="uk-UA"/>
        </w:rPr>
        <w:t>Румунії</w:t>
      </w:r>
      <w:r w:rsidR="00E81B07" w:rsidRPr="00F0117E">
        <w:rPr>
          <w:lang w:val="uk-UA"/>
        </w:rPr>
        <w:t xml:space="preserve"> 1 </w:t>
      </w:r>
      <w:r w:rsidR="00FF09D7" w:rsidRPr="00F0117E">
        <w:rPr>
          <w:lang w:val="uk-UA"/>
        </w:rPr>
        <w:t>червня</w:t>
      </w:r>
      <w:r w:rsidR="00E81B07" w:rsidRPr="00F0117E">
        <w:rPr>
          <w:lang w:val="uk-UA"/>
        </w:rPr>
        <w:t xml:space="preserve"> 2002</w:t>
      </w:r>
      <w:r w:rsidR="00FF09D7" w:rsidRPr="00F0117E">
        <w:rPr>
          <w:lang w:val="uk-UA"/>
        </w:rPr>
        <w:t xml:space="preserve"> року</w:t>
      </w:r>
      <w:r w:rsidR="00E81B07" w:rsidRPr="00F0117E">
        <w:rPr>
          <w:lang w:val="uk-UA"/>
        </w:rPr>
        <w:t xml:space="preserve">, </w:t>
      </w:r>
      <w:r w:rsidR="00FF09D7" w:rsidRPr="00F0117E">
        <w:rPr>
          <w:lang w:val="uk-UA"/>
        </w:rPr>
        <w:t>включає, зокрема</w:t>
      </w:r>
      <w:r w:rsidR="00FC34C7">
        <w:rPr>
          <w:lang w:val="uk-UA"/>
        </w:rPr>
        <w:t>,</w:t>
      </w:r>
      <w:r w:rsidR="00FF09D7" w:rsidRPr="00F0117E">
        <w:rPr>
          <w:lang w:val="uk-UA"/>
        </w:rPr>
        <w:t xml:space="preserve"> наступні положення</w:t>
      </w:r>
      <w:r w:rsidR="00E81B07" w:rsidRPr="00F0117E">
        <w:rPr>
          <w:lang w:val="uk-UA"/>
        </w:rPr>
        <w:t>:</w:t>
      </w:r>
    </w:p>
    <w:p w:rsidR="00E81B07" w:rsidRPr="00F0117E" w:rsidRDefault="00CB3A65" w:rsidP="008B2B31">
      <w:pPr>
        <w:pStyle w:val="ECHRTitleCentre3"/>
        <w:rPr>
          <w:lang w:val="uk-UA"/>
        </w:rPr>
      </w:pPr>
      <w:r w:rsidRPr="00F0117E">
        <w:rPr>
          <w:lang w:val="uk-UA"/>
        </w:rPr>
        <w:t>Стаття</w:t>
      </w:r>
      <w:r w:rsidR="00E81B07" w:rsidRPr="00F0117E">
        <w:rPr>
          <w:lang w:val="uk-UA"/>
        </w:rPr>
        <w:t xml:space="preserve"> 2 – </w:t>
      </w:r>
      <w:r w:rsidRPr="00F0117E">
        <w:rPr>
          <w:lang w:val="uk-UA"/>
        </w:rPr>
        <w:t>Визначення</w:t>
      </w:r>
    </w:p>
    <w:p w:rsidR="00E81B07" w:rsidRPr="00934150" w:rsidRDefault="00E81B07" w:rsidP="008B2B31">
      <w:pPr>
        <w:pStyle w:val="ECHRParaQuote"/>
        <w:rPr>
          <w:lang w:val="ru-RU"/>
        </w:rPr>
      </w:pPr>
      <w:r w:rsidRPr="00F0117E">
        <w:rPr>
          <w:lang w:val="uk-UA"/>
        </w:rPr>
        <w:t>“</w:t>
      </w:r>
      <w:r w:rsidR="0045333D" w:rsidRPr="00F0117E">
        <w:rPr>
          <w:lang w:val="uk-UA"/>
        </w:rPr>
        <w:t>Для цілей цієї Конвенції</w:t>
      </w:r>
      <w:r w:rsidRPr="00F0117E">
        <w:rPr>
          <w:lang w:val="uk-UA"/>
        </w:rPr>
        <w:t>: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(a)</w:t>
      </w:r>
      <w:r w:rsidR="00FA6D4F" w:rsidRPr="00F0117E">
        <w:rPr>
          <w:lang w:val="uk-UA"/>
        </w:rPr>
        <w:t xml:space="preserve"> </w:t>
      </w:r>
      <w:r w:rsidR="0045333D" w:rsidRPr="00F0117E">
        <w:rPr>
          <w:lang w:val="uk-UA"/>
        </w:rPr>
        <w:t>термін "персональні дані" означає будь-яку інформацію, яка стосується конкретно визначеної особи</w:t>
      </w:r>
      <w:r w:rsidR="00FA6D4F" w:rsidRPr="00F0117E">
        <w:rPr>
          <w:lang w:val="uk-UA"/>
        </w:rPr>
        <w:t xml:space="preserve"> </w:t>
      </w:r>
      <w:r w:rsidR="0045333D" w:rsidRPr="00F0117E">
        <w:rPr>
          <w:lang w:val="uk-UA"/>
        </w:rPr>
        <w:t>або</w:t>
      </w:r>
      <w:r w:rsidR="00FA6D4F" w:rsidRPr="00F0117E">
        <w:rPr>
          <w:lang w:val="uk-UA"/>
        </w:rPr>
        <w:t xml:space="preserve"> </w:t>
      </w:r>
      <w:r w:rsidR="0045333D" w:rsidRPr="00F0117E">
        <w:rPr>
          <w:lang w:val="uk-UA"/>
        </w:rPr>
        <w:t>особи, що може бути конкретно визначеною (далі - суб'єкт даних)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...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(c)</w:t>
      </w:r>
      <w:r w:rsidR="00B24701" w:rsidRPr="00F0117E">
        <w:rPr>
          <w:lang w:val="uk-UA"/>
        </w:rPr>
        <w:t xml:space="preserve"> термін "автоматизована обробка" включає такі операції, що здійснюються повністю або частково за допомогою автоматизованих засобів: зберігання даних, виконання логічних та (або) арифметичних операцій із цими даними, їхню зміну, знищення, вибірку або поширення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...”</w:t>
      </w:r>
    </w:p>
    <w:p w:rsidR="00E81B07" w:rsidRPr="00F0117E" w:rsidRDefault="00B24701" w:rsidP="008B2B31">
      <w:pPr>
        <w:pStyle w:val="ECHRTitleCentre3"/>
        <w:rPr>
          <w:lang w:val="uk-UA"/>
        </w:rPr>
      </w:pPr>
      <w:r w:rsidRPr="00F0117E">
        <w:rPr>
          <w:lang w:val="uk-UA"/>
        </w:rPr>
        <w:lastRenderedPageBreak/>
        <w:t>Стаття</w:t>
      </w:r>
      <w:r w:rsidR="00E81B07" w:rsidRPr="00F0117E">
        <w:rPr>
          <w:lang w:val="uk-UA"/>
        </w:rPr>
        <w:t xml:space="preserve"> 3 – </w:t>
      </w:r>
      <w:r w:rsidRPr="00F0117E">
        <w:rPr>
          <w:lang w:val="uk-UA"/>
        </w:rPr>
        <w:t>Сфера застосування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“1.</w:t>
      </w:r>
      <w:r w:rsidR="005E35AB" w:rsidRPr="00F0117E">
        <w:rPr>
          <w:lang w:val="uk-UA"/>
        </w:rPr>
        <w:t xml:space="preserve"> Сторони зобов'язуються застосовувати цю Конвенцію до файлів персональних даних для автоматизованої обробки та до автоматизованої обробки персональних даних у державному та приватному секторах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...”</w:t>
      </w:r>
    </w:p>
    <w:p w:rsidR="00E81B07" w:rsidRPr="00F0117E" w:rsidRDefault="005E35AB" w:rsidP="008B2B31">
      <w:pPr>
        <w:pStyle w:val="ECHRTitleCentre3"/>
        <w:rPr>
          <w:lang w:val="uk-UA"/>
        </w:rPr>
      </w:pPr>
      <w:r w:rsidRPr="00F0117E">
        <w:rPr>
          <w:lang w:val="uk-UA"/>
        </w:rPr>
        <w:t>Стаття</w:t>
      </w:r>
      <w:r w:rsidR="00E81B07" w:rsidRPr="00F0117E">
        <w:rPr>
          <w:lang w:val="uk-UA"/>
        </w:rPr>
        <w:t xml:space="preserve"> 5 – </w:t>
      </w:r>
      <w:r w:rsidR="00FE6706" w:rsidRPr="00F0117E">
        <w:rPr>
          <w:lang w:val="uk-UA"/>
        </w:rPr>
        <w:t>Як</w:t>
      </w:r>
      <w:r w:rsidR="00027D83" w:rsidRPr="00F0117E">
        <w:rPr>
          <w:lang w:val="uk-UA"/>
        </w:rPr>
        <w:t>і</w:t>
      </w:r>
      <w:r w:rsidR="00FE6706" w:rsidRPr="00F0117E">
        <w:rPr>
          <w:lang w:val="uk-UA"/>
        </w:rPr>
        <w:t>сть даних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</w:t>
      </w:r>
      <w:r w:rsidR="00FE6706" w:rsidRPr="00F0117E">
        <w:rPr>
          <w:lang w:val="uk-UA"/>
        </w:rPr>
        <w:t xml:space="preserve">Персональні дані, що піддаються автоматизованій обробці, </w:t>
      </w:r>
      <w:r w:rsidR="00FE6706" w:rsidRPr="00F0117E">
        <w:rPr>
          <w:lang w:val="uk-UA"/>
        </w:rPr>
        <w:br/>
        <w:t>повинні</w:t>
      </w:r>
      <w:r w:rsidRPr="00F0117E">
        <w:rPr>
          <w:lang w:val="uk-UA"/>
        </w:rPr>
        <w:t>: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(a)</w:t>
      </w:r>
      <w:r w:rsidR="00FE6706" w:rsidRPr="00F0117E">
        <w:rPr>
          <w:lang w:val="uk-UA"/>
        </w:rPr>
        <w:t xml:space="preserve"> отримуватися та оброблятися сумлінно та законно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(b)</w:t>
      </w:r>
      <w:r w:rsidR="00FE6706" w:rsidRPr="00F0117E">
        <w:rPr>
          <w:lang w:val="uk-UA"/>
        </w:rPr>
        <w:t xml:space="preserve"> зберігатися для визначених і законних цілей та не використовуватися в спосіб, не сумісний із цими цілями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(c)</w:t>
      </w:r>
      <w:r w:rsidR="00FE6706" w:rsidRPr="00F0117E">
        <w:rPr>
          <w:lang w:val="uk-UA"/>
        </w:rPr>
        <w:t xml:space="preserve"> бути адекватними, відповідними та ненадмірними стосовно цілей, для яких вони зберігаються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(d)</w:t>
      </w:r>
      <w:r w:rsidR="00FE6706" w:rsidRPr="00F0117E">
        <w:rPr>
          <w:lang w:val="uk-UA"/>
        </w:rPr>
        <w:t xml:space="preserve"> бути точними та в разі необхідності оновлюватися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(e)</w:t>
      </w:r>
      <w:r w:rsidR="00FE6706" w:rsidRPr="00F0117E">
        <w:rPr>
          <w:lang w:val="uk-UA"/>
        </w:rPr>
        <w:t xml:space="preserve"> зберігатись у формі, яка дозволяє ідентифікацію суб'єктів даних не довше, ніж це необхідно для мети, для якої такі дані зберігаються</w:t>
      </w:r>
      <w:r w:rsidRPr="00F0117E">
        <w:rPr>
          <w:lang w:val="uk-UA"/>
        </w:rPr>
        <w:t>.”</w:t>
      </w:r>
    </w:p>
    <w:p w:rsidR="00E81B07" w:rsidRPr="00F0117E" w:rsidRDefault="009258B9" w:rsidP="008B2B31">
      <w:pPr>
        <w:pStyle w:val="ECHRTitleCentre3"/>
        <w:rPr>
          <w:lang w:val="uk-UA"/>
        </w:rPr>
      </w:pPr>
      <w:r w:rsidRPr="00F0117E">
        <w:rPr>
          <w:lang w:val="uk-UA"/>
        </w:rPr>
        <w:t>Стаття</w:t>
      </w:r>
      <w:r w:rsidR="00E81B07" w:rsidRPr="00F0117E">
        <w:rPr>
          <w:lang w:val="uk-UA"/>
        </w:rPr>
        <w:t xml:space="preserve"> 8 – </w:t>
      </w:r>
      <w:r w:rsidRPr="00F0117E">
        <w:rPr>
          <w:lang w:val="uk-UA"/>
        </w:rPr>
        <w:t>Додатков</w:t>
      </w:r>
      <w:r w:rsidR="00893063" w:rsidRPr="00F0117E">
        <w:rPr>
          <w:lang w:val="uk-UA"/>
        </w:rPr>
        <w:t>і</w:t>
      </w:r>
      <w:r w:rsidRPr="00F0117E">
        <w:rPr>
          <w:lang w:val="uk-UA"/>
        </w:rPr>
        <w:t xml:space="preserve"> гарант</w:t>
      </w:r>
      <w:r w:rsidR="00893063" w:rsidRPr="00F0117E">
        <w:rPr>
          <w:lang w:val="uk-UA"/>
        </w:rPr>
        <w:t>ії</w:t>
      </w:r>
      <w:r w:rsidRPr="00F0117E">
        <w:rPr>
          <w:lang w:val="uk-UA"/>
        </w:rPr>
        <w:t xml:space="preserve"> для суб’</w:t>
      </w:r>
      <w:r w:rsidR="00893063" w:rsidRPr="00F0117E">
        <w:rPr>
          <w:lang w:val="uk-UA"/>
        </w:rPr>
        <w:t>є</w:t>
      </w:r>
      <w:r w:rsidRPr="00F0117E">
        <w:rPr>
          <w:lang w:val="uk-UA"/>
        </w:rPr>
        <w:t>кта даних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</w:t>
      </w:r>
      <w:r w:rsidR="009258B9" w:rsidRPr="00F0117E">
        <w:rPr>
          <w:lang w:val="uk-UA"/>
        </w:rPr>
        <w:t>Будь-як</w:t>
      </w:r>
      <w:r w:rsidR="00893063" w:rsidRPr="00F0117E">
        <w:rPr>
          <w:lang w:val="uk-UA"/>
        </w:rPr>
        <w:t>і</w:t>
      </w:r>
      <w:r w:rsidR="009258B9" w:rsidRPr="00F0117E">
        <w:rPr>
          <w:lang w:val="uk-UA"/>
        </w:rPr>
        <w:t>й особ</w:t>
      </w:r>
      <w:r w:rsidR="00893063" w:rsidRPr="00F0117E">
        <w:rPr>
          <w:lang w:val="uk-UA"/>
        </w:rPr>
        <w:t>і</w:t>
      </w:r>
      <w:r w:rsidR="009258B9" w:rsidRPr="00F0117E">
        <w:rPr>
          <w:lang w:val="uk-UA"/>
        </w:rPr>
        <w:t xml:space="preserve"> нада</w:t>
      </w:r>
      <w:r w:rsidR="00893063" w:rsidRPr="00F0117E">
        <w:rPr>
          <w:lang w:val="uk-UA"/>
        </w:rPr>
        <w:t>є</w:t>
      </w:r>
      <w:r w:rsidR="009258B9" w:rsidRPr="00F0117E">
        <w:rPr>
          <w:lang w:val="uk-UA"/>
        </w:rPr>
        <w:t>ться можлив</w:t>
      </w:r>
      <w:r w:rsidR="00893063" w:rsidRPr="00F0117E">
        <w:rPr>
          <w:lang w:val="uk-UA"/>
        </w:rPr>
        <w:t>і</w:t>
      </w:r>
      <w:r w:rsidR="009258B9" w:rsidRPr="00F0117E">
        <w:rPr>
          <w:lang w:val="uk-UA"/>
        </w:rPr>
        <w:t>сть</w:t>
      </w:r>
      <w:r w:rsidRPr="00F0117E">
        <w:rPr>
          <w:lang w:val="uk-UA"/>
        </w:rPr>
        <w:t>: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(a)</w:t>
      </w:r>
      <w:r w:rsidR="00FA6D4F" w:rsidRPr="00F0117E">
        <w:rPr>
          <w:lang w:val="uk-UA"/>
        </w:rPr>
        <w:t xml:space="preserve"> </w:t>
      </w:r>
      <w:r w:rsidR="00893063" w:rsidRPr="00F0117E">
        <w:rPr>
          <w:lang w:val="uk-UA"/>
        </w:rPr>
        <w:t>з'ясувати існування файлу персональних даних для автоматизованої обробки, його головні цілі, а також особу та постійне місце проживання чи головне місце роботи контролера файлу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(b)</w:t>
      </w:r>
      <w:r w:rsidR="00893063" w:rsidRPr="00F0117E">
        <w:rPr>
          <w:lang w:val="uk-UA"/>
        </w:rPr>
        <w:t xml:space="preserve"> отримувати через обґрунтовані періоди та без надмірної затримки або витрат підтвердження або спростування факту зберігання персональних даних, що її стосуються, у файлі даних для автоматизованої обробки, а також отримувати такі дані в доступній для розуміння формі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...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(d)</w:t>
      </w:r>
      <w:r w:rsidR="00893063" w:rsidRPr="00F0117E">
        <w:rPr>
          <w:lang w:val="uk-UA"/>
        </w:rPr>
        <w:t xml:space="preserve"> використовувати засоби правового захисту в разі невиконання передбаченого в пунктах "b" і "c" цієї статті прохання про підтвердження або у відповідних випадках про надання, виправлення або знищення персональних даних</w:t>
      </w:r>
      <w:r w:rsidRPr="00F0117E">
        <w:rPr>
          <w:lang w:val="uk-UA"/>
        </w:rPr>
        <w:t>.”</w:t>
      </w:r>
    </w:p>
    <w:p w:rsidR="00E81B07" w:rsidRPr="00F0117E" w:rsidRDefault="00893063" w:rsidP="008B2B31">
      <w:pPr>
        <w:pStyle w:val="ECHRTitleCentre3"/>
        <w:rPr>
          <w:lang w:val="uk-UA"/>
        </w:rPr>
      </w:pPr>
      <w:r w:rsidRPr="00F0117E">
        <w:rPr>
          <w:lang w:val="uk-UA"/>
        </w:rPr>
        <w:t>Стаття</w:t>
      </w:r>
      <w:r w:rsidR="00E81B07" w:rsidRPr="00F0117E">
        <w:rPr>
          <w:lang w:val="uk-UA"/>
        </w:rPr>
        <w:t xml:space="preserve"> 9 – </w:t>
      </w:r>
      <w:r w:rsidRPr="00F0117E">
        <w:rPr>
          <w:lang w:val="uk-UA"/>
        </w:rPr>
        <w:t>Винятки та обмеження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“...</w:t>
      </w:r>
    </w:p>
    <w:p w:rsidR="00E36F4C" w:rsidRPr="00F0117E" w:rsidRDefault="00E81B07" w:rsidP="008B2B31">
      <w:pPr>
        <w:pStyle w:val="ECHRParaQuote"/>
        <w:rPr>
          <w:lang w:val="uk-UA" w:bidi="en-US"/>
        </w:rPr>
      </w:pPr>
      <w:r w:rsidRPr="00F0117E">
        <w:rPr>
          <w:lang w:val="uk-UA"/>
        </w:rPr>
        <w:t>2.</w:t>
      </w:r>
      <w:r w:rsidR="00FA6D4F" w:rsidRPr="00F0117E">
        <w:rPr>
          <w:lang w:val="uk-UA" w:bidi="en-US"/>
        </w:rPr>
        <w:t xml:space="preserve"> </w:t>
      </w:r>
      <w:r w:rsidR="00893063" w:rsidRPr="00F0117E">
        <w:rPr>
          <w:lang w:val="uk-UA" w:bidi="en-US"/>
        </w:rPr>
        <w:t>Відхилення від положень статей 5, 6 та 8 цієї Конвенції дозволяється тоді, коли таке відхилення передбачене законодавством Сторони та є в демократичному суспільстві необхідним заходом, спрямованим на</w:t>
      </w:r>
      <w:r w:rsidRPr="00F0117E">
        <w:rPr>
          <w:lang w:val="uk-UA" w:bidi="en-US"/>
        </w:rPr>
        <w:t>:</w:t>
      </w:r>
    </w:p>
    <w:p w:rsidR="00E36F4C" w:rsidRPr="00F0117E" w:rsidRDefault="00E81B07" w:rsidP="008B2B31">
      <w:pPr>
        <w:pStyle w:val="ECHRParaQuote"/>
        <w:rPr>
          <w:lang w:val="uk-UA" w:bidi="en-US"/>
        </w:rPr>
      </w:pPr>
      <w:r w:rsidRPr="00F0117E">
        <w:rPr>
          <w:lang w:val="uk-UA" w:bidi="en-US"/>
        </w:rPr>
        <w:t>(a)</w:t>
      </w:r>
      <w:r w:rsidR="00893063" w:rsidRPr="00F0117E">
        <w:rPr>
          <w:lang w:val="uk-UA" w:bidi="en-US"/>
        </w:rPr>
        <w:t xml:space="preserve"> захист державної та громадської безпеки, фінансових інтересів </w:t>
      </w:r>
      <w:r w:rsidR="00FC34C7">
        <w:rPr>
          <w:lang w:val="uk-UA" w:bidi="en-US"/>
        </w:rPr>
        <w:t>д</w:t>
      </w:r>
      <w:r w:rsidR="00893063" w:rsidRPr="00F0117E">
        <w:rPr>
          <w:lang w:val="uk-UA" w:bidi="en-US"/>
        </w:rPr>
        <w:t>ержави або на боротьбу з кримінальними правопорушеннями</w:t>
      </w:r>
      <w:r w:rsidRPr="00F0117E">
        <w:rPr>
          <w:lang w:val="uk-UA" w:bidi="en-US"/>
        </w:rPr>
        <w:t>;</w:t>
      </w:r>
    </w:p>
    <w:p w:rsidR="00E81B07" w:rsidRPr="00F0117E" w:rsidRDefault="00E81B07" w:rsidP="008B2B31">
      <w:pPr>
        <w:pStyle w:val="ECHRParaQuote"/>
        <w:rPr>
          <w:lang w:val="uk-UA" w:bidi="en-US"/>
        </w:rPr>
      </w:pPr>
      <w:r w:rsidRPr="00F0117E">
        <w:rPr>
          <w:lang w:val="uk-UA" w:bidi="en-US"/>
        </w:rPr>
        <w:t>(b)</w:t>
      </w:r>
      <w:r w:rsidR="00893063" w:rsidRPr="00F0117E">
        <w:rPr>
          <w:lang w:val="uk-UA" w:bidi="en-US"/>
        </w:rPr>
        <w:t xml:space="preserve"> захист суб'єкта даних або прав і свобод інших людей</w:t>
      </w:r>
      <w:r w:rsidRPr="00F0117E">
        <w:rPr>
          <w:lang w:val="uk-UA" w:bidi="en-US"/>
        </w:rPr>
        <w:t>;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 w:bidi="en-US"/>
        </w:rPr>
        <w:t>...”</w:t>
      </w:r>
    </w:p>
    <w:p w:rsidR="00E36F4C" w:rsidRPr="00F0117E" w:rsidRDefault="00893063" w:rsidP="008B2B31">
      <w:pPr>
        <w:pStyle w:val="ECHRTitleCentre3"/>
        <w:rPr>
          <w:lang w:val="uk-UA"/>
        </w:rPr>
      </w:pPr>
      <w:r w:rsidRPr="00F0117E">
        <w:rPr>
          <w:lang w:val="uk-UA"/>
        </w:rPr>
        <w:lastRenderedPageBreak/>
        <w:t>Стаття</w:t>
      </w:r>
      <w:r w:rsidR="00E81B07" w:rsidRPr="00F0117E">
        <w:rPr>
          <w:lang w:val="uk-UA"/>
        </w:rPr>
        <w:t xml:space="preserve"> 10 – </w:t>
      </w:r>
      <w:r w:rsidRPr="00F0117E">
        <w:rPr>
          <w:lang w:val="uk-UA"/>
        </w:rPr>
        <w:t>Санкції та засоби правового захисту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</w:t>
      </w:r>
      <w:r w:rsidR="00893063" w:rsidRPr="00F0117E">
        <w:rPr>
          <w:lang w:val="uk-UA"/>
        </w:rPr>
        <w:t>Кожна Сторона зобов'язується встановити відповідні санкції та засоби правового захисту стосовно порушень положень внутрішнього права, що запроваджують основоположні принципи захисту персональних даних, визначені в цій главі</w:t>
      </w:r>
      <w:r w:rsidRPr="00F0117E">
        <w:rPr>
          <w:lang w:val="uk-UA"/>
        </w:rPr>
        <w:t>.”</w:t>
      </w:r>
    </w:p>
    <w:bookmarkStart w:id="22" w:name="CM_Rec2015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43</w:t>
      </w:r>
      <w:r w:rsidRPr="00F0117E">
        <w:rPr>
          <w:lang w:val="uk-UA"/>
        </w:rPr>
        <w:fldChar w:fldCharType="end"/>
      </w:r>
      <w:bookmarkEnd w:id="22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A510F4" w:rsidRPr="00F0117E">
        <w:rPr>
          <w:lang w:val="uk-UA"/>
        </w:rPr>
        <w:t>Рекомендація</w:t>
      </w:r>
      <w:r w:rsidR="00E81B07" w:rsidRPr="00F0117E">
        <w:rPr>
          <w:lang w:val="uk-UA"/>
        </w:rPr>
        <w:t xml:space="preserve"> CM/</w:t>
      </w:r>
      <w:proofErr w:type="spellStart"/>
      <w:r w:rsidR="00E81B07" w:rsidRPr="00F0117E">
        <w:rPr>
          <w:lang w:val="uk-UA"/>
        </w:rPr>
        <w:t>Rec</w:t>
      </w:r>
      <w:proofErr w:type="spellEnd"/>
      <w:r w:rsidR="00E81B07" w:rsidRPr="00F0117E">
        <w:rPr>
          <w:lang w:val="uk-UA"/>
        </w:rPr>
        <w:t xml:space="preserve">(2015)5 </w:t>
      </w:r>
      <w:r w:rsidR="00A510F4" w:rsidRPr="00F0117E">
        <w:rPr>
          <w:lang w:val="uk-UA"/>
        </w:rPr>
        <w:t>Комітету міністрів державам-учасникам</w:t>
      </w:r>
      <w:r w:rsidR="00E81B07" w:rsidRPr="00F0117E">
        <w:rPr>
          <w:lang w:val="uk-UA"/>
        </w:rPr>
        <w:t xml:space="preserve"> </w:t>
      </w:r>
      <w:r w:rsidR="00A510F4" w:rsidRPr="00F0117E">
        <w:rPr>
          <w:lang w:val="uk-UA"/>
        </w:rPr>
        <w:t>щодо обробки персональних даних у контексті працевлаштування</w:t>
      </w:r>
      <w:r w:rsidR="00E81B07" w:rsidRPr="00F0117E">
        <w:rPr>
          <w:lang w:val="uk-UA"/>
        </w:rPr>
        <w:t xml:space="preserve">, </w:t>
      </w:r>
      <w:r w:rsidR="00A510F4" w:rsidRPr="00F0117E">
        <w:rPr>
          <w:lang w:val="uk-UA"/>
        </w:rPr>
        <w:t>яка була прийнята 1 квітня</w:t>
      </w:r>
      <w:r w:rsidR="00E81B07" w:rsidRPr="00F0117E">
        <w:rPr>
          <w:lang w:val="uk-UA"/>
        </w:rPr>
        <w:t xml:space="preserve"> 2015</w:t>
      </w:r>
      <w:r w:rsidR="00A510F4" w:rsidRPr="00F0117E">
        <w:rPr>
          <w:lang w:val="uk-UA"/>
        </w:rPr>
        <w:t xml:space="preserve"> року</w:t>
      </w:r>
      <w:r w:rsidR="00E81B07" w:rsidRPr="00F0117E">
        <w:rPr>
          <w:lang w:val="uk-UA"/>
        </w:rPr>
        <w:t xml:space="preserve">, </w:t>
      </w:r>
      <w:r w:rsidR="00A510F4" w:rsidRPr="00F0117E">
        <w:rPr>
          <w:lang w:val="uk-UA"/>
        </w:rPr>
        <w:t>містить наступне</w:t>
      </w:r>
      <w:r w:rsidR="00E81B07" w:rsidRPr="00F0117E">
        <w:rPr>
          <w:lang w:val="uk-UA"/>
        </w:rPr>
        <w:t>:</w:t>
      </w:r>
    </w:p>
    <w:p w:rsidR="00E36F4C" w:rsidRPr="00F0117E" w:rsidRDefault="00E81B07" w:rsidP="008B2B31">
      <w:pPr>
        <w:pStyle w:val="ECHRParaQuote"/>
        <w:rPr>
          <w:b/>
          <w:lang w:val="uk-UA"/>
        </w:rPr>
      </w:pPr>
      <w:r w:rsidRPr="00F0117E">
        <w:rPr>
          <w:lang w:val="uk-UA"/>
        </w:rPr>
        <w:t>“</w:t>
      </w:r>
      <w:r w:rsidRPr="00F0117E">
        <w:rPr>
          <w:b/>
          <w:lang w:val="uk-UA"/>
        </w:rPr>
        <w:t>4.</w:t>
      </w:r>
      <w:r w:rsidR="00FA6D4F" w:rsidRPr="00F0117E">
        <w:rPr>
          <w:b/>
          <w:bCs/>
          <w:iCs/>
          <w:lang w:val="uk-UA"/>
        </w:rPr>
        <w:t xml:space="preserve"> </w:t>
      </w:r>
      <w:r w:rsidR="00A510F4" w:rsidRPr="00F0117E">
        <w:rPr>
          <w:b/>
          <w:lang w:val="uk-UA"/>
        </w:rPr>
        <w:t>Застосування принципів обробки даних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4.1.</w:t>
      </w:r>
      <w:r w:rsidR="00FA6D4F" w:rsidRPr="00F0117E">
        <w:rPr>
          <w:lang w:val="uk-UA"/>
        </w:rPr>
        <w:t xml:space="preserve"> </w:t>
      </w:r>
      <w:r w:rsidR="00A510F4" w:rsidRPr="00F0117E">
        <w:rPr>
          <w:lang w:val="uk-UA"/>
        </w:rPr>
        <w:t>Роботодавці повинні мінімізувати</w:t>
      </w:r>
      <w:r w:rsidRPr="00F0117E">
        <w:rPr>
          <w:lang w:val="uk-UA"/>
        </w:rPr>
        <w:t xml:space="preserve"> </w:t>
      </w:r>
      <w:r w:rsidR="00A510F4" w:rsidRPr="00F0117E">
        <w:rPr>
          <w:lang w:val="uk-UA"/>
        </w:rPr>
        <w:t>обробку персональних даних</w:t>
      </w:r>
      <w:r w:rsidRPr="00F0117E">
        <w:rPr>
          <w:lang w:val="uk-UA"/>
        </w:rPr>
        <w:t xml:space="preserve"> </w:t>
      </w:r>
      <w:r w:rsidR="00A510F4" w:rsidRPr="00F0117E">
        <w:rPr>
          <w:lang w:val="uk-UA"/>
        </w:rPr>
        <w:t>до даних, необхідних для переслідуваної мети</w:t>
      </w:r>
      <w:r w:rsidRPr="00F0117E">
        <w:rPr>
          <w:lang w:val="uk-UA"/>
        </w:rPr>
        <w:t xml:space="preserve"> </w:t>
      </w:r>
      <w:r w:rsidR="00A510F4" w:rsidRPr="00F0117E">
        <w:rPr>
          <w:lang w:val="uk-UA"/>
        </w:rPr>
        <w:t>в окремих справах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...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b/>
          <w:lang w:val="uk-UA"/>
        </w:rPr>
        <w:t>6.</w:t>
      </w:r>
      <w:r w:rsidR="00FA6D4F" w:rsidRPr="00F0117E">
        <w:rPr>
          <w:b/>
          <w:bCs/>
          <w:iCs/>
          <w:lang w:val="uk-UA"/>
        </w:rPr>
        <w:t xml:space="preserve"> </w:t>
      </w:r>
      <w:r w:rsidR="00A510F4" w:rsidRPr="00F0117E">
        <w:rPr>
          <w:b/>
          <w:lang w:val="uk-UA"/>
        </w:rPr>
        <w:t>Внутрішнє використання даних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6.1.</w:t>
      </w:r>
      <w:r w:rsidR="00FA6D4F" w:rsidRPr="00F0117E">
        <w:rPr>
          <w:lang w:val="uk-UA"/>
        </w:rPr>
        <w:t xml:space="preserve"> </w:t>
      </w:r>
      <w:r w:rsidR="00A510F4" w:rsidRPr="00F0117E">
        <w:rPr>
          <w:lang w:val="uk-UA"/>
        </w:rPr>
        <w:t>Персональні дані, які збираються для цілей працевлаштування,</w:t>
      </w:r>
      <w:r w:rsidRPr="00F0117E">
        <w:rPr>
          <w:lang w:val="uk-UA"/>
        </w:rPr>
        <w:t xml:space="preserve"> </w:t>
      </w:r>
      <w:r w:rsidR="00A510F4" w:rsidRPr="00F0117E">
        <w:rPr>
          <w:lang w:val="uk-UA"/>
        </w:rPr>
        <w:t>повинні оброблятися роботодавцями лише для таких цілей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6.2.</w:t>
      </w:r>
      <w:r w:rsidR="00FA6D4F" w:rsidRPr="00F0117E">
        <w:rPr>
          <w:lang w:val="uk-UA"/>
        </w:rPr>
        <w:t xml:space="preserve"> </w:t>
      </w:r>
      <w:r w:rsidR="00A510F4" w:rsidRPr="00F0117E">
        <w:rPr>
          <w:lang w:val="uk-UA"/>
        </w:rPr>
        <w:t>Роботодавці повинні приймати політику, правила та/або інші інструменти щодо обробки даних для внутрішнього використання персональних даних</w:t>
      </w:r>
      <w:r w:rsidRPr="00F0117E">
        <w:rPr>
          <w:lang w:val="uk-UA"/>
        </w:rPr>
        <w:t xml:space="preserve"> </w:t>
      </w:r>
      <w:r w:rsidR="00A510F4" w:rsidRPr="00F0117E">
        <w:rPr>
          <w:lang w:val="uk-UA"/>
        </w:rPr>
        <w:t>у відповідності до принципів даної рекомендації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...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b/>
          <w:lang w:val="uk-UA"/>
        </w:rPr>
        <w:t>10.</w:t>
      </w:r>
      <w:r w:rsidR="00FA6D4F" w:rsidRPr="00F0117E">
        <w:rPr>
          <w:b/>
          <w:bCs/>
          <w:iCs/>
          <w:lang w:val="uk-UA"/>
        </w:rPr>
        <w:t xml:space="preserve"> </w:t>
      </w:r>
      <w:r w:rsidR="00E57091" w:rsidRPr="00F0117E">
        <w:rPr>
          <w:b/>
          <w:lang w:val="uk-UA"/>
        </w:rPr>
        <w:t>Транспарентність</w:t>
      </w:r>
      <w:r w:rsidR="00FA6D4F" w:rsidRPr="00F0117E">
        <w:rPr>
          <w:b/>
          <w:lang w:val="uk-UA"/>
        </w:rPr>
        <w:t xml:space="preserve"> </w:t>
      </w:r>
      <w:r w:rsidR="00E57091" w:rsidRPr="00F0117E">
        <w:rPr>
          <w:b/>
          <w:lang w:val="uk-UA"/>
        </w:rPr>
        <w:t>обробки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10.1.</w:t>
      </w:r>
      <w:r w:rsidR="00FA6D4F" w:rsidRPr="00F0117E">
        <w:rPr>
          <w:lang w:val="uk-UA"/>
        </w:rPr>
        <w:t xml:space="preserve"> </w:t>
      </w:r>
      <w:r w:rsidR="00E57091" w:rsidRPr="00F0117E">
        <w:rPr>
          <w:lang w:val="uk-UA"/>
        </w:rPr>
        <w:t>Інформація стосовно персональних даних,</w:t>
      </w:r>
      <w:r w:rsidRPr="00F0117E">
        <w:rPr>
          <w:lang w:val="uk-UA"/>
        </w:rPr>
        <w:t xml:space="preserve"> </w:t>
      </w:r>
      <w:r w:rsidR="00E57091" w:rsidRPr="00F0117E">
        <w:rPr>
          <w:lang w:val="uk-UA"/>
        </w:rPr>
        <w:t>якими володіють роботодавці, повинна бути доступною</w:t>
      </w:r>
      <w:r w:rsidRPr="00F0117E">
        <w:rPr>
          <w:lang w:val="uk-UA"/>
        </w:rPr>
        <w:t xml:space="preserve"> </w:t>
      </w:r>
      <w:r w:rsidR="00E57091" w:rsidRPr="00F0117E">
        <w:rPr>
          <w:lang w:val="uk-UA"/>
        </w:rPr>
        <w:t>або безпосередньо відповідному працівнику,</w:t>
      </w:r>
      <w:r w:rsidRPr="00F0117E">
        <w:rPr>
          <w:lang w:val="uk-UA"/>
        </w:rPr>
        <w:t xml:space="preserve"> </w:t>
      </w:r>
      <w:r w:rsidR="00E57091" w:rsidRPr="00F0117E">
        <w:rPr>
          <w:lang w:val="uk-UA"/>
        </w:rPr>
        <w:t>або за допомогою його представників</w:t>
      </w:r>
      <w:r w:rsidRPr="00F0117E">
        <w:rPr>
          <w:lang w:val="uk-UA"/>
        </w:rPr>
        <w:t xml:space="preserve">, </w:t>
      </w:r>
      <w:r w:rsidR="00E57091" w:rsidRPr="00F0117E">
        <w:rPr>
          <w:lang w:val="uk-UA"/>
        </w:rPr>
        <w:t>або доведена до уваги працівника за допомогою інших доречних засобів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10.2.</w:t>
      </w:r>
      <w:r w:rsidR="00FA6D4F" w:rsidRPr="00F0117E">
        <w:rPr>
          <w:lang w:val="uk-UA"/>
        </w:rPr>
        <w:t xml:space="preserve"> </w:t>
      </w:r>
      <w:r w:rsidR="00E57091" w:rsidRPr="00F0117E">
        <w:rPr>
          <w:lang w:val="uk-UA"/>
        </w:rPr>
        <w:t>Роботодавці повинні надавати працівникам наступну інформацію</w:t>
      </w:r>
      <w:r w:rsidRPr="00F0117E">
        <w:rPr>
          <w:lang w:val="uk-UA"/>
        </w:rPr>
        <w:t>: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–</w:t>
      </w:r>
      <w:r w:rsidR="00FA6D4F" w:rsidRPr="00F0117E">
        <w:rPr>
          <w:lang w:val="uk-UA"/>
        </w:rPr>
        <w:t xml:space="preserve"> </w:t>
      </w:r>
      <w:r w:rsidR="006C3418" w:rsidRPr="00F0117E">
        <w:rPr>
          <w:lang w:val="uk-UA"/>
        </w:rPr>
        <w:t>к</w:t>
      </w:r>
      <w:r w:rsidR="00E57091" w:rsidRPr="00F0117E">
        <w:rPr>
          <w:lang w:val="uk-UA"/>
        </w:rPr>
        <w:t>атегорії персональних даних, які обробляються,</w:t>
      </w:r>
      <w:r w:rsidRPr="00F0117E">
        <w:rPr>
          <w:lang w:val="uk-UA"/>
        </w:rPr>
        <w:t xml:space="preserve"> </w:t>
      </w:r>
      <w:r w:rsidR="00E57091" w:rsidRPr="00F0117E">
        <w:rPr>
          <w:lang w:val="uk-UA"/>
        </w:rPr>
        <w:t>та опис цілей обробки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–</w:t>
      </w:r>
      <w:r w:rsidR="00FA6D4F" w:rsidRPr="00F0117E">
        <w:rPr>
          <w:lang w:val="uk-UA"/>
        </w:rPr>
        <w:t xml:space="preserve"> </w:t>
      </w:r>
      <w:r w:rsidR="00E57091" w:rsidRPr="00F0117E">
        <w:rPr>
          <w:lang w:val="uk-UA"/>
        </w:rPr>
        <w:t>одержувачі або категорії одержувачів персональних даних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–</w:t>
      </w:r>
      <w:r w:rsidR="00FA6D4F" w:rsidRPr="00F0117E">
        <w:rPr>
          <w:lang w:val="uk-UA"/>
        </w:rPr>
        <w:t xml:space="preserve"> </w:t>
      </w:r>
      <w:r w:rsidR="00E57091" w:rsidRPr="00F0117E">
        <w:rPr>
          <w:lang w:val="uk-UA"/>
        </w:rPr>
        <w:t>доступні працівникам засоби користування правами, наведеними у пункті</w:t>
      </w:r>
      <w:r w:rsidRPr="00F0117E">
        <w:rPr>
          <w:lang w:val="uk-UA"/>
        </w:rPr>
        <w:t xml:space="preserve"> 11 </w:t>
      </w:r>
      <w:r w:rsidR="00E57091" w:rsidRPr="00F0117E">
        <w:rPr>
          <w:lang w:val="uk-UA"/>
        </w:rPr>
        <w:t>цієї рекомендації</w:t>
      </w:r>
      <w:r w:rsidRPr="00F0117E">
        <w:rPr>
          <w:lang w:val="uk-UA"/>
        </w:rPr>
        <w:t xml:space="preserve">, </w:t>
      </w:r>
      <w:r w:rsidR="00E57091" w:rsidRPr="00F0117E">
        <w:rPr>
          <w:lang w:val="uk-UA"/>
        </w:rPr>
        <w:t xml:space="preserve">без шкоди для більш </w:t>
      </w:r>
      <w:r w:rsidR="00C22283" w:rsidRPr="00F0117E">
        <w:rPr>
          <w:lang w:val="uk-UA"/>
        </w:rPr>
        <w:t>переважних</w:t>
      </w:r>
      <w:r w:rsidR="00E57091" w:rsidRPr="00F0117E">
        <w:rPr>
          <w:lang w:val="uk-UA"/>
        </w:rPr>
        <w:t xml:space="preserve"> </w:t>
      </w:r>
      <w:r w:rsidR="00C22283" w:rsidRPr="00F0117E">
        <w:rPr>
          <w:lang w:val="uk-UA"/>
        </w:rPr>
        <w:t>засобів</w:t>
      </w:r>
      <w:r w:rsidR="00E57091" w:rsidRPr="00F0117E">
        <w:rPr>
          <w:lang w:val="uk-UA"/>
        </w:rPr>
        <w:t>,</w:t>
      </w:r>
      <w:r w:rsidRPr="00F0117E">
        <w:rPr>
          <w:lang w:val="uk-UA"/>
        </w:rPr>
        <w:t xml:space="preserve"> </w:t>
      </w:r>
      <w:r w:rsidR="00E57091" w:rsidRPr="00F0117E">
        <w:rPr>
          <w:lang w:val="uk-UA"/>
        </w:rPr>
        <w:t>гарантованих національним законодавством або їх правовою системою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–</w:t>
      </w:r>
      <w:r w:rsidR="00FA6D4F" w:rsidRPr="00F0117E">
        <w:rPr>
          <w:lang w:val="uk-UA"/>
        </w:rPr>
        <w:t xml:space="preserve"> </w:t>
      </w:r>
      <w:r w:rsidR="00E57091" w:rsidRPr="00F0117E">
        <w:rPr>
          <w:lang w:val="uk-UA"/>
        </w:rPr>
        <w:t>будь-яку іншу інформацію, необхідну для забезпечення</w:t>
      </w:r>
      <w:r w:rsidRPr="00F0117E">
        <w:rPr>
          <w:lang w:val="uk-UA"/>
        </w:rPr>
        <w:t xml:space="preserve"> </w:t>
      </w:r>
      <w:r w:rsidR="00580213" w:rsidRPr="00F0117E">
        <w:rPr>
          <w:lang w:val="uk-UA"/>
        </w:rPr>
        <w:t>чесного</w:t>
      </w:r>
      <w:r w:rsidR="00E57091" w:rsidRPr="00F0117E">
        <w:rPr>
          <w:lang w:val="uk-UA"/>
        </w:rPr>
        <w:t xml:space="preserve"> та законно</w:t>
      </w:r>
      <w:r w:rsidR="00580213" w:rsidRPr="00F0117E">
        <w:rPr>
          <w:lang w:val="uk-UA"/>
        </w:rPr>
        <w:t>го</w:t>
      </w:r>
      <w:r w:rsidR="00E57091" w:rsidRPr="00F0117E">
        <w:rPr>
          <w:lang w:val="uk-UA"/>
        </w:rPr>
        <w:t xml:space="preserve"> </w:t>
      </w:r>
      <w:r w:rsidR="00580213" w:rsidRPr="00F0117E">
        <w:rPr>
          <w:lang w:val="uk-UA"/>
        </w:rPr>
        <w:t>опрацювання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10.3.</w:t>
      </w:r>
      <w:r w:rsidR="00FA6D4F" w:rsidRPr="00F0117E">
        <w:rPr>
          <w:lang w:val="uk-UA"/>
        </w:rPr>
        <w:t xml:space="preserve"> </w:t>
      </w:r>
      <w:r w:rsidR="00E57091" w:rsidRPr="00F0117E">
        <w:rPr>
          <w:lang w:val="uk-UA"/>
        </w:rPr>
        <w:t>Необхідно надавати особливо чіткий та повний опис категорій</w:t>
      </w:r>
      <w:r w:rsidRPr="00F0117E">
        <w:rPr>
          <w:lang w:val="uk-UA"/>
        </w:rPr>
        <w:t xml:space="preserve"> </w:t>
      </w:r>
      <w:r w:rsidR="00E57091" w:rsidRPr="00F0117E">
        <w:rPr>
          <w:lang w:val="uk-UA"/>
        </w:rPr>
        <w:t>персональних даних, які будуть збиратися за допомогою ІКТ</w:t>
      </w:r>
      <w:r w:rsidRPr="00F0117E">
        <w:rPr>
          <w:lang w:val="uk-UA"/>
        </w:rPr>
        <w:t xml:space="preserve">, </w:t>
      </w:r>
      <w:r w:rsidR="005C7B8C" w:rsidRPr="00F0117E">
        <w:rPr>
          <w:lang w:val="uk-UA"/>
        </w:rPr>
        <w:t>у тому числі відео</w:t>
      </w:r>
      <w:r w:rsidR="00E57091" w:rsidRPr="00F0117E">
        <w:rPr>
          <w:lang w:val="uk-UA"/>
        </w:rPr>
        <w:t>спостереження,</w:t>
      </w:r>
      <w:r w:rsidRPr="00F0117E">
        <w:rPr>
          <w:lang w:val="uk-UA"/>
        </w:rPr>
        <w:t xml:space="preserve"> </w:t>
      </w:r>
      <w:r w:rsidR="00E57091" w:rsidRPr="00F0117E">
        <w:rPr>
          <w:lang w:val="uk-UA"/>
        </w:rPr>
        <w:t>та їх можливого використання</w:t>
      </w:r>
      <w:r w:rsidRPr="00F0117E">
        <w:rPr>
          <w:lang w:val="uk-UA"/>
        </w:rPr>
        <w:t xml:space="preserve">. </w:t>
      </w:r>
      <w:r w:rsidR="00E57091" w:rsidRPr="00F0117E">
        <w:rPr>
          <w:lang w:val="uk-UA"/>
        </w:rPr>
        <w:t>Цей принцип також застосовується до конкретних форм</w:t>
      </w:r>
      <w:r w:rsidRPr="00F0117E">
        <w:rPr>
          <w:lang w:val="uk-UA"/>
        </w:rPr>
        <w:t xml:space="preserve"> </w:t>
      </w:r>
      <w:r w:rsidR="00E57091" w:rsidRPr="00F0117E">
        <w:rPr>
          <w:lang w:val="uk-UA"/>
        </w:rPr>
        <w:t>обробки, передбачених у частині</w:t>
      </w:r>
      <w:r w:rsidRPr="00F0117E">
        <w:rPr>
          <w:lang w:val="uk-UA"/>
        </w:rPr>
        <w:t xml:space="preserve"> II </w:t>
      </w:r>
      <w:r w:rsidR="00E57091" w:rsidRPr="00F0117E">
        <w:rPr>
          <w:lang w:val="uk-UA"/>
        </w:rPr>
        <w:t>додатку до даної рекомендації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10.4.</w:t>
      </w:r>
      <w:r w:rsidR="00FA6D4F" w:rsidRPr="00F0117E">
        <w:rPr>
          <w:lang w:val="uk-UA"/>
        </w:rPr>
        <w:t xml:space="preserve"> </w:t>
      </w:r>
      <w:r w:rsidR="00E57091" w:rsidRPr="00F0117E">
        <w:rPr>
          <w:lang w:val="uk-UA"/>
        </w:rPr>
        <w:t>Інформація повинна надаватися у доступному форматі</w:t>
      </w:r>
      <w:r w:rsidRPr="00F0117E">
        <w:rPr>
          <w:lang w:val="uk-UA"/>
        </w:rPr>
        <w:t xml:space="preserve"> </w:t>
      </w:r>
      <w:r w:rsidR="00E57091" w:rsidRPr="00F0117E">
        <w:rPr>
          <w:lang w:val="uk-UA"/>
        </w:rPr>
        <w:t>та регулярно оновлятися</w:t>
      </w:r>
      <w:r w:rsidRPr="00F0117E">
        <w:rPr>
          <w:lang w:val="uk-UA"/>
        </w:rPr>
        <w:t xml:space="preserve">. </w:t>
      </w:r>
      <w:r w:rsidR="00E57091" w:rsidRPr="00F0117E">
        <w:rPr>
          <w:lang w:val="uk-UA"/>
        </w:rPr>
        <w:t>У будь-якому випадку така інформація повинна надаватися</w:t>
      </w:r>
      <w:r w:rsidRPr="00F0117E">
        <w:rPr>
          <w:lang w:val="uk-UA"/>
        </w:rPr>
        <w:t xml:space="preserve"> </w:t>
      </w:r>
      <w:r w:rsidR="00E57091" w:rsidRPr="00F0117E">
        <w:rPr>
          <w:lang w:val="uk-UA"/>
        </w:rPr>
        <w:t>до того як працівник здійснить відповідну дію</w:t>
      </w:r>
      <w:r w:rsidRPr="00F0117E">
        <w:rPr>
          <w:lang w:val="uk-UA"/>
        </w:rPr>
        <w:t xml:space="preserve">, </w:t>
      </w:r>
      <w:r w:rsidR="00E57091" w:rsidRPr="00F0117E">
        <w:rPr>
          <w:lang w:val="uk-UA"/>
        </w:rPr>
        <w:t>і бути доступною в інформаційних</w:t>
      </w:r>
      <w:r w:rsidR="00FA6D4F" w:rsidRPr="00F0117E">
        <w:rPr>
          <w:lang w:val="uk-UA"/>
        </w:rPr>
        <w:t xml:space="preserve"> </w:t>
      </w:r>
      <w:r w:rsidR="00E57091" w:rsidRPr="00F0117E">
        <w:rPr>
          <w:lang w:val="uk-UA"/>
        </w:rPr>
        <w:t>системах,</w:t>
      </w:r>
      <w:r w:rsidRPr="00F0117E">
        <w:rPr>
          <w:lang w:val="uk-UA"/>
        </w:rPr>
        <w:t xml:space="preserve"> </w:t>
      </w:r>
      <w:r w:rsidR="00E57091" w:rsidRPr="00F0117E">
        <w:rPr>
          <w:lang w:val="uk-UA"/>
        </w:rPr>
        <w:t>які зазвичай використовує працівник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lastRenderedPageBreak/>
        <w:t>...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b/>
          <w:lang w:val="uk-UA"/>
        </w:rPr>
        <w:t>14.</w:t>
      </w:r>
      <w:r w:rsidR="00FA6D4F" w:rsidRPr="00F0117E">
        <w:rPr>
          <w:b/>
          <w:bCs/>
          <w:iCs/>
          <w:lang w:val="uk-UA"/>
        </w:rPr>
        <w:t xml:space="preserve"> </w:t>
      </w:r>
      <w:r w:rsidR="00F5197B" w:rsidRPr="00F0117E">
        <w:rPr>
          <w:b/>
          <w:bCs/>
          <w:iCs/>
          <w:lang w:val="uk-UA"/>
        </w:rPr>
        <w:t>Використання інтернету та електронного зв’язку на робочому місці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14.1.</w:t>
      </w:r>
      <w:r w:rsidR="00FA6D4F" w:rsidRPr="00F0117E">
        <w:rPr>
          <w:lang w:val="uk-UA"/>
        </w:rPr>
        <w:t xml:space="preserve"> </w:t>
      </w:r>
      <w:r w:rsidR="00F5197B" w:rsidRPr="00F0117E">
        <w:rPr>
          <w:lang w:val="uk-UA"/>
        </w:rPr>
        <w:t>Роботодавці повинні уникати невиправданих</w:t>
      </w:r>
      <w:r w:rsidRPr="00F0117E">
        <w:rPr>
          <w:lang w:val="uk-UA"/>
        </w:rPr>
        <w:t xml:space="preserve"> </w:t>
      </w:r>
      <w:r w:rsidR="00F5197B" w:rsidRPr="00F0117E">
        <w:rPr>
          <w:lang w:val="uk-UA"/>
        </w:rPr>
        <w:t>та необґрунтованих втручань у право працівників</w:t>
      </w:r>
      <w:r w:rsidRPr="00F0117E">
        <w:rPr>
          <w:lang w:val="uk-UA"/>
        </w:rPr>
        <w:t xml:space="preserve"> </w:t>
      </w:r>
      <w:r w:rsidR="00F5197B" w:rsidRPr="00F0117E">
        <w:rPr>
          <w:lang w:val="uk-UA"/>
        </w:rPr>
        <w:t>на недоторканність приватного життя</w:t>
      </w:r>
      <w:r w:rsidRPr="00F0117E">
        <w:rPr>
          <w:lang w:val="uk-UA"/>
        </w:rPr>
        <w:t xml:space="preserve">. </w:t>
      </w:r>
      <w:r w:rsidR="00F5197B" w:rsidRPr="00F0117E">
        <w:rPr>
          <w:lang w:val="uk-UA"/>
        </w:rPr>
        <w:t>Цей принцип поширюється на усі технічні прилади</w:t>
      </w:r>
      <w:r w:rsidRPr="00F0117E">
        <w:rPr>
          <w:lang w:val="uk-UA"/>
        </w:rPr>
        <w:t xml:space="preserve"> </w:t>
      </w:r>
      <w:r w:rsidR="00F5197B" w:rsidRPr="00F0117E">
        <w:rPr>
          <w:lang w:val="uk-UA"/>
        </w:rPr>
        <w:t>та ІКТ, якими користується працівник</w:t>
      </w:r>
      <w:r w:rsidRPr="00F0117E">
        <w:rPr>
          <w:lang w:val="uk-UA"/>
        </w:rPr>
        <w:t xml:space="preserve">. </w:t>
      </w:r>
      <w:r w:rsidR="00F5197B" w:rsidRPr="00F0117E">
        <w:rPr>
          <w:lang w:val="uk-UA"/>
        </w:rPr>
        <w:t>Відповідні особи повинні бути належним чином та регулярно проінформовані</w:t>
      </w:r>
      <w:r w:rsidRPr="00F0117E">
        <w:rPr>
          <w:lang w:val="uk-UA"/>
        </w:rPr>
        <w:t xml:space="preserve"> </w:t>
      </w:r>
      <w:r w:rsidR="00F5197B" w:rsidRPr="00F0117E">
        <w:rPr>
          <w:lang w:val="uk-UA"/>
        </w:rPr>
        <w:t>про застосування чіткої політики приватності</w:t>
      </w:r>
      <w:r w:rsidRPr="00F0117E">
        <w:rPr>
          <w:lang w:val="uk-UA"/>
        </w:rPr>
        <w:t xml:space="preserve">, </w:t>
      </w:r>
      <w:r w:rsidR="00F5197B" w:rsidRPr="00F0117E">
        <w:rPr>
          <w:lang w:val="uk-UA"/>
        </w:rPr>
        <w:t>відповідно до принципу</w:t>
      </w:r>
      <w:r w:rsidRPr="00F0117E">
        <w:rPr>
          <w:lang w:val="uk-UA"/>
        </w:rPr>
        <w:t xml:space="preserve"> 10 </w:t>
      </w:r>
      <w:r w:rsidR="00F5197B" w:rsidRPr="00F0117E">
        <w:rPr>
          <w:lang w:val="uk-UA"/>
        </w:rPr>
        <w:t>даної рекомендації</w:t>
      </w:r>
      <w:r w:rsidRPr="00F0117E">
        <w:rPr>
          <w:lang w:val="uk-UA"/>
        </w:rPr>
        <w:t xml:space="preserve">. </w:t>
      </w:r>
      <w:r w:rsidR="00F5197B" w:rsidRPr="00F0117E">
        <w:rPr>
          <w:lang w:val="uk-UA"/>
        </w:rPr>
        <w:t>Інформацію, яка надається, необхідно зберігати в актуальному стані,</w:t>
      </w:r>
      <w:r w:rsidRPr="00F0117E">
        <w:rPr>
          <w:lang w:val="uk-UA"/>
        </w:rPr>
        <w:t xml:space="preserve"> </w:t>
      </w:r>
      <w:r w:rsidR="00F5197B" w:rsidRPr="00F0117E">
        <w:rPr>
          <w:lang w:val="uk-UA"/>
        </w:rPr>
        <w:t>і вона пови</w:t>
      </w:r>
      <w:r w:rsidR="005C7B8C" w:rsidRPr="00F0117E">
        <w:rPr>
          <w:lang w:val="uk-UA"/>
        </w:rPr>
        <w:t>нна включати ціль обробки або з</w:t>
      </w:r>
      <w:r w:rsidR="00F5197B" w:rsidRPr="00F0117E">
        <w:rPr>
          <w:lang w:val="uk-UA"/>
        </w:rPr>
        <w:t>берігання даних про трафік</w:t>
      </w:r>
      <w:r w:rsidRPr="00F0117E">
        <w:rPr>
          <w:lang w:val="uk-UA"/>
        </w:rPr>
        <w:t xml:space="preserve"> </w:t>
      </w:r>
      <w:r w:rsidR="00F5197B" w:rsidRPr="00F0117E">
        <w:rPr>
          <w:lang w:val="uk-UA"/>
        </w:rPr>
        <w:t>та архіваці</w:t>
      </w:r>
      <w:r w:rsidR="005C7B8C" w:rsidRPr="00F0117E">
        <w:rPr>
          <w:lang w:val="uk-UA"/>
        </w:rPr>
        <w:t>ю</w:t>
      </w:r>
      <w:r w:rsidR="00F5197B" w:rsidRPr="00F0117E">
        <w:rPr>
          <w:lang w:val="uk-UA"/>
        </w:rPr>
        <w:t xml:space="preserve"> професійних електронних спілкувань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14.2.</w:t>
      </w:r>
      <w:r w:rsidR="00FA6D4F" w:rsidRPr="00F0117E">
        <w:rPr>
          <w:lang w:val="uk-UA"/>
        </w:rPr>
        <w:t xml:space="preserve"> </w:t>
      </w:r>
      <w:r w:rsidR="004D3CD4" w:rsidRPr="00F0117E">
        <w:rPr>
          <w:lang w:val="uk-UA"/>
        </w:rPr>
        <w:t>Зокрема, у випадку обробки персональних даних,</w:t>
      </w:r>
      <w:r w:rsidRPr="00F0117E">
        <w:rPr>
          <w:lang w:val="uk-UA"/>
        </w:rPr>
        <w:t xml:space="preserve"> </w:t>
      </w:r>
      <w:r w:rsidR="004D3CD4" w:rsidRPr="00F0117E">
        <w:rPr>
          <w:lang w:val="uk-UA"/>
        </w:rPr>
        <w:t xml:space="preserve">які стосуються сторінок в </w:t>
      </w:r>
      <w:proofErr w:type="spellStart"/>
      <w:r w:rsidR="004D3CD4" w:rsidRPr="00F0117E">
        <w:rPr>
          <w:lang w:val="uk-UA"/>
        </w:rPr>
        <w:t>інтернеті</w:t>
      </w:r>
      <w:proofErr w:type="spellEnd"/>
      <w:r w:rsidR="004D3CD4" w:rsidRPr="00F0117E">
        <w:rPr>
          <w:lang w:val="uk-UA"/>
        </w:rPr>
        <w:t xml:space="preserve"> або </w:t>
      </w:r>
      <w:proofErr w:type="spellStart"/>
      <w:r w:rsidR="004D3CD4" w:rsidRPr="00F0117E">
        <w:rPr>
          <w:lang w:val="uk-UA"/>
        </w:rPr>
        <w:t>інтранеті</w:t>
      </w:r>
      <w:proofErr w:type="spellEnd"/>
      <w:r w:rsidR="004D3CD4" w:rsidRPr="00F0117E">
        <w:rPr>
          <w:lang w:val="uk-UA"/>
        </w:rPr>
        <w:t>,</w:t>
      </w:r>
      <w:r w:rsidRPr="00F0117E">
        <w:rPr>
          <w:lang w:val="uk-UA"/>
        </w:rPr>
        <w:t xml:space="preserve"> </w:t>
      </w:r>
      <w:r w:rsidR="004D3CD4" w:rsidRPr="00F0117E">
        <w:rPr>
          <w:lang w:val="uk-UA"/>
        </w:rPr>
        <w:t>відвіданих працівником</w:t>
      </w:r>
      <w:r w:rsidRPr="00F0117E">
        <w:rPr>
          <w:lang w:val="uk-UA"/>
        </w:rPr>
        <w:t xml:space="preserve">, </w:t>
      </w:r>
      <w:r w:rsidR="004D3CD4" w:rsidRPr="00F0117E">
        <w:rPr>
          <w:lang w:val="uk-UA"/>
        </w:rPr>
        <w:t>слід надавати перевагу вживанню запобіжних заходів</w:t>
      </w:r>
      <w:r w:rsidRPr="00F0117E">
        <w:rPr>
          <w:lang w:val="uk-UA"/>
        </w:rPr>
        <w:t xml:space="preserve">, </w:t>
      </w:r>
      <w:r w:rsidR="004D3CD4" w:rsidRPr="00F0117E">
        <w:rPr>
          <w:lang w:val="uk-UA"/>
        </w:rPr>
        <w:t>таких, як використання фільтрів, які запобігають конкретним операціям</w:t>
      </w:r>
      <w:r w:rsidRPr="00F0117E">
        <w:rPr>
          <w:lang w:val="uk-UA"/>
        </w:rPr>
        <w:t xml:space="preserve">, </w:t>
      </w:r>
      <w:r w:rsidR="004D3CD4" w:rsidRPr="00F0117E">
        <w:rPr>
          <w:lang w:val="uk-UA"/>
        </w:rPr>
        <w:t>і оцінці можливого моніторингу</w:t>
      </w:r>
      <w:r w:rsidRPr="00F0117E">
        <w:rPr>
          <w:lang w:val="uk-UA"/>
        </w:rPr>
        <w:t xml:space="preserve"> </w:t>
      </w:r>
      <w:r w:rsidR="004D3CD4" w:rsidRPr="00F0117E">
        <w:rPr>
          <w:lang w:val="uk-UA"/>
        </w:rPr>
        <w:t>персональних даних</w:t>
      </w:r>
      <w:r w:rsidRPr="00F0117E">
        <w:rPr>
          <w:lang w:val="uk-UA"/>
        </w:rPr>
        <w:t xml:space="preserve">, </w:t>
      </w:r>
      <w:r w:rsidR="004D3CD4" w:rsidRPr="00F0117E">
        <w:rPr>
          <w:lang w:val="uk-UA"/>
        </w:rPr>
        <w:t>надаючи перевагу не-індивідуальним випадковим перевіркам</w:t>
      </w:r>
      <w:r w:rsidRPr="00F0117E">
        <w:rPr>
          <w:lang w:val="uk-UA"/>
        </w:rPr>
        <w:t xml:space="preserve"> </w:t>
      </w:r>
      <w:r w:rsidR="004D3CD4" w:rsidRPr="00F0117E">
        <w:rPr>
          <w:lang w:val="uk-UA"/>
        </w:rPr>
        <w:t>анонімних або якимось чином агрегованих даних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14.3.</w:t>
      </w:r>
      <w:r w:rsidR="00FA6D4F" w:rsidRPr="00F0117E">
        <w:rPr>
          <w:lang w:val="uk-UA"/>
        </w:rPr>
        <w:t xml:space="preserve"> </w:t>
      </w:r>
      <w:r w:rsidR="00195269" w:rsidRPr="00F0117E">
        <w:rPr>
          <w:lang w:val="uk-UA"/>
        </w:rPr>
        <w:t>Доступ роботодавців до професійного електронного спілкування їх працівників,</w:t>
      </w:r>
      <w:r w:rsidRPr="00F0117E">
        <w:rPr>
          <w:lang w:val="uk-UA"/>
        </w:rPr>
        <w:t xml:space="preserve"> </w:t>
      </w:r>
      <w:r w:rsidR="00195269" w:rsidRPr="00F0117E">
        <w:rPr>
          <w:lang w:val="uk-UA"/>
        </w:rPr>
        <w:t>які були проінформовані заздалегідь про існування</w:t>
      </w:r>
      <w:r w:rsidRPr="00F0117E">
        <w:rPr>
          <w:lang w:val="uk-UA"/>
        </w:rPr>
        <w:t xml:space="preserve"> </w:t>
      </w:r>
      <w:r w:rsidR="00195269" w:rsidRPr="00F0117E">
        <w:rPr>
          <w:lang w:val="uk-UA"/>
        </w:rPr>
        <w:t>такої можливості, може відбуватися лише</w:t>
      </w:r>
      <w:r w:rsidRPr="00F0117E">
        <w:rPr>
          <w:lang w:val="uk-UA"/>
        </w:rPr>
        <w:t xml:space="preserve">, </w:t>
      </w:r>
      <w:r w:rsidR="00195269" w:rsidRPr="00F0117E">
        <w:rPr>
          <w:lang w:val="uk-UA"/>
        </w:rPr>
        <w:t>якщо це необхідно, на підставах безпеки або інших законних підставах</w:t>
      </w:r>
      <w:r w:rsidRPr="00F0117E">
        <w:rPr>
          <w:lang w:val="uk-UA"/>
        </w:rPr>
        <w:t xml:space="preserve">. </w:t>
      </w:r>
      <w:r w:rsidR="00195269" w:rsidRPr="00F0117E">
        <w:rPr>
          <w:lang w:val="uk-UA"/>
        </w:rPr>
        <w:t>У випадку відсутніх працівників</w:t>
      </w:r>
      <w:r w:rsidRPr="00F0117E">
        <w:rPr>
          <w:lang w:val="uk-UA"/>
        </w:rPr>
        <w:t xml:space="preserve"> </w:t>
      </w:r>
      <w:r w:rsidR="00195269" w:rsidRPr="00F0117E">
        <w:rPr>
          <w:lang w:val="uk-UA"/>
        </w:rPr>
        <w:t>роботодавець повинен вжити необхідні заходи</w:t>
      </w:r>
      <w:r w:rsidRPr="00F0117E">
        <w:rPr>
          <w:lang w:val="uk-UA"/>
        </w:rPr>
        <w:t xml:space="preserve"> </w:t>
      </w:r>
      <w:r w:rsidR="00195269" w:rsidRPr="00F0117E">
        <w:rPr>
          <w:lang w:val="uk-UA"/>
        </w:rPr>
        <w:t>та передбачити доречні процедури,</w:t>
      </w:r>
      <w:r w:rsidRPr="00F0117E">
        <w:rPr>
          <w:lang w:val="uk-UA"/>
        </w:rPr>
        <w:t xml:space="preserve"> </w:t>
      </w:r>
      <w:r w:rsidR="00195269" w:rsidRPr="00F0117E">
        <w:rPr>
          <w:lang w:val="uk-UA"/>
        </w:rPr>
        <w:t>спрямовані на забезпечення доступу до професійних електронних видів спілкування,</w:t>
      </w:r>
      <w:r w:rsidRPr="00F0117E">
        <w:rPr>
          <w:lang w:val="uk-UA"/>
        </w:rPr>
        <w:t xml:space="preserve"> </w:t>
      </w:r>
      <w:r w:rsidR="00195269" w:rsidRPr="00F0117E">
        <w:rPr>
          <w:lang w:val="uk-UA"/>
        </w:rPr>
        <w:t>лише коли у такому доступі є професійна необхідність</w:t>
      </w:r>
      <w:r w:rsidRPr="00F0117E">
        <w:rPr>
          <w:lang w:val="uk-UA"/>
        </w:rPr>
        <w:t xml:space="preserve">. </w:t>
      </w:r>
      <w:r w:rsidR="007A3CAA" w:rsidRPr="00F0117E">
        <w:rPr>
          <w:lang w:val="uk-UA"/>
        </w:rPr>
        <w:t>Доступ повинен здійснюватися у найменш агресивній формі</w:t>
      </w:r>
      <w:r w:rsidRPr="00F0117E">
        <w:rPr>
          <w:lang w:val="uk-UA"/>
        </w:rPr>
        <w:t xml:space="preserve"> </w:t>
      </w:r>
      <w:r w:rsidR="007A3CAA" w:rsidRPr="00F0117E">
        <w:rPr>
          <w:lang w:val="uk-UA"/>
        </w:rPr>
        <w:t>і лише після інформування відповідних працівників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14.4.</w:t>
      </w:r>
      <w:r w:rsidR="00FA6D4F" w:rsidRPr="00F0117E">
        <w:rPr>
          <w:lang w:val="uk-UA"/>
        </w:rPr>
        <w:t xml:space="preserve"> </w:t>
      </w:r>
      <w:r w:rsidR="007A3CAA" w:rsidRPr="00F0117E">
        <w:rPr>
          <w:lang w:val="uk-UA"/>
        </w:rPr>
        <w:t>Зміст, відправлення та отримання</w:t>
      </w:r>
      <w:r w:rsidRPr="00F0117E">
        <w:rPr>
          <w:lang w:val="uk-UA"/>
        </w:rPr>
        <w:t xml:space="preserve"> </w:t>
      </w:r>
      <w:r w:rsidR="007A3CAA" w:rsidRPr="00F0117E">
        <w:rPr>
          <w:lang w:val="uk-UA"/>
        </w:rPr>
        <w:t>приватних електронних повідомлень на робочому місці</w:t>
      </w:r>
      <w:r w:rsidRPr="00F0117E">
        <w:rPr>
          <w:lang w:val="uk-UA"/>
        </w:rPr>
        <w:t xml:space="preserve"> </w:t>
      </w:r>
      <w:r w:rsidR="007A3CAA" w:rsidRPr="00F0117E">
        <w:rPr>
          <w:lang w:val="uk-UA"/>
        </w:rPr>
        <w:t>не повинні відстежуватися за жодних обставин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14.5.</w:t>
      </w:r>
      <w:r w:rsidR="00FA6D4F" w:rsidRPr="00F0117E">
        <w:rPr>
          <w:lang w:val="uk-UA"/>
        </w:rPr>
        <w:t xml:space="preserve"> </w:t>
      </w:r>
      <w:r w:rsidR="002606D1" w:rsidRPr="00F0117E">
        <w:rPr>
          <w:lang w:val="uk-UA"/>
        </w:rPr>
        <w:t>Після того, як працівник покидає організацію</w:t>
      </w:r>
      <w:r w:rsidRPr="00F0117E">
        <w:rPr>
          <w:lang w:val="uk-UA"/>
        </w:rPr>
        <w:t xml:space="preserve">, </w:t>
      </w:r>
      <w:r w:rsidR="002606D1" w:rsidRPr="00F0117E">
        <w:rPr>
          <w:lang w:val="uk-UA"/>
        </w:rPr>
        <w:t>роботодавець повинен вжити необхідні організаційні</w:t>
      </w:r>
      <w:r w:rsidRPr="00F0117E">
        <w:rPr>
          <w:lang w:val="uk-UA"/>
        </w:rPr>
        <w:t xml:space="preserve"> </w:t>
      </w:r>
      <w:r w:rsidR="002606D1" w:rsidRPr="00F0117E">
        <w:rPr>
          <w:lang w:val="uk-UA"/>
        </w:rPr>
        <w:t>та технічні заходи</w:t>
      </w:r>
      <w:r w:rsidRPr="00F0117E">
        <w:rPr>
          <w:lang w:val="uk-UA"/>
        </w:rPr>
        <w:t xml:space="preserve"> </w:t>
      </w:r>
      <w:r w:rsidR="002606D1" w:rsidRPr="00F0117E">
        <w:rPr>
          <w:lang w:val="uk-UA"/>
        </w:rPr>
        <w:t>для автоматичної деактивації ака</w:t>
      </w:r>
      <w:r w:rsidR="00672693" w:rsidRPr="00F0117E">
        <w:rPr>
          <w:lang w:val="uk-UA"/>
        </w:rPr>
        <w:t>у</w:t>
      </w:r>
      <w:r w:rsidR="002606D1" w:rsidRPr="00F0117E">
        <w:rPr>
          <w:lang w:val="uk-UA"/>
        </w:rPr>
        <w:t>нту працівника для відправлення електронних повідомлень</w:t>
      </w:r>
      <w:r w:rsidRPr="00F0117E">
        <w:rPr>
          <w:lang w:val="uk-UA"/>
        </w:rPr>
        <w:t xml:space="preserve">. </w:t>
      </w:r>
      <w:r w:rsidR="002606D1" w:rsidRPr="00F0117E">
        <w:rPr>
          <w:lang w:val="uk-UA"/>
        </w:rPr>
        <w:t>Якщо роботодавцю потрібно відновити зміст</w:t>
      </w:r>
      <w:r w:rsidRPr="00F0117E">
        <w:rPr>
          <w:lang w:val="uk-UA"/>
        </w:rPr>
        <w:t xml:space="preserve"> </w:t>
      </w:r>
      <w:r w:rsidR="002606D1" w:rsidRPr="00F0117E">
        <w:rPr>
          <w:lang w:val="uk-UA"/>
        </w:rPr>
        <w:t>ака</w:t>
      </w:r>
      <w:r w:rsidR="00672693" w:rsidRPr="00F0117E">
        <w:rPr>
          <w:lang w:val="uk-UA"/>
        </w:rPr>
        <w:t>у</w:t>
      </w:r>
      <w:r w:rsidR="002606D1" w:rsidRPr="00F0117E">
        <w:rPr>
          <w:lang w:val="uk-UA"/>
        </w:rPr>
        <w:t>нту працівника для ефективного функціонування організації</w:t>
      </w:r>
      <w:r w:rsidRPr="00F0117E">
        <w:rPr>
          <w:lang w:val="uk-UA"/>
        </w:rPr>
        <w:t xml:space="preserve">, </w:t>
      </w:r>
      <w:r w:rsidR="002606D1" w:rsidRPr="00F0117E">
        <w:rPr>
          <w:lang w:val="uk-UA"/>
        </w:rPr>
        <w:t>він повинен зробити це до того, як працівник залишить організацію,</w:t>
      </w:r>
      <w:r w:rsidRPr="00F0117E">
        <w:rPr>
          <w:lang w:val="uk-UA"/>
        </w:rPr>
        <w:t xml:space="preserve"> </w:t>
      </w:r>
      <w:r w:rsidR="002606D1" w:rsidRPr="00F0117E">
        <w:rPr>
          <w:lang w:val="uk-UA"/>
        </w:rPr>
        <w:t>і, якщо це можливо, у присутності цього працівника</w:t>
      </w:r>
      <w:r w:rsidRPr="00F0117E">
        <w:rPr>
          <w:lang w:val="uk-UA"/>
        </w:rPr>
        <w:t>.”</w:t>
      </w:r>
    </w:p>
    <w:p w:rsidR="00E81B07" w:rsidRPr="00F0117E" w:rsidRDefault="00E81B07" w:rsidP="008B2B31">
      <w:pPr>
        <w:pStyle w:val="ECHRHeading1"/>
        <w:rPr>
          <w:lang w:val="uk-UA"/>
        </w:rPr>
      </w:pPr>
      <w:r w:rsidRPr="00F0117E">
        <w:rPr>
          <w:lang w:val="uk-UA"/>
        </w:rPr>
        <w:t>IV.</w:t>
      </w:r>
      <w:r w:rsidR="00FA6D4F" w:rsidRPr="00F0117E">
        <w:rPr>
          <w:lang w:val="uk-UA"/>
        </w:rPr>
        <w:t xml:space="preserve"> </w:t>
      </w:r>
      <w:r w:rsidR="005D4BF4" w:rsidRPr="00F0117E">
        <w:rPr>
          <w:lang w:val="uk-UA"/>
        </w:rPr>
        <w:t>ПРАВО ЄВРОПЕЙСЬКОГО СОЮЗУ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44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D4BF4" w:rsidRPr="00F0117E">
        <w:rPr>
          <w:lang w:val="uk-UA"/>
        </w:rPr>
        <w:t>Відповідні положення Хартії основних прав Європейського Союзу</w:t>
      </w:r>
      <w:r w:rsidR="00E81B07" w:rsidRPr="00F0117E">
        <w:rPr>
          <w:lang w:val="uk-UA"/>
        </w:rPr>
        <w:t xml:space="preserve"> (2007/C </w:t>
      </w:r>
      <w:r w:rsidR="00E81B07" w:rsidRPr="00F0117E">
        <w:rPr>
          <w:bCs/>
          <w:lang w:val="uk-UA"/>
        </w:rPr>
        <w:t>303</w:t>
      </w:r>
      <w:r w:rsidR="00E81B07" w:rsidRPr="00F0117E">
        <w:rPr>
          <w:lang w:val="uk-UA"/>
        </w:rPr>
        <w:t>/01</w:t>
      </w:r>
      <w:r w:rsidR="00E81B07" w:rsidRPr="00F0117E">
        <w:rPr>
          <w:bCs/>
          <w:lang w:val="uk-UA"/>
        </w:rPr>
        <w:t xml:space="preserve">) </w:t>
      </w:r>
      <w:r w:rsidR="005D4BF4" w:rsidRPr="00F0117E">
        <w:rPr>
          <w:lang w:val="uk-UA"/>
        </w:rPr>
        <w:t>сформульовані наступним чином</w:t>
      </w:r>
      <w:r w:rsidR="00E81B07" w:rsidRPr="00F0117E">
        <w:rPr>
          <w:lang w:val="uk-UA"/>
        </w:rPr>
        <w:t>:</w:t>
      </w:r>
    </w:p>
    <w:p w:rsidR="00E81B07" w:rsidRPr="00F0117E" w:rsidRDefault="00AF1E4F" w:rsidP="008B2B31">
      <w:pPr>
        <w:pStyle w:val="ECHRTitleCentre3"/>
        <w:rPr>
          <w:bCs/>
          <w:lang w:val="uk-UA"/>
        </w:rPr>
      </w:pPr>
      <w:r w:rsidRPr="00F0117E">
        <w:rPr>
          <w:lang w:val="uk-UA"/>
        </w:rPr>
        <w:t>Стаття</w:t>
      </w:r>
      <w:r w:rsidR="00E81B07" w:rsidRPr="00F0117E">
        <w:rPr>
          <w:lang w:val="uk-UA"/>
        </w:rPr>
        <w:t xml:space="preserve"> 7 – </w:t>
      </w:r>
      <w:r w:rsidRPr="00F0117E">
        <w:rPr>
          <w:lang w:val="uk-UA"/>
        </w:rPr>
        <w:t>Повага до приватного та сімейного життя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</w:t>
      </w:r>
      <w:r w:rsidR="00AF1E4F" w:rsidRPr="00F0117E">
        <w:rPr>
          <w:lang w:val="uk-UA"/>
        </w:rPr>
        <w:t>Кожна особа має право на повагу до її приватного та сімейного життя</w:t>
      </w:r>
      <w:r w:rsidRPr="00F0117E">
        <w:rPr>
          <w:lang w:val="uk-UA"/>
        </w:rPr>
        <w:t xml:space="preserve">, </w:t>
      </w:r>
      <w:r w:rsidR="00AF1E4F" w:rsidRPr="00F0117E">
        <w:rPr>
          <w:lang w:val="uk-UA"/>
        </w:rPr>
        <w:t>недоторканність житла та таємницю кореспонденції</w:t>
      </w:r>
      <w:r w:rsidRPr="00F0117E">
        <w:rPr>
          <w:lang w:val="uk-UA"/>
        </w:rPr>
        <w:t>.”</w:t>
      </w:r>
    </w:p>
    <w:p w:rsidR="00E81B07" w:rsidRPr="00F0117E" w:rsidRDefault="00AF1E4F" w:rsidP="008B2B31">
      <w:pPr>
        <w:pStyle w:val="ECHRTitleCentre3"/>
        <w:rPr>
          <w:lang w:val="uk-UA"/>
        </w:rPr>
      </w:pPr>
      <w:r w:rsidRPr="00F0117E">
        <w:rPr>
          <w:lang w:val="uk-UA"/>
        </w:rPr>
        <w:t>Стаття</w:t>
      </w:r>
      <w:r w:rsidR="00E81B07" w:rsidRPr="00F0117E">
        <w:rPr>
          <w:lang w:val="uk-UA"/>
        </w:rPr>
        <w:t xml:space="preserve"> 8 – </w:t>
      </w:r>
      <w:r w:rsidRPr="00F0117E">
        <w:rPr>
          <w:lang w:val="uk-UA"/>
        </w:rPr>
        <w:t>Захист персональних даних</w:t>
      </w:r>
    </w:p>
    <w:p w:rsidR="00E81B07" w:rsidRPr="00F0117E" w:rsidRDefault="00E81B07" w:rsidP="008B2B31">
      <w:pPr>
        <w:pStyle w:val="ECHRParaQuote"/>
        <w:rPr>
          <w:lang w:val="uk-UA" w:bidi="en-US"/>
        </w:rPr>
      </w:pPr>
      <w:r w:rsidRPr="00F0117E">
        <w:rPr>
          <w:lang w:val="uk-UA"/>
        </w:rPr>
        <w:t>“1.</w:t>
      </w:r>
      <w:r w:rsidR="00FA6D4F" w:rsidRPr="00F0117E">
        <w:rPr>
          <w:lang w:val="uk-UA" w:bidi="en-US"/>
        </w:rPr>
        <w:t xml:space="preserve"> </w:t>
      </w:r>
      <w:r w:rsidR="007F6D5E" w:rsidRPr="00F0117E">
        <w:rPr>
          <w:lang w:val="uk-UA" w:bidi="en-US"/>
        </w:rPr>
        <w:t>Кожна особа має право на захист персональних даних, які стосуються неї</w:t>
      </w:r>
      <w:r w:rsidRPr="00F0117E">
        <w:rPr>
          <w:lang w:val="uk-UA" w:bidi="en-US"/>
        </w:rPr>
        <w:t>.</w:t>
      </w:r>
    </w:p>
    <w:p w:rsidR="00E81B07" w:rsidRPr="00F0117E" w:rsidRDefault="00E81B07" w:rsidP="008B2B31">
      <w:pPr>
        <w:pStyle w:val="ECHRParaQuote"/>
        <w:rPr>
          <w:lang w:val="uk-UA" w:bidi="en-US"/>
        </w:rPr>
      </w:pPr>
      <w:r w:rsidRPr="00F0117E">
        <w:rPr>
          <w:lang w:val="uk-UA" w:bidi="en-US"/>
        </w:rPr>
        <w:t>2.</w:t>
      </w:r>
      <w:r w:rsidR="00FA6D4F" w:rsidRPr="00F0117E">
        <w:rPr>
          <w:lang w:val="uk-UA" w:bidi="en-US"/>
        </w:rPr>
        <w:t xml:space="preserve"> </w:t>
      </w:r>
      <w:r w:rsidR="007F6D5E" w:rsidRPr="00F0117E">
        <w:rPr>
          <w:lang w:val="uk-UA" w:bidi="en-US"/>
        </w:rPr>
        <w:t>Такі дані повинні використовуватися відповідно до встановлених правил</w:t>
      </w:r>
      <w:r w:rsidRPr="00F0117E">
        <w:rPr>
          <w:lang w:val="uk-UA" w:bidi="en-US"/>
        </w:rPr>
        <w:t xml:space="preserve"> </w:t>
      </w:r>
      <w:r w:rsidR="007F6D5E" w:rsidRPr="00F0117E">
        <w:rPr>
          <w:lang w:val="uk-UA" w:bidi="en-US"/>
        </w:rPr>
        <w:t>у відповідних цілях та на основі дозволу</w:t>
      </w:r>
      <w:r w:rsidRPr="00F0117E">
        <w:rPr>
          <w:lang w:val="uk-UA" w:bidi="en-US"/>
        </w:rPr>
        <w:t xml:space="preserve"> </w:t>
      </w:r>
      <w:r w:rsidR="007F6D5E" w:rsidRPr="00F0117E">
        <w:rPr>
          <w:lang w:val="uk-UA" w:bidi="en-US"/>
        </w:rPr>
        <w:t xml:space="preserve">відповідної особи, або на іншій законній </w:t>
      </w:r>
      <w:r w:rsidR="007F6D5E" w:rsidRPr="00F0117E">
        <w:rPr>
          <w:lang w:val="uk-UA" w:bidi="en-US"/>
        </w:rPr>
        <w:lastRenderedPageBreak/>
        <w:t>основі,</w:t>
      </w:r>
      <w:r w:rsidRPr="00F0117E">
        <w:rPr>
          <w:lang w:val="uk-UA" w:bidi="en-US"/>
        </w:rPr>
        <w:t xml:space="preserve"> </w:t>
      </w:r>
      <w:r w:rsidR="007F6D5E" w:rsidRPr="00F0117E">
        <w:rPr>
          <w:lang w:val="uk-UA" w:bidi="en-US"/>
        </w:rPr>
        <w:t>викладеній у законодавстві</w:t>
      </w:r>
      <w:r w:rsidRPr="00F0117E">
        <w:rPr>
          <w:lang w:val="uk-UA" w:bidi="en-US"/>
        </w:rPr>
        <w:t xml:space="preserve">. </w:t>
      </w:r>
      <w:r w:rsidR="007F6D5E" w:rsidRPr="00F0117E">
        <w:rPr>
          <w:lang w:val="uk-UA" w:bidi="en-US"/>
        </w:rPr>
        <w:t>Кожна особа має право на доступ до даних,</w:t>
      </w:r>
      <w:r w:rsidRPr="00F0117E">
        <w:rPr>
          <w:lang w:val="uk-UA" w:bidi="en-US"/>
        </w:rPr>
        <w:t xml:space="preserve"> </w:t>
      </w:r>
      <w:r w:rsidR="007F6D5E" w:rsidRPr="00F0117E">
        <w:rPr>
          <w:lang w:val="uk-UA" w:bidi="en-US"/>
        </w:rPr>
        <w:t>які були зібрані щодо неї</w:t>
      </w:r>
      <w:r w:rsidRPr="00F0117E">
        <w:rPr>
          <w:lang w:val="uk-UA" w:bidi="en-US"/>
        </w:rPr>
        <w:t xml:space="preserve">, </w:t>
      </w:r>
      <w:r w:rsidR="007F6D5E" w:rsidRPr="00F0117E">
        <w:rPr>
          <w:lang w:val="uk-UA" w:bidi="en-US"/>
        </w:rPr>
        <w:t>і право внести виправлення у ці дані</w:t>
      </w:r>
      <w:r w:rsidRPr="00F0117E">
        <w:rPr>
          <w:lang w:val="uk-UA" w:bidi="en-US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 w:bidi="en-US"/>
        </w:rPr>
        <w:t>3.</w:t>
      </w:r>
      <w:r w:rsidR="00FA6D4F" w:rsidRPr="00F0117E">
        <w:rPr>
          <w:lang w:val="uk-UA" w:bidi="en-US"/>
        </w:rPr>
        <w:t xml:space="preserve"> </w:t>
      </w:r>
      <w:r w:rsidR="007F6D5E" w:rsidRPr="00F0117E">
        <w:rPr>
          <w:lang w:val="uk-UA" w:bidi="en-US"/>
        </w:rPr>
        <w:t>Дотримання цих правил повинно підлягати контролю</w:t>
      </w:r>
      <w:r w:rsidRPr="00F0117E">
        <w:rPr>
          <w:lang w:val="uk-UA" w:bidi="en-US"/>
        </w:rPr>
        <w:t xml:space="preserve"> </w:t>
      </w:r>
      <w:r w:rsidR="007F6D5E" w:rsidRPr="00F0117E">
        <w:rPr>
          <w:lang w:val="uk-UA" w:bidi="en-US"/>
        </w:rPr>
        <w:t>з боку незалежного органу влади</w:t>
      </w:r>
      <w:r w:rsidRPr="00F0117E">
        <w:rPr>
          <w:lang w:val="uk-UA" w:bidi="en-US"/>
        </w:rPr>
        <w:t>.</w:t>
      </w:r>
      <w:r w:rsidRPr="00F0117E">
        <w:rPr>
          <w:lang w:val="uk-UA"/>
        </w:rPr>
        <w:t>”</w:t>
      </w:r>
    </w:p>
    <w:bookmarkStart w:id="23" w:name="Directive_UE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45</w:t>
      </w:r>
      <w:r w:rsidRPr="00F0117E">
        <w:rPr>
          <w:lang w:val="uk-UA"/>
        </w:rPr>
        <w:fldChar w:fldCharType="end"/>
      </w:r>
      <w:bookmarkEnd w:id="23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F94609" w:rsidRPr="00F0117E">
        <w:rPr>
          <w:lang w:val="uk-UA"/>
        </w:rPr>
        <w:t>Директива</w:t>
      </w:r>
      <w:r w:rsidR="00E81B07" w:rsidRPr="00F0117E">
        <w:rPr>
          <w:lang w:val="uk-UA"/>
        </w:rPr>
        <w:t xml:space="preserve"> 95/46/EC </w:t>
      </w:r>
      <w:r w:rsidR="00F94609" w:rsidRPr="00F0117E">
        <w:rPr>
          <w:lang w:val="uk-UA"/>
        </w:rPr>
        <w:t>Європейського парламенту</w:t>
      </w:r>
      <w:r w:rsidR="00E81B07" w:rsidRPr="00F0117E">
        <w:rPr>
          <w:lang w:val="uk-UA"/>
        </w:rPr>
        <w:t xml:space="preserve"> </w:t>
      </w:r>
      <w:r w:rsidR="00F94609" w:rsidRPr="00F0117E">
        <w:rPr>
          <w:lang w:val="uk-UA"/>
        </w:rPr>
        <w:t>та Ради Європейського Союзу від</w:t>
      </w:r>
      <w:r w:rsidR="00E81B07" w:rsidRPr="00F0117E">
        <w:rPr>
          <w:lang w:val="uk-UA"/>
        </w:rPr>
        <w:t xml:space="preserve"> 24 </w:t>
      </w:r>
      <w:r w:rsidR="00F94609" w:rsidRPr="00F0117E">
        <w:rPr>
          <w:lang w:val="uk-UA"/>
        </w:rPr>
        <w:t>жовтня</w:t>
      </w:r>
      <w:r w:rsidR="00E81B07" w:rsidRPr="00F0117E">
        <w:rPr>
          <w:lang w:val="uk-UA"/>
        </w:rPr>
        <w:t xml:space="preserve"> 1995 </w:t>
      </w:r>
      <w:r w:rsidR="00F94609" w:rsidRPr="00F0117E">
        <w:rPr>
          <w:lang w:val="uk-UA"/>
        </w:rPr>
        <w:t>року про захист фізичних осіб</w:t>
      </w:r>
      <w:r w:rsidR="00E81B07" w:rsidRPr="00F0117E">
        <w:rPr>
          <w:lang w:val="uk-UA"/>
        </w:rPr>
        <w:t xml:space="preserve"> </w:t>
      </w:r>
      <w:r w:rsidR="00F94609" w:rsidRPr="00F0117E">
        <w:rPr>
          <w:lang w:val="uk-UA"/>
        </w:rPr>
        <w:t>при обробці персональних даних та про вільне переміщення таких даних</w:t>
      </w:r>
      <w:r w:rsidR="00E81B07" w:rsidRPr="00F0117E">
        <w:rPr>
          <w:lang w:val="uk-UA"/>
        </w:rPr>
        <w:t xml:space="preserve"> (</w:t>
      </w:r>
      <w:r w:rsidR="00F94609" w:rsidRPr="00F0117E">
        <w:rPr>
          <w:lang w:val="uk-UA"/>
        </w:rPr>
        <w:t xml:space="preserve">Надалі – </w:t>
      </w:r>
      <w:r w:rsidR="00EE2080">
        <w:rPr>
          <w:lang w:val="uk-UA"/>
        </w:rPr>
        <w:t>«</w:t>
      </w:r>
      <w:r w:rsidR="00F94609" w:rsidRPr="00F0117E">
        <w:rPr>
          <w:lang w:val="uk-UA"/>
        </w:rPr>
        <w:t xml:space="preserve">Директива </w:t>
      </w:r>
      <w:r w:rsidR="00E81B07" w:rsidRPr="00F0117E">
        <w:rPr>
          <w:lang w:val="uk-UA"/>
        </w:rPr>
        <w:t>95/46/EC</w:t>
      </w:r>
      <w:r w:rsidR="00F94609" w:rsidRPr="00F0117E">
        <w:rPr>
          <w:lang w:val="uk-UA"/>
        </w:rPr>
        <w:t>»</w:t>
      </w:r>
      <w:r w:rsidR="00E81B07" w:rsidRPr="00F0117E">
        <w:rPr>
          <w:lang w:val="uk-UA"/>
        </w:rPr>
        <w:t xml:space="preserve">) </w:t>
      </w:r>
      <w:r w:rsidR="00F94609" w:rsidRPr="00F0117E">
        <w:rPr>
          <w:lang w:val="uk-UA"/>
        </w:rPr>
        <w:t>зазначає, що метою національного законодавства</w:t>
      </w:r>
      <w:r w:rsidR="00E81B07" w:rsidRPr="00F0117E">
        <w:rPr>
          <w:lang w:val="uk-UA"/>
        </w:rPr>
        <w:t xml:space="preserve"> </w:t>
      </w:r>
      <w:r w:rsidR="00F94609" w:rsidRPr="00F0117E">
        <w:rPr>
          <w:lang w:val="uk-UA"/>
        </w:rPr>
        <w:t>про обробку персональних даних є захист права</w:t>
      </w:r>
      <w:r w:rsidR="00E81B07" w:rsidRPr="00F0117E">
        <w:rPr>
          <w:lang w:val="uk-UA"/>
        </w:rPr>
        <w:t xml:space="preserve"> </w:t>
      </w:r>
      <w:r w:rsidR="00F94609" w:rsidRPr="00F0117E">
        <w:rPr>
          <w:lang w:val="uk-UA"/>
        </w:rPr>
        <w:t>на недоторканність приватного життя</w:t>
      </w:r>
      <w:r w:rsidR="00E81B07" w:rsidRPr="00F0117E">
        <w:rPr>
          <w:lang w:val="uk-UA"/>
        </w:rPr>
        <w:t xml:space="preserve">, </w:t>
      </w:r>
      <w:r w:rsidR="00F94609" w:rsidRPr="00F0117E">
        <w:rPr>
          <w:lang w:val="uk-UA"/>
        </w:rPr>
        <w:t>як визнається у статті</w:t>
      </w:r>
      <w:r w:rsidR="00E81B07" w:rsidRPr="00F0117E">
        <w:rPr>
          <w:lang w:val="uk-UA"/>
        </w:rPr>
        <w:t xml:space="preserve"> 8 </w:t>
      </w:r>
      <w:r w:rsidR="00F94609" w:rsidRPr="00F0117E">
        <w:rPr>
          <w:lang w:val="uk-UA"/>
        </w:rPr>
        <w:t>Конвенції та у загальних принципах</w:t>
      </w:r>
      <w:r w:rsidR="00E81B07" w:rsidRPr="00F0117E">
        <w:rPr>
          <w:lang w:val="uk-UA"/>
        </w:rPr>
        <w:t xml:space="preserve"> </w:t>
      </w:r>
      <w:r w:rsidR="00F94609" w:rsidRPr="00F0117E">
        <w:rPr>
          <w:lang w:val="uk-UA"/>
        </w:rPr>
        <w:t>законодавства Співтовариства</w:t>
      </w:r>
      <w:r w:rsidR="00E81B07" w:rsidRPr="00F0117E">
        <w:rPr>
          <w:lang w:val="uk-UA"/>
        </w:rPr>
        <w:t xml:space="preserve">. </w:t>
      </w:r>
      <w:r w:rsidR="00F94609" w:rsidRPr="00F0117E">
        <w:rPr>
          <w:lang w:val="uk-UA"/>
        </w:rPr>
        <w:t>Відповідні положення Директиви</w:t>
      </w:r>
      <w:r w:rsidR="00E81B07" w:rsidRPr="00F0117E">
        <w:rPr>
          <w:lang w:val="uk-UA"/>
        </w:rPr>
        <w:t xml:space="preserve"> 95/46/EC </w:t>
      </w:r>
      <w:r w:rsidR="00F94609" w:rsidRPr="00F0117E">
        <w:rPr>
          <w:lang w:val="uk-UA"/>
        </w:rPr>
        <w:t>містять наступне</w:t>
      </w:r>
      <w:r w:rsidR="00E81B07" w:rsidRPr="00F0117E">
        <w:rPr>
          <w:lang w:val="uk-UA"/>
        </w:rPr>
        <w:t>:</w:t>
      </w:r>
    </w:p>
    <w:p w:rsidR="00E81B07" w:rsidRPr="00F0117E" w:rsidRDefault="00F92159" w:rsidP="008B2B31">
      <w:pPr>
        <w:pStyle w:val="ECHRTitleCentre3"/>
        <w:rPr>
          <w:lang w:val="uk-UA"/>
        </w:rPr>
      </w:pPr>
      <w:r w:rsidRPr="00F0117E">
        <w:rPr>
          <w:lang w:val="uk-UA"/>
        </w:rPr>
        <w:t>Стаття</w:t>
      </w:r>
      <w:r w:rsidR="00E81B07" w:rsidRPr="00F0117E">
        <w:rPr>
          <w:lang w:val="uk-UA"/>
        </w:rPr>
        <w:t xml:space="preserve"> 2 – </w:t>
      </w:r>
      <w:r w:rsidRPr="00F0117E">
        <w:rPr>
          <w:lang w:val="uk-UA"/>
        </w:rPr>
        <w:t>Визначення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</w:t>
      </w:r>
      <w:r w:rsidR="00F92159" w:rsidRPr="00F0117E">
        <w:rPr>
          <w:lang w:val="uk-UA"/>
        </w:rPr>
        <w:t>В цілях даної Директиви</w:t>
      </w:r>
      <w:r w:rsidRPr="00F0117E">
        <w:rPr>
          <w:lang w:val="uk-UA"/>
        </w:rPr>
        <w:t>: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(a)</w:t>
      </w:r>
      <w:r w:rsidR="00FA6D4F" w:rsidRPr="00F0117E">
        <w:rPr>
          <w:lang w:val="uk-UA"/>
        </w:rPr>
        <w:t xml:space="preserve"> </w:t>
      </w:r>
      <w:r w:rsidR="00F92159" w:rsidRPr="00F0117E">
        <w:rPr>
          <w:lang w:val="uk-UA"/>
        </w:rPr>
        <w:t>"персональні дані" означають будь-яку інформацію, що стосується встановленої фізичної особи чи фізичної особи, яку можна встановити ("суб'єкт даних"); особою, яку можна встановити, є така, яка може бути встановленою прямо чи непрямо, зокрема, за допомогою ідентифікаційного коду або одного чи більше факторів, притаманних фізичним, фізіологічним, розумовим, економічним, культурним чи соціальним аспектам її особистості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QuotSub"/>
        <w:rPr>
          <w:lang w:val="uk-UA" w:bidi="en-US"/>
        </w:rPr>
      </w:pPr>
      <w:r w:rsidRPr="00F0117E">
        <w:rPr>
          <w:lang w:val="uk-UA"/>
        </w:rPr>
        <w:t>...”</w:t>
      </w:r>
    </w:p>
    <w:p w:rsidR="00E81B07" w:rsidRPr="00F0117E" w:rsidRDefault="00F92159" w:rsidP="008B2B31">
      <w:pPr>
        <w:pStyle w:val="ECHRTitleCentre3"/>
        <w:rPr>
          <w:lang w:val="uk-UA"/>
        </w:rPr>
      </w:pPr>
      <w:r w:rsidRPr="00F0117E">
        <w:rPr>
          <w:lang w:val="uk-UA"/>
        </w:rPr>
        <w:t>Стаття</w:t>
      </w:r>
      <w:r w:rsidR="00E81B07" w:rsidRPr="00F0117E">
        <w:rPr>
          <w:lang w:val="uk-UA"/>
        </w:rPr>
        <w:t xml:space="preserve"> 6</w:t>
      </w:r>
    </w:p>
    <w:p w:rsidR="00E81B07" w:rsidRPr="00F0117E" w:rsidRDefault="00E81B07" w:rsidP="008B2B31">
      <w:pPr>
        <w:pStyle w:val="ECHRParaQuote"/>
        <w:rPr>
          <w:lang w:val="uk-UA" w:bidi="en-US"/>
        </w:rPr>
      </w:pPr>
      <w:r w:rsidRPr="00F0117E">
        <w:rPr>
          <w:lang w:val="uk-UA"/>
        </w:rPr>
        <w:t>“1.</w:t>
      </w:r>
      <w:r w:rsidR="00FA6D4F" w:rsidRPr="00F0117E">
        <w:rPr>
          <w:lang w:val="uk-UA" w:bidi="en-US"/>
        </w:rPr>
        <w:t xml:space="preserve"> </w:t>
      </w:r>
      <w:r w:rsidR="00F92159" w:rsidRPr="00F0117E">
        <w:rPr>
          <w:lang w:val="uk-UA" w:bidi="en-US"/>
        </w:rPr>
        <w:t>Держави-члени передбачають, що персональні дані повинні</w:t>
      </w:r>
      <w:r w:rsidRPr="00F0117E">
        <w:rPr>
          <w:lang w:val="uk-UA" w:bidi="en-US"/>
        </w:rPr>
        <w:t>:</w:t>
      </w:r>
    </w:p>
    <w:p w:rsidR="00E81B07" w:rsidRPr="00F0117E" w:rsidRDefault="00E81B07" w:rsidP="008B2B31">
      <w:pPr>
        <w:pStyle w:val="JuQuotSub"/>
        <w:rPr>
          <w:lang w:val="uk-UA" w:bidi="en-US"/>
        </w:rPr>
      </w:pPr>
      <w:r w:rsidRPr="00F0117E">
        <w:rPr>
          <w:lang w:val="uk-UA" w:bidi="en-US"/>
        </w:rPr>
        <w:t>(a)</w:t>
      </w:r>
      <w:r w:rsidR="00FA6D4F" w:rsidRPr="00F0117E">
        <w:rPr>
          <w:lang w:val="uk-UA" w:bidi="en-US"/>
        </w:rPr>
        <w:t xml:space="preserve"> </w:t>
      </w:r>
      <w:r w:rsidR="003361FC" w:rsidRPr="00F0117E">
        <w:rPr>
          <w:lang w:val="uk-UA" w:bidi="en-US"/>
        </w:rPr>
        <w:t>оброблятися чесно і законно</w:t>
      </w:r>
      <w:r w:rsidRPr="00F0117E">
        <w:rPr>
          <w:lang w:val="uk-UA" w:bidi="en-US"/>
        </w:rPr>
        <w:t>;</w:t>
      </w:r>
    </w:p>
    <w:p w:rsidR="00E81B07" w:rsidRPr="00F0117E" w:rsidRDefault="00E81B07" w:rsidP="008B2B31">
      <w:pPr>
        <w:pStyle w:val="JuQuotSub"/>
        <w:rPr>
          <w:lang w:val="uk-UA" w:bidi="en-US"/>
        </w:rPr>
      </w:pPr>
      <w:r w:rsidRPr="00F0117E">
        <w:rPr>
          <w:lang w:val="uk-UA" w:bidi="en-US"/>
        </w:rPr>
        <w:t>(b)</w:t>
      </w:r>
      <w:r w:rsidR="00FA6D4F" w:rsidRPr="00F0117E">
        <w:rPr>
          <w:lang w:val="uk-UA" w:bidi="en-US"/>
        </w:rPr>
        <w:t xml:space="preserve"> </w:t>
      </w:r>
      <w:r w:rsidR="003361FC" w:rsidRPr="00F0117E">
        <w:rPr>
          <w:lang w:val="uk-UA" w:bidi="en-US"/>
        </w:rPr>
        <w:t>збиратися для встановлених, чітких і законних цілей і надалі не оброблятися у спосіб, несумісний з цими цілями. Подальша обробка даних в історичних, статистичних чи наукових цілях не розглядається як несумісна, якщо держави-члени забезпечують відповідні гарантії</w:t>
      </w:r>
      <w:r w:rsidRPr="00F0117E">
        <w:rPr>
          <w:lang w:val="uk-UA" w:bidi="en-US"/>
        </w:rPr>
        <w:t>;</w:t>
      </w:r>
    </w:p>
    <w:p w:rsidR="00E81B07" w:rsidRPr="00F0117E" w:rsidRDefault="00E81B07" w:rsidP="008B2B31">
      <w:pPr>
        <w:pStyle w:val="JuQuotSub"/>
        <w:rPr>
          <w:lang w:val="uk-UA" w:bidi="en-US"/>
        </w:rPr>
      </w:pPr>
      <w:r w:rsidRPr="00F0117E">
        <w:rPr>
          <w:lang w:val="uk-UA" w:bidi="en-US"/>
        </w:rPr>
        <w:t>(c)</w:t>
      </w:r>
      <w:r w:rsidR="003361FC" w:rsidRPr="00F0117E">
        <w:rPr>
          <w:lang w:val="uk-UA" w:bidi="en-US"/>
        </w:rPr>
        <w:t xml:space="preserve"> бути достовірними, відповідними і не надлишковими відносно цілей, заради яких вони збираються і/або надалі обробляються</w:t>
      </w:r>
      <w:r w:rsidRPr="00F0117E">
        <w:rPr>
          <w:lang w:val="uk-UA" w:bidi="en-US"/>
        </w:rPr>
        <w:t>;</w:t>
      </w:r>
    </w:p>
    <w:p w:rsidR="00E81B07" w:rsidRPr="00F0117E" w:rsidRDefault="00E81B07" w:rsidP="008B2B31">
      <w:pPr>
        <w:pStyle w:val="JuQuotSub"/>
        <w:rPr>
          <w:lang w:val="uk-UA" w:bidi="en-US"/>
        </w:rPr>
      </w:pPr>
      <w:r w:rsidRPr="00F0117E">
        <w:rPr>
          <w:lang w:val="uk-UA" w:bidi="en-US"/>
        </w:rPr>
        <w:t>(d)</w:t>
      </w:r>
      <w:r w:rsidR="003361FC" w:rsidRPr="00F0117E">
        <w:rPr>
          <w:lang w:val="uk-UA" w:bidi="en-US"/>
        </w:rPr>
        <w:t xml:space="preserve"> бути точними і, якщо необхідно, обновлятися; слід вжити всіх розумних заходів, щоб гарантувати, що дані, які є неточними чи неповними, з урахуванням цілей, заради яких вони були зібрані чи заради яких вони надалі обробляються, стиралися чи виправлялися</w:t>
      </w:r>
      <w:r w:rsidRPr="00F0117E">
        <w:rPr>
          <w:lang w:val="uk-UA" w:bidi="en-US"/>
        </w:rPr>
        <w:t>;</w:t>
      </w:r>
    </w:p>
    <w:p w:rsidR="00E81B07" w:rsidRPr="00F0117E" w:rsidRDefault="00E81B07" w:rsidP="008B2B31">
      <w:pPr>
        <w:pStyle w:val="JuQuotSub"/>
        <w:rPr>
          <w:lang w:val="uk-UA" w:bidi="en-US"/>
        </w:rPr>
      </w:pPr>
      <w:r w:rsidRPr="00F0117E">
        <w:rPr>
          <w:lang w:val="uk-UA" w:bidi="en-US"/>
        </w:rPr>
        <w:t>(e)</w:t>
      </w:r>
      <w:r w:rsidR="003361FC" w:rsidRPr="00F0117E">
        <w:rPr>
          <w:lang w:val="uk-UA" w:bidi="en-US"/>
        </w:rPr>
        <w:t xml:space="preserve"> зберігатися у формі, що дозволяє встановлювати особу суб'єктів даних не довше, ніж це необхідно для цілей, заради яких дані були зібрані чи заради яких вони надалі обробляються. Держави-члени встановлюють відповідні гарантії для персональних даних, що зберігаються протягом більш тривалих періодів з метою історичного, статистичного чи наукового використання</w:t>
      </w:r>
      <w:r w:rsidRPr="00F0117E">
        <w:rPr>
          <w:lang w:val="uk-UA" w:bidi="en-US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 w:bidi="en-US"/>
        </w:rPr>
        <w:t>2.</w:t>
      </w:r>
      <w:r w:rsidR="00FA6D4F" w:rsidRPr="00F0117E">
        <w:rPr>
          <w:lang w:val="uk-UA" w:bidi="en-US"/>
        </w:rPr>
        <w:t xml:space="preserve"> </w:t>
      </w:r>
      <w:r w:rsidR="007E48DE" w:rsidRPr="00F0117E">
        <w:rPr>
          <w:lang w:val="uk-UA" w:bidi="en-US"/>
        </w:rPr>
        <w:t>Забезпечення дотримання пункту 1 покладається на контролера</w:t>
      </w:r>
      <w:r w:rsidRPr="00F0117E">
        <w:rPr>
          <w:lang w:val="uk-UA" w:bidi="en-US"/>
        </w:rPr>
        <w:t>.</w:t>
      </w:r>
      <w:r w:rsidRPr="00F0117E">
        <w:rPr>
          <w:lang w:val="uk-UA"/>
        </w:rPr>
        <w:t>”</w:t>
      </w:r>
    </w:p>
    <w:p w:rsidR="00E81B07" w:rsidRPr="00F0117E" w:rsidRDefault="007E48DE" w:rsidP="008B2B31">
      <w:pPr>
        <w:pStyle w:val="ECHRTitleCentre3"/>
        <w:rPr>
          <w:lang w:val="uk-UA"/>
        </w:rPr>
      </w:pPr>
      <w:r w:rsidRPr="00F0117E">
        <w:rPr>
          <w:lang w:val="uk-UA"/>
        </w:rPr>
        <w:lastRenderedPageBreak/>
        <w:t>Стаття</w:t>
      </w:r>
      <w:r w:rsidR="00E81B07" w:rsidRPr="00F0117E">
        <w:rPr>
          <w:lang w:val="uk-UA"/>
        </w:rPr>
        <w:t xml:space="preserve"> 7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</w:t>
      </w:r>
      <w:r w:rsidR="007E48DE" w:rsidRPr="00F0117E">
        <w:rPr>
          <w:lang w:val="uk-UA"/>
        </w:rPr>
        <w:t>Держави-члени передбачають, що персональні дані</w:t>
      </w:r>
      <w:r w:rsidRPr="00F0117E">
        <w:rPr>
          <w:lang w:val="uk-UA"/>
        </w:rPr>
        <w:t xml:space="preserve"> </w:t>
      </w:r>
      <w:r w:rsidR="007E48DE" w:rsidRPr="00F0117E">
        <w:rPr>
          <w:lang w:val="uk-UA"/>
        </w:rPr>
        <w:t>можуть оброблятися тільки за умови, що</w:t>
      </w:r>
      <w:r w:rsidRPr="00F0117E">
        <w:rPr>
          <w:lang w:val="uk-UA"/>
        </w:rPr>
        <w:t>: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(a)</w:t>
      </w:r>
      <w:r w:rsidR="00FA6D4F" w:rsidRPr="00F0117E">
        <w:rPr>
          <w:lang w:val="uk-UA"/>
        </w:rPr>
        <w:t xml:space="preserve"> </w:t>
      </w:r>
      <w:r w:rsidR="007E48DE" w:rsidRPr="00F0117E">
        <w:rPr>
          <w:lang w:val="uk-UA"/>
        </w:rPr>
        <w:t>суб'єкт даних недвозначно дав свою згоду</w:t>
      </w:r>
      <w:r w:rsidRPr="00F0117E">
        <w:rPr>
          <w:lang w:val="uk-UA"/>
        </w:rPr>
        <w:t xml:space="preserve">; </w:t>
      </w:r>
      <w:r w:rsidR="007E48DE" w:rsidRPr="00F0117E">
        <w:rPr>
          <w:lang w:val="uk-UA"/>
        </w:rPr>
        <w:t>чи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(b)</w:t>
      </w:r>
      <w:r w:rsidR="00FA6D4F" w:rsidRPr="00F0117E">
        <w:rPr>
          <w:lang w:val="uk-UA"/>
        </w:rPr>
        <w:t xml:space="preserve"> </w:t>
      </w:r>
      <w:r w:rsidR="007E48DE" w:rsidRPr="00F0117E">
        <w:rPr>
          <w:lang w:val="uk-UA"/>
        </w:rPr>
        <w:t>обробка необхідна для виконання контракту, стороною якого є суб'єкт даних, чи для вживання заходів на прохання суб'єкта даних до підписання контракту; чи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(c)</w:t>
      </w:r>
      <w:r w:rsidR="007E48DE" w:rsidRPr="00F0117E">
        <w:rPr>
          <w:lang w:val="uk-UA"/>
        </w:rPr>
        <w:t xml:space="preserve"> обробка необхідна для дотримання правового зобов'язання, яким зв'язаний контролер; чи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(d)</w:t>
      </w:r>
      <w:r w:rsidR="007E48DE" w:rsidRPr="00F0117E">
        <w:rPr>
          <w:lang w:val="uk-UA"/>
        </w:rPr>
        <w:t xml:space="preserve"> обробка необхідна для захисту життєво важливих інтересів суб'єкта даних; чи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(e)</w:t>
      </w:r>
      <w:r w:rsidR="007E48DE" w:rsidRPr="00F0117E">
        <w:rPr>
          <w:lang w:val="uk-UA"/>
        </w:rPr>
        <w:t xml:space="preserve"> обробка необхідна для виконання завдання, здійснюваного в суспільних інтересах, чи при виконанні офіційних повноважень, якими наділений контролер або третя сторона, якій надаються дані; чи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(f)</w:t>
      </w:r>
      <w:r w:rsidR="007E48DE" w:rsidRPr="00F0117E">
        <w:rPr>
          <w:lang w:val="uk-UA"/>
        </w:rPr>
        <w:t xml:space="preserve"> обробка необхідна в цілях законних інтересів, переслідуваних контролером чи третьою стороною або сторонами, для яких надаються дані, крім випадків, коли над такими інтересами переважають інтереси основних прав і свобод суб'єкта даних, що вимагають захисту згідно з пунктом 1 статті 1</w:t>
      </w:r>
      <w:r w:rsidRPr="00F0117E">
        <w:rPr>
          <w:lang w:val="uk-UA"/>
        </w:rPr>
        <w:t>.”</w:t>
      </w:r>
    </w:p>
    <w:p w:rsidR="00E81B07" w:rsidRPr="00F0117E" w:rsidRDefault="007E48DE" w:rsidP="008B2B31">
      <w:pPr>
        <w:pStyle w:val="ECHRTitleCentre3"/>
        <w:rPr>
          <w:lang w:val="uk-UA"/>
        </w:rPr>
      </w:pPr>
      <w:r w:rsidRPr="00F0117E">
        <w:rPr>
          <w:lang w:val="uk-UA"/>
        </w:rPr>
        <w:t>Стаття</w:t>
      </w:r>
      <w:r w:rsidR="00E81B07" w:rsidRPr="00F0117E">
        <w:rPr>
          <w:lang w:val="uk-UA"/>
        </w:rPr>
        <w:t xml:space="preserve"> 8 – </w:t>
      </w:r>
      <w:r w:rsidRPr="00F0117E">
        <w:rPr>
          <w:lang w:val="uk-UA"/>
        </w:rPr>
        <w:t>Обробка особливих категорій даних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“1.</w:t>
      </w:r>
      <w:r w:rsidR="00FA6D4F" w:rsidRPr="00F0117E">
        <w:rPr>
          <w:lang w:val="uk-UA" w:bidi="en-US"/>
        </w:rPr>
        <w:t xml:space="preserve"> </w:t>
      </w:r>
      <w:r w:rsidR="007E48DE" w:rsidRPr="00F0117E">
        <w:rPr>
          <w:lang w:val="uk-UA"/>
        </w:rPr>
        <w:t>Держави-члени забороняють обробку персональних даних, що вказують на расове чи етнічне походження, політичні погляди, релігійні чи філософські переконання, профспілкове членство, і обробку даних, що стосуються здоров'я чи статевого життя людини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 w:bidi="en-US"/>
        </w:rPr>
      </w:pPr>
      <w:r w:rsidRPr="00F0117E">
        <w:rPr>
          <w:lang w:val="uk-UA"/>
        </w:rPr>
        <w:t>2.</w:t>
      </w:r>
      <w:r w:rsidR="007E48DE" w:rsidRPr="00F0117E">
        <w:rPr>
          <w:lang w:val="uk-UA" w:bidi="en-US"/>
        </w:rPr>
        <w:t xml:space="preserve"> Пункт 1 не застосовується, якщо</w:t>
      </w:r>
      <w:r w:rsidRPr="00F0117E">
        <w:rPr>
          <w:lang w:val="uk-UA" w:bidi="en-US"/>
        </w:rPr>
        <w:t>:</w:t>
      </w:r>
    </w:p>
    <w:p w:rsidR="00E81B07" w:rsidRPr="00F0117E" w:rsidRDefault="00E81B07" w:rsidP="008B2B31">
      <w:pPr>
        <w:pStyle w:val="JuQuotSub"/>
        <w:rPr>
          <w:lang w:val="uk-UA" w:bidi="en-US"/>
        </w:rPr>
      </w:pPr>
      <w:r w:rsidRPr="00F0117E">
        <w:rPr>
          <w:lang w:val="uk-UA" w:bidi="en-US"/>
        </w:rPr>
        <w:t xml:space="preserve">(a) </w:t>
      </w:r>
      <w:r w:rsidR="007E48DE" w:rsidRPr="00F0117E">
        <w:rPr>
          <w:lang w:val="uk-UA" w:bidi="en-US"/>
        </w:rPr>
        <w:t>суб'єкт даних дав свою недвозначну згоду на обробку цих даних, крім випадків, коли законодавство держав-членів передбачає, що заборона, згадана в пункті 1, не може бути знята при наданні згоди з боку суб'єкта даних; чи</w:t>
      </w:r>
    </w:p>
    <w:p w:rsidR="00E81B07" w:rsidRPr="00F0117E" w:rsidRDefault="00E81B07" w:rsidP="008B2B31">
      <w:pPr>
        <w:pStyle w:val="JuQuotSub"/>
        <w:rPr>
          <w:lang w:val="uk-UA" w:bidi="en-US"/>
        </w:rPr>
      </w:pPr>
      <w:r w:rsidRPr="00F0117E">
        <w:rPr>
          <w:lang w:val="uk-UA" w:bidi="en-US"/>
        </w:rPr>
        <w:t xml:space="preserve">(b) </w:t>
      </w:r>
      <w:r w:rsidR="007E48DE" w:rsidRPr="00F0117E">
        <w:rPr>
          <w:lang w:val="uk-UA" w:bidi="en-US"/>
        </w:rPr>
        <w:t>обробка необхідна з метою виконання зобов'язань і особливих прав контролера в області законодавства про працевлаштування, у тій мірі, у якій це дозволено національним законодавством, що передбачає адекватні гарантії; чи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(c)</w:t>
      </w:r>
      <w:r w:rsidR="007E48DE" w:rsidRPr="00F0117E">
        <w:rPr>
          <w:lang w:val="uk-UA"/>
        </w:rPr>
        <w:t xml:space="preserve"> обробка необхідна для захисту життєво важливих інтересів суб'єкта даних чи іншої особи, якщо суб'єкт даних не може дати свою згоду через свою недієздатність чи неправоздатність; чи</w:t>
      </w:r>
    </w:p>
    <w:p w:rsidR="00E81B07" w:rsidRPr="00F0117E" w:rsidRDefault="00E81B07" w:rsidP="008B2B31">
      <w:pPr>
        <w:pStyle w:val="JuQuotSub"/>
        <w:rPr>
          <w:lang w:val="uk-UA" w:bidi="en-US"/>
        </w:rPr>
      </w:pPr>
      <w:r w:rsidRPr="00F0117E">
        <w:rPr>
          <w:lang w:val="uk-UA" w:bidi="en-US"/>
        </w:rPr>
        <w:t>...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(e)</w:t>
      </w:r>
      <w:r w:rsidR="007E48DE" w:rsidRPr="00F0117E">
        <w:rPr>
          <w:lang w:val="uk-UA"/>
        </w:rPr>
        <w:t xml:space="preserve"> обробка стосується даних, що явно оприлюднені суб'єктами даних, чи необхідна для порушення, виконання чи захисту судових позовів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 w:bidi="en-US"/>
        </w:rPr>
      </w:pPr>
      <w:r w:rsidRPr="00F0117E">
        <w:rPr>
          <w:lang w:val="uk-UA" w:bidi="en-US"/>
        </w:rPr>
        <w:t>...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4.</w:t>
      </w:r>
      <w:r w:rsidR="007E48DE" w:rsidRPr="00F0117E">
        <w:rPr>
          <w:lang w:val="uk-UA"/>
        </w:rPr>
        <w:t xml:space="preserve"> За умови надання відповідних гарантій, держави-члени можуть на важливій підставі суспільного інтересу встановлювати винятки на додачу до тих, що передбачені в пункті 2, за допомогою або національного закону, або рішення наглядового органу</w:t>
      </w:r>
      <w:r w:rsidRPr="00F0117E">
        <w:rPr>
          <w:lang w:val="uk-UA"/>
        </w:rPr>
        <w:t>.”</w:t>
      </w:r>
    </w:p>
    <w:bookmarkStart w:id="24" w:name="WorkingpartyUE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lastRenderedPageBreak/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46</w:t>
      </w:r>
      <w:r w:rsidRPr="00F0117E">
        <w:rPr>
          <w:lang w:val="uk-UA"/>
        </w:rPr>
        <w:fldChar w:fldCharType="end"/>
      </w:r>
      <w:bookmarkEnd w:id="24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3672F8" w:rsidRPr="00F0117E">
        <w:rPr>
          <w:lang w:val="uk-UA"/>
        </w:rPr>
        <w:t>Робоча група з питань захисту даних</w:t>
      </w:r>
      <w:r w:rsidR="00E81B07" w:rsidRPr="00F0117E">
        <w:rPr>
          <w:lang w:val="uk-UA"/>
        </w:rPr>
        <w:t xml:space="preserve"> </w:t>
      </w:r>
      <w:r w:rsidR="003672F8" w:rsidRPr="00F0117E">
        <w:rPr>
          <w:lang w:val="uk-UA"/>
        </w:rPr>
        <w:t>(надалі – «Робоча група»)</w:t>
      </w:r>
      <w:r w:rsidR="00E81B07" w:rsidRPr="00F0117E">
        <w:rPr>
          <w:lang w:val="uk-UA"/>
        </w:rPr>
        <w:t xml:space="preserve"> </w:t>
      </w:r>
      <w:r w:rsidR="003672F8" w:rsidRPr="00F0117E">
        <w:rPr>
          <w:lang w:val="uk-UA"/>
        </w:rPr>
        <w:t>була створена відповідно до статті</w:t>
      </w:r>
      <w:r w:rsidR="00E81B07" w:rsidRPr="00F0117E">
        <w:rPr>
          <w:lang w:val="uk-UA"/>
        </w:rPr>
        <w:t xml:space="preserve"> 29 </w:t>
      </w:r>
      <w:r w:rsidR="003672F8" w:rsidRPr="00F0117E">
        <w:rPr>
          <w:lang w:val="uk-UA"/>
        </w:rPr>
        <w:t>Директиви, і відповідно до статті 30, уповноважена</w:t>
      </w:r>
      <w:r w:rsidR="00E81B07" w:rsidRPr="00F0117E">
        <w:rPr>
          <w:lang w:val="uk-UA"/>
        </w:rPr>
        <w:t>: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“(a)</w:t>
      </w:r>
      <w:r w:rsidR="00FA6D4F" w:rsidRPr="00F0117E">
        <w:rPr>
          <w:lang w:val="uk-UA"/>
        </w:rPr>
        <w:t xml:space="preserve"> </w:t>
      </w:r>
      <w:r w:rsidR="003672F8" w:rsidRPr="00F0117E">
        <w:rPr>
          <w:lang w:val="uk-UA"/>
        </w:rPr>
        <w:t>розглядати будь-яке питання, що стосується застосування національних заходів, прийнятих відповідно до даної Директиви, з метою сприяння загальному застосуванню таких заходів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(b)</w:t>
      </w:r>
      <w:r w:rsidR="003672F8" w:rsidRPr="00F0117E">
        <w:rPr>
          <w:lang w:val="uk-UA"/>
        </w:rPr>
        <w:t xml:space="preserve"> представляти Комісії висновки щодо рівня захисту в Співтоваристві та в третіх країнах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(c)</w:t>
      </w:r>
      <w:r w:rsidR="003672F8" w:rsidRPr="00F0117E">
        <w:rPr>
          <w:lang w:val="uk-UA"/>
        </w:rPr>
        <w:t xml:space="preserve"> повідомля</w:t>
      </w:r>
      <w:r w:rsidR="00503DD6" w:rsidRPr="00F0117E">
        <w:rPr>
          <w:lang w:val="uk-UA"/>
        </w:rPr>
        <w:t>ти</w:t>
      </w:r>
      <w:r w:rsidR="003672F8" w:rsidRPr="00F0117E">
        <w:rPr>
          <w:lang w:val="uk-UA"/>
        </w:rPr>
        <w:t xml:space="preserve"> Комісію про будь-яку запропоновану поправку до даної Директиви, про будь-які додаткові чи особливі заходи із захисту прав і свобод фізичних осіб при обробці персональних даних і про будь-які інші запропоновані заходи Співтовариства, що стосуються цих прав і свобод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(d)</w:t>
      </w:r>
      <w:r w:rsidR="003672F8" w:rsidRPr="00F0117E">
        <w:rPr>
          <w:lang w:val="uk-UA"/>
        </w:rPr>
        <w:t xml:space="preserve"> виносит</w:t>
      </w:r>
      <w:r w:rsidR="00503DD6" w:rsidRPr="00F0117E">
        <w:rPr>
          <w:lang w:val="uk-UA"/>
        </w:rPr>
        <w:t>и</w:t>
      </w:r>
      <w:r w:rsidR="003672F8" w:rsidRPr="00F0117E">
        <w:rPr>
          <w:lang w:val="uk-UA"/>
        </w:rPr>
        <w:t xml:space="preserve"> висновок про кодекси, складен</w:t>
      </w:r>
      <w:r w:rsidR="00EE2080">
        <w:rPr>
          <w:lang w:val="uk-UA"/>
        </w:rPr>
        <w:t>і</w:t>
      </w:r>
      <w:r w:rsidR="003672F8" w:rsidRPr="00F0117E">
        <w:rPr>
          <w:lang w:val="uk-UA"/>
        </w:rPr>
        <w:t xml:space="preserve"> на рівні Співтовариства</w:t>
      </w:r>
      <w:r w:rsidRPr="00F0117E">
        <w:rPr>
          <w:lang w:val="uk-UA"/>
        </w:rPr>
        <w:t>.”</w:t>
      </w:r>
    </w:p>
    <w:p w:rsidR="00E81B07" w:rsidRPr="00F0117E" w:rsidRDefault="00503DD6" w:rsidP="008B2B31">
      <w:pPr>
        <w:pStyle w:val="ECHRPara"/>
        <w:rPr>
          <w:lang w:val="uk-UA"/>
        </w:rPr>
      </w:pPr>
      <w:r w:rsidRPr="00F0117E">
        <w:rPr>
          <w:lang w:val="uk-UA"/>
        </w:rPr>
        <w:t>Робоча група є незалежним дорадчим органом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Європейського Союзу</w:t>
      </w:r>
      <w:r w:rsidR="00E81B07" w:rsidRPr="00F0117E">
        <w:rPr>
          <w:lang w:val="uk-UA"/>
        </w:rPr>
        <w:t xml:space="preserve">. </w:t>
      </w:r>
      <w:r w:rsidRPr="00F0117E">
        <w:rPr>
          <w:lang w:val="uk-UA"/>
        </w:rPr>
        <w:t>У вересні 2001 року вона видала висновок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про обробку персональних даних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у контексті працевлаштування</w:t>
      </w:r>
      <w:r w:rsidR="00E81B07" w:rsidRPr="00F0117E">
        <w:rPr>
          <w:lang w:val="uk-UA"/>
        </w:rPr>
        <w:t xml:space="preserve"> (</w:t>
      </w:r>
      <w:r w:rsidRPr="00F0117E">
        <w:rPr>
          <w:lang w:val="uk-UA"/>
        </w:rPr>
        <w:t>висновок</w:t>
      </w:r>
      <w:r w:rsidR="00E81B07" w:rsidRPr="00F0117E">
        <w:rPr>
          <w:lang w:val="uk-UA"/>
        </w:rPr>
        <w:t xml:space="preserve"> 8/2001), </w:t>
      </w:r>
      <w:r w:rsidRPr="00F0117E">
        <w:rPr>
          <w:lang w:val="uk-UA"/>
        </w:rPr>
        <w:t>який узагальнює основні принципи захисту даних</w:t>
      </w:r>
      <w:r w:rsidR="00E81B07" w:rsidRPr="00F0117E">
        <w:rPr>
          <w:lang w:val="uk-UA"/>
        </w:rPr>
        <w:t xml:space="preserve">: </w:t>
      </w:r>
      <w:r w:rsidRPr="00F0117E">
        <w:rPr>
          <w:lang w:val="uk-UA"/>
        </w:rPr>
        <w:t>закінченість, транспарентність, законність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пропорційність, точність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безпеку та обізнаність персоналу</w:t>
      </w:r>
      <w:r w:rsidR="00E81B07" w:rsidRPr="00F0117E">
        <w:rPr>
          <w:lang w:val="uk-UA"/>
        </w:rPr>
        <w:t xml:space="preserve">. </w:t>
      </w:r>
      <w:r w:rsidRPr="00F0117E">
        <w:rPr>
          <w:lang w:val="uk-UA"/>
        </w:rPr>
        <w:t>У висновку, який Робоча група прийняла відповідно до її ролі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сприяння єдиному застосуванню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національних заходів, вжитих відповідно до Директиви</w:t>
      </w:r>
      <w:r w:rsidR="00E81B07" w:rsidRPr="00F0117E">
        <w:rPr>
          <w:lang w:val="uk-UA"/>
        </w:rPr>
        <w:t xml:space="preserve"> 95/46/EC, </w:t>
      </w:r>
      <w:r w:rsidRPr="00F0117E">
        <w:rPr>
          <w:lang w:val="uk-UA"/>
        </w:rPr>
        <w:t>вона зазначила, що моніторинг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електронної пошти включав обробку персональних даних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і висловила погляд, що будь-який моніторинг працівників повинен бути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</w:t>
      </w:r>
      <w:r w:rsidR="00503DD6" w:rsidRPr="00F0117E">
        <w:rPr>
          <w:lang w:val="uk-UA"/>
        </w:rPr>
        <w:t>пропорційною відповіддю роботодавця</w:t>
      </w:r>
      <w:r w:rsidRPr="00F0117E">
        <w:rPr>
          <w:lang w:val="uk-UA"/>
        </w:rPr>
        <w:t xml:space="preserve"> </w:t>
      </w:r>
      <w:r w:rsidR="00503DD6" w:rsidRPr="00F0117E">
        <w:rPr>
          <w:lang w:val="uk-UA"/>
        </w:rPr>
        <w:t>на ризики, з якими він стикається, беручи до уваги</w:t>
      </w:r>
      <w:r w:rsidRPr="00F0117E">
        <w:rPr>
          <w:lang w:val="uk-UA"/>
        </w:rPr>
        <w:t xml:space="preserve"> </w:t>
      </w:r>
      <w:r w:rsidR="00503DD6" w:rsidRPr="00F0117E">
        <w:rPr>
          <w:lang w:val="uk-UA"/>
        </w:rPr>
        <w:t>законні інтереси недоторканності приватного життя та інші інтереси працівників</w:t>
      </w:r>
      <w:r w:rsidRPr="00F0117E">
        <w:rPr>
          <w:lang w:val="uk-UA"/>
        </w:rPr>
        <w:t>.”</w:t>
      </w:r>
    </w:p>
    <w:bookmarkStart w:id="25" w:name="WorkingpartyUE2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47</w:t>
      </w:r>
      <w:r w:rsidRPr="00F0117E">
        <w:rPr>
          <w:lang w:val="uk-UA"/>
        </w:rPr>
        <w:fldChar w:fldCharType="end"/>
      </w:r>
      <w:bookmarkEnd w:id="25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03DD6" w:rsidRPr="00F0117E">
        <w:rPr>
          <w:lang w:val="uk-UA"/>
        </w:rPr>
        <w:t>У травні</w:t>
      </w:r>
      <w:r w:rsidR="00E81B07" w:rsidRPr="00F0117E">
        <w:rPr>
          <w:lang w:val="uk-UA"/>
        </w:rPr>
        <w:t xml:space="preserve"> 2002 </w:t>
      </w:r>
      <w:r w:rsidR="00503DD6" w:rsidRPr="00F0117E">
        <w:rPr>
          <w:lang w:val="uk-UA"/>
        </w:rPr>
        <w:t>року Робоча група видала робочий документ</w:t>
      </w:r>
      <w:r w:rsidR="00E81B07" w:rsidRPr="00F0117E">
        <w:rPr>
          <w:lang w:val="uk-UA"/>
        </w:rPr>
        <w:t xml:space="preserve"> </w:t>
      </w:r>
      <w:r w:rsidR="00503DD6" w:rsidRPr="00F0117E">
        <w:rPr>
          <w:lang w:val="uk-UA"/>
        </w:rPr>
        <w:t>про спостереження та моніторинг електронних видів спілкування</w:t>
      </w:r>
      <w:r w:rsidR="00E81B07" w:rsidRPr="00F0117E">
        <w:rPr>
          <w:lang w:val="uk-UA"/>
        </w:rPr>
        <w:t xml:space="preserve"> </w:t>
      </w:r>
      <w:r w:rsidR="00503DD6" w:rsidRPr="00F0117E">
        <w:rPr>
          <w:lang w:val="uk-UA"/>
        </w:rPr>
        <w:t>на робочому місці</w:t>
      </w:r>
      <w:r w:rsidR="00E81B07" w:rsidRPr="00F0117E">
        <w:rPr>
          <w:lang w:val="uk-UA"/>
        </w:rPr>
        <w:t xml:space="preserve"> </w:t>
      </w:r>
      <w:r w:rsidR="00503DD6" w:rsidRPr="00F0117E">
        <w:rPr>
          <w:lang w:val="uk-UA"/>
        </w:rPr>
        <w:t>(надалі – «робочий документ»)</w:t>
      </w:r>
      <w:r w:rsidR="00E81B07" w:rsidRPr="00F0117E">
        <w:rPr>
          <w:lang w:val="uk-UA"/>
        </w:rPr>
        <w:t xml:space="preserve">, </w:t>
      </w:r>
      <w:r w:rsidR="00503DD6" w:rsidRPr="00F0117E">
        <w:rPr>
          <w:lang w:val="uk-UA"/>
        </w:rPr>
        <w:t>у якому вона прямо врахувала положення Директиви</w:t>
      </w:r>
      <w:r w:rsidR="00E81B07" w:rsidRPr="00F0117E">
        <w:rPr>
          <w:lang w:val="uk-UA"/>
        </w:rPr>
        <w:t xml:space="preserve"> 95/46/EC</w:t>
      </w:r>
      <w:r w:rsidR="00503DD6" w:rsidRPr="00F0117E">
        <w:rPr>
          <w:lang w:val="uk-UA"/>
        </w:rPr>
        <w:t>,</w:t>
      </w:r>
      <w:r w:rsidR="00E81B07" w:rsidRPr="00F0117E">
        <w:rPr>
          <w:lang w:val="uk-UA"/>
        </w:rPr>
        <w:t xml:space="preserve"> </w:t>
      </w:r>
      <w:r w:rsidR="00503DD6" w:rsidRPr="00F0117E">
        <w:rPr>
          <w:lang w:val="uk-UA"/>
        </w:rPr>
        <w:t>взяті у світлі положень статті</w:t>
      </w:r>
      <w:r w:rsidR="00E81B07" w:rsidRPr="00F0117E">
        <w:rPr>
          <w:lang w:val="uk-UA"/>
        </w:rPr>
        <w:t xml:space="preserve"> 8 </w:t>
      </w:r>
      <w:r w:rsidR="00503DD6" w:rsidRPr="00F0117E">
        <w:rPr>
          <w:lang w:val="uk-UA"/>
        </w:rPr>
        <w:t>Конвенції</w:t>
      </w:r>
      <w:r w:rsidR="00E81B07" w:rsidRPr="00F0117E">
        <w:rPr>
          <w:lang w:val="uk-UA"/>
        </w:rPr>
        <w:t xml:space="preserve">. </w:t>
      </w:r>
      <w:r w:rsidR="00503DD6" w:rsidRPr="00F0117E">
        <w:rPr>
          <w:lang w:val="uk-UA"/>
        </w:rPr>
        <w:t>Робочий документ запевнює, що сам факт того,</w:t>
      </w:r>
      <w:r w:rsidR="00E81B07" w:rsidRPr="00F0117E">
        <w:rPr>
          <w:lang w:val="uk-UA"/>
        </w:rPr>
        <w:t xml:space="preserve"> </w:t>
      </w:r>
      <w:r w:rsidR="00503DD6" w:rsidRPr="00F0117E">
        <w:rPr>
          <w:lang w:val="uk-UA"/>
        </w:rPr>
        <w:t>що моніторинг або спостереження вважаються</w:t>
      </w:r>
      <w:r w:rsidR="00E81B07" w:rsidRPr="00F0117E">
        <w:rPr>
          <w:lang w:val="uk-UA"/>
        </w:rPr>
        <w:t xml:space="preserve"> </w:t>
      </w:r>
      <w:r w:rsidR="00503DD6" w:rsidRPr="00F0117E">
        <w:rPr>
          <w:lang w:val="uk-UA"/>
        </w:rPr>
        <w:t>зручними для інтересів роботодавця</w:t>
      </w:r>
      <w:r w:rsidR="00EE2080">
        <w:rPr>
          <w:lang w:val="uk-UA"/>
        </w:rPr>
        <w:t>,</w:t>
      </w:r>
      <w:r w:rsidR="00E81B07" w:rsidRPr="00F0117E">
        <w:rPr>
          <w:lang w:val="uk-UA"/>
        </w:rPr>
        <w:t xml:space="preserve"> </w:t>
      </w:r>
      <w:r w:rsidR="00503DD6" w:rsidRPr="00F0117E">
        <w:rPr>
          <w:lang w:val="uk-UA"/>
        </w:rPr>
        <w:t>не може виправдати втр</w:t>
      </w:r>
      <w:r w:rsidR="00F63F02" w:rsidRPr="00F0117E">
        <w:rPr>
          <w:lang w:val="uk-UA"/>
        </w:rPr>
        <w:t>учання у приватність працівника</w:t>
      </w:r>
      <w:r w:rsidR="00E81B07" w:rsidRPr="00F0117E">
        <w:rPr>
          <w:lang w:val="uk-UA"/>
        </w:rPr>
        <w:t xml:space="preserve">, </w:t>
      </w:r>
      <w:r w:rsidR="00503DD6" w:rsidRPr="00F0117E">
        <w:rPr>
          <w:lang w:val="uk-UA"/>
        </w:rPr>
        <w:t>і що будь-який моніторинг повинен відповідати чотирьом критеріям</w:t>
      </w:r>
      <w:r w:rsidR="00E81B07" w:rsidRPr="00F0117E">
        <w:rPr>
          <w:lang w:val="uk-UA"/>
        </w:rPr>
        <w:t xml:space="preserve">: </w:t>
      </w:r>
      <w:r w:rsidR="00503DD6" w:rsidRPr="00F0117E">
        <w:rPr>
          <w:lang w:val="uk-UA"/>
        </w:rPr>
        <w:t>транспарентності, необхідності</w:t>
      </w:r>
      <w:r w:rsidR="00E81B07" w:rsidRPr="00F0117E">
        <w:rPr>
          <w:lang w:val="uk-UA"/>
        </w:rPr>
        <w:t xml:space="preserve">, </w:t>
      </w:r>
      <w:r w:rsidR="00503DD6" w:rsidRPr="00F0117E">
        <w:rPr>
          <w:lang w:val="uk-UA"/>
        </w:rPr>
        <w:t>чесності та пропорційності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48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03DD6" w:rsidRPr="00F0117E">
        <w:rPr>
          <w:lang w:val="uk-UA"/>
        </w:rPr>
        <w:t>Стосовно технічного аспекту в робочому документі говориться</w:t>
      </w:r>
      <w:r w:rsidR="00E81B07" w:rsidRPr="00F0117E">
        <w:rPr>
          <w:lang w:val="uk-UA"/>
        </w:rPr>
        <w:t>: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</w:t>
      </w:r>
      <w:r w:rsidR="00503DD6" w:rsidRPr="00F0117E">
        <w:rPr>
          <w:lang w:val="uk-UA"/>
        </w:rPr>
        <w:t xml:space="preserve">Оперативна інформація може бути легко </w:t>
      </w:r>
      <w:r w:rsidR="003E43BA" w:rsidRPr="00F0117E">
        <w:rPr>
          <w:lang w:val="uk-UA"/>
        </w:rPr>
        <w:t>видана</w:t>
      </w:r>
      <w:r w:rsidRPr="00F0117E">
        <w:rPr>
          <w:lang w:val="uk-UA"/>
        </w:rPr>
        <w:t xml:space="preserve"> </w:t>
      </w:r>
      <w:r w:rsidR="00503DD6" w:rsidRPr="00F0117E">
        <w:rPr>
          <w:lang w:val="uk-UA"/>
        </w:rPr>
        <w:t>за допомогою такого програмного забезпечення, як попереджуючі вікна</w:t>
      </w:r>
      <w:r w:rsidRPr="00F0117E">
        <w:rPr>
          <w:lang w:val="uk-UA"/>
        </w:rPr>
        <w:t xml:space="preserve">, </w:t>
      </w:r>
      <w:r w:rsidR="00503DD6" w:rsidRPr="00F0117E">
        <w:rPr>
          <w:lang w:val="uk-UA"/>
        </w:rPr>
        <w:t>які з’являються та попереджають працівника,</w:t>
      </w:r>
      <w:r w:rsidRPr="00F0117E">
        <w:rPr>
          <w:lang w:val="uk-UA"/>
        </w:rPr>
        <w:t xml:space="preserve"> </w:t>
      </w:r>
      <w:r w:rsidR="00503DD6" w:rsidRPr="00F0117E">
        <w:rPr>
          <w:lang w:val="uk-UA"/>
        </w:rPr>
        <w:t>що система виявила та</w:t>
      </w:r>
      <w:r w:rsidRPr="00F0117E">
        <w:rPr>
          <w:lang w:val="uk-UA"/>
        </w:rPr>
        <w:t>/</w:t>
      </w:r>
      <w:r w:rsidR="00503DD6" w:rsidRPr="00F0117E">
        <w:rPr>
          <w:lang w:val="uk-UA"/>
        </w:rPr>
        <w:t>або вжила заходи для запобігання не ухваленого використання</w:t>
      </w:r>
      <w:r w:rsidRPr="00F0117E">
        <w:rPr>
          <w:lang w:val="uk-UA"/>
        </w:rPr>
        <w:t xml:space="preserve"> </w:t>
      </w:r>
      <w:r w:rsidR="00503DD6" w:rsidRPr="00F0117E">
        <w:rPr>
          <w:lang w:val="uk-UA"/>
        </w:rPr>
        <w:t>мережі</w:t>
      </w:r>
      <w:r w:rsidRPr="00F0117E">
        <w:rPr>
          <w:lang w:val="uk-UA"/>
        </w:rPr>
        <w:t>.”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49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03DD6" w:rsidRPr="00F0117E">
        <w:rPr>
          <w:lang w:val="uk-UA"/>
        </w:rPr>
        <w:t>Більш конкретно, стосовно питання доступу</w:t>
      </w:r>
      <w:r w:rsidR="00E81B07" w:rsidRPr="00F0117E">
        <w:rPr>
          <w:lang w:val="uk-UA"/>
        </w:rPr>
        <w:t xml:space="preserve"> </w:t>
      </w:r>
      <w:r w:rsidR="00503DD6" w:rsidRPr="00F0117E">
        <w:rPr>
          <w:lang w:val="uk-UA"/>
        </w:rPr>
        <w:t>до електронних листів працівників</w:t>
      </w:r>
      <w:r w:rsidR="00E81B07" w:rsidRPr="00F0117E">
        <w:rPr>
          <w:lang w:val="uk-UA"/>
        </w:rPr>
        <w:t xml:space="preserve">, </w:t>
      </w:r>
      <w:r w:rsidR="00503DD6" w:rsidRPr="00F0117E">
        <w:rPr>
          <w:lang w:val="uk-UA"/>
        </w:rPr>
        <w:t>робочий документ містить наступне</w:t>
      </w:r>
      <w:r w:rsidR="00E81B07" w:rsidRPr="00F0117E">
        <w:rPr>
          <w:lang w:val="uk-UA"/>
        </w:rPr>
        <w:t>: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lastRenderedPageBreak/>
        <w:t>“</w:t>
      </w:r>
      <w:r w:rsidR="00982681" w:rsidRPr="00F0117E">
        <w:rPr>
          <w:lang w:val="uk-UA"/>
        </w:rPr>
        <w:t xml:space="preserve"> Моніторинг електронної пошти або використання інтернету працівника може вважатися необхідним лише за виняткових обставин</w:t>
      </w:r>
      <w:r w:rsidRPr="00F0117E">
        <w:rPr>
          <w:lang w:val="uk-UA"/>
        </w:rPr>
        <w:t xml:space="preserve">. </w:t>
      </w:r>
      <w:r w:rsidR="009A14DF" w:rsidRPr="00F0117E">
        <w:rPr>
          <w:lang w:val="uk-UA"/>
        </w:rPr>
        <w:t>Наприклад, моніторинг електронної пошти працівника</w:t>
      </w:r>
      <w:r w:rsidRPr="00F0117E">
        <w:rPr>
          <w:lang w:val="uk-UA"/>
        </w:rPr>
        <w:t xml:space="preserve"> </w:t>
      </w:r>
      <w:r w:rsidR="009A14DF" w:rsidRPr="00F0117E">
        <w:rPr>
          <w:lang w:val="uk-UA"/>
        </w:rPr>
        <w:t>може стати необхідним для отримання підтвердження або доказу</w:t>
      </w:r>
      <w:r w:rsidRPr="00F0117E">
        <w:rPr>
          <w:lang w:val="uk-UA"/>
        </w:rPr>
        <w:t xml:space="preserve"> </w:t>
      </w:r>
      <w:r w:rsidR="009A14DF" w:rsidRPr="00F0117E">
        <w:rPr>
          <w:lang w:val="uk-UA"/>
        </w:rPr>
        <w:t>певних дій з його боку</w:t>
      </w:r>
      <w:r w:rsidRPr="00F0117E">
        <w:rPr>
          <w:lang w:val="uk-UA"/>
        </w:rPr>
        <w:t xml:space="preserve">. </w:t>
      </w:r>
      <w:r w:rsidR="009A14DF" w:rsidRPr="00F0117E">
        <w:rPr>
          <w:lang w:val="uk-UA"/>
        </w:rPr>
        <w:t>До таких дій входить злочинна діяльність з боку працівника в тій мірі,</w:t>
      </w:r>
      <w:r w:rsidRPr="00F0117E">
        <w:rPr>
          <w:lang w:val="uk-UA"/>
        </w:rPr>
        <w:t xml:space="preserve"> </w:t>
      </w:r>
      <w:r w:rsidR="009A14DF" w:rsidRPr="00F0117E">
        <w:rPr>
          <w:lang w:val="uk-UA"/>
        </w:rPr>
        <w:t>в якій роботодавцю необхідно захищати власні інтереси</w:t>
      </w:r>
      <w:r w:rsidRPr="00F0117E">
        <w:rPr>
          <w:lang w:val="uk-UA"/>
        </w:rPr>
        <w:t xml:space="preserve">, </w:t>
      </w:r>
      <w:r w:rsidR="009A14DF" w:rsidRPr="00F0117E">
        <w:rPr>
          <w:lang w:val="uk-UA"/>
        </w:rPr>
        <w:t>наприклад, коли він несе відповідальність за дії працівника</w:t>
      </w:r>
      <w:r w:rsidRPr="00F0117E">
        <w:rPr>
          <w:lang w:val="uk-UA"/>
        </w:rPr>
        <w:t xml:space="preserve">. </w:t>
      </w:r>
      <w:r w:rsidR="009A14DF" w:rsidRPr="00F0117E">
        <w:rPr>
          <w:lang w:val="uk-UA"/>
        </w:rPr>
        <w:t>До такої діяльності також може входити виявлення вірусів</w:t>
      </w:r>
      <w:r w:rsidRPr="00F0117E">
        <w:rPr>
          <w:lang w:val="uk-UA"/>
        </w:rPr>
        <w:t xml:space="preserve"> </w:t>
      </w:r>
      <w:r w:rsidR="009A14DF" w:rsidRPr="00F0117E">
        <w:rPr>
          <w:lang w:val="uk-UA"/>
        </w:rPr>
        <w:t>та у загальних термінах – будь-яка діяльність,</w:t>
      </w:r>
      <w:r w:rsidRPr="00F0117E">
        <w:rPr>
          <w:lang w:val="uk-UA"/>
        </w:rPr>
        <w:t xml:space="preserve"> </w:t>
      </w:r>
      <w:r w:rsidR="009A14DF" w:rsidRPr="00F0117E">
        <w:rPr>
          <w:lang w:val="uk-UA"/>
        </w:rPr>
        <w:t>яку роботодавець здійснює для забезпечення захисту системи</w:t>
      </w:r>
      <w:r w:rsidRPr="00F0117E">
        <w:rPr>
          <w:lang w:val="uk-UA"/>
        </w:rPr>
        <w:t>.</w:t>
      </w:r>
    </w:p>
    <w:p w:rsidR="00E81B07" w:rsidRPr="00F0117E" w:rsidRDefault="002E6D7D" w:rsidP="008B2B31">
      <w:pPr>
        <w:pStyle w:val="ECHRParaQuote"/>
        <w:rPr>
          <w:lang w:val="uk-UA"/>
        </w:rPr>
      </w:pPr>
      <w:r w:rsidRPr="00F0117E">
        <w:rPr>
          <w:lang w:val="uk-UA"/>
        </w:rPr>
        <w:t>Слід згадати, що відкриття електронних листів працівників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може також бути необхідним за підстав, які не відносяться до моніторингу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наприклад, для продовження кореспонденції у випадку, якщо працівника немає в офісі</w:t>
      </w:r>
      <w:r w:rsidR="00E81B07" w:rsidRPr="00F0117E">
        <w:rPr>
          <w:lang w:val="uk-UA"/>
        </w:rPr>
        <w:t xml:space="preserve"> (</w:t>
      </w:r>
      <w:r w:rsidRPr="00F0117E">
        <w:rPr>
          <w:lang w:val="uk-UA"/>
        </w:rPr>
        <w:t>у зв’язку з хворобою або відпусткою</w:t>
      </w:r>
      <w:r w:rsidR="00E81B07" w:rsidRPr="00F0117E">
        <w:rPr>
          <w:lang w:val="uk-UA"/>
        </w:rPr>
        <w:t xml:space="preserve">) </w:t>
      </w:r>
      <w:r w:rsidRPr="00F0117E">
        <w:rPr>
          <w:lang w:val="uk-UA"/>
        </w:rPr>
        <w:t>і кореспонденцію неможливо продовжувати без цього</w:t>
      </w:r>
      <w:r w:rsidR="00E81B07" w:rsidRPr="00F0117E">
        <w:rPr>
          <w:lang w:val="uk-UA"/>
        </w:rPr>
        <w:t xml:space="preserve"> (</w:t>
      </w:r>
      <w:r w:rsidRPr="00F0117E">
        <w:rPr>
          <w:lang w:val="uk-UA"/>
        </w:rPr>
        <w:t>наприклад, за допомогою автоматичної відповіді або переадресації</w:t>
      </w:r>
      <w:r w:rsidR="00E81B07" w:rsidRPr="00F0117E">
        <w:rPr>
          <w:lang w:val="uk-UA"/>
        </w:rPr>
        <w:t>).”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50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A96F09" w:rsidRPr="00F0117E">
        <w:rPr>
          <w:lang w:val="uk-UA"/>
        </w:rPr>
        <w:t>Суд Європейського Союзу</w:t>
      </w:r>
      <w:r w:rsidR="00E81B07" w:rsidRPr="00F0117E">
        <w:rPr>
          <w:lang w:val="uk-UA"/>
        </w:rPr>
        <w:t xml:space="preserve"> </w:t>
      </w:r>
      <w:r w:rsidR="00A96F09" w:rsidRPr="00F0117E">
        <w:rPr>
          <w:lang w:val="uk-UA"/>
        </w:rPr>
        <w:t>тлумачив положення Директиви</w:t>
      </w:r>
      <w:r w:rsidR="00E81B07" w:rsidRPr="00F0117E">
        <w:rPr>
          <w:lang w:val="uk-UA"/>
        </w:rPr>
        <w:t xml:space="preserve"> 95/46/EC </w:t>
      </w:r>
      <w:r w:rsidR="00A96F09" w:rsidRPr="00F0117E">
        <w:rPr>
          <w:lang w:val="uk-UA"/>
        </w:rPr>
        <w:t>у світлі права на повагу</w:t>
      </w:r>
      <w:r w:rsidR="00E81B07" w:rsidRPr="00F0117E">
        <w:rPr>
          <w:lang w:val="uk-UA"/>
        </w:rPr>
        <w:t xml:space="preserve"> </w:t>
      </w:r>
      <w:r w:rsidR="00A96F09" w:rsidRPr="00F0117E">
        <w:rPr>
          <w:lang w:val="uk-UA"/>
        </w:rPr>
        <w:t>до приватного життя</w:t>
      </w:r>
      <w:r w:rsidR="00E81B07" w:rsidRPr="00F0117E">
        <w:rPr>
          <w:lang w:val="uk-UA"/>
        </w:rPr>
        <w:t xml:space="preserve">, </w:t>
      </w:r>
      <w:r w:rsidR="00A96F09" w:rsidRPr="00F0117E">
        <w:rPr>
          <w:lang w:val="uk-UA"/>
        </w:rPr>
        <w:t>гарантованого статтею 8 Конвенції, у справі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Österreichischer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Rundfunk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and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Others</w:t>
      </w:r>
      <w:proofErr w:type="spellEnd"/>
      <w:r w:rsidR="00E81B07" w:rsidRPr="00F0117E">
        <w:rPr>
          <w:lang w:val="uk-UA"/>
        </w:rPr>
        <w:t xml:space="preserve"> (C-465/00, C</w:t>
      </w:r>
      <w:r w:rsidR="00E81B07" w:rsidRPr="00F0117E">
        <w:rPr>
          <w:lang w:val="uk-UA"/>
        </w:rPr>
        <w:noBreakHyphen/>
        <w:t xml:space="preserve">138/01 </w:t>
      </w:r>
      <w:r w:rsidR="00A96F09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C</w:t>
      </w:r>
      <w:r w:rsidR="00E81B07" w:rsidRPr="00F0117E">
        <w:rPr>
          <w:lang w:val="uk-UA"/>
        </w:rPr>
        <w:noBreakHyphen/>
        <w:t xml:space="preserve">139/01, </w:t>
      </w:r>
      <w:r w:rsidR="00A96F09" w:rsidRPr="00F0117E">
        <w:rPr>
          <w:lang w:val="uk-UA"/>
        </w:rPr>
        <w:t>рішення від 20 травня</w:t>
      </w:r>
      <w:r w:rsidR="00E81B07" w:rsidRPr="00F0117E">
        <w:rPr>
          <w:lang w:val="uk-UA"/>
        </w:rPr>
        <w:t xml:space="preserve"> 2003</w:t>
      </w:r>
      <w:r w:rsidR="00A96F09" w:rsidRPr="00F0117E">
        <w:rPr>
          <w:lang w:val="uk-UA"/>
        </w:rPr>
        <w:t xml:space="preserve"> року</w:t>
      </w:r>
      <w:r w:rsidR="00E81B07" w:rsidRPr="00F0117E">
        <w:rPr>
          <w:lang w:val="uk-UA"/>
        </w:rPr>
        <w:t xml:space="preserve">, ECLI:EU:C:2003:294, </w:t>
      </w:r>
      <w:r w:rsidR="00A96F09" w:rsidRPr="00F0117E">
        <w:rPr>
          <w:lang w:val="uk-UA"/>
        </w:rPr>
        <w:t>пункти</w:t>
      </w:r>
      <w:r w:rsidR="00E81B07" w:rsidRPr="00F0117E">
        <w:rPr>
          <w:lang w:val="uk-UA"/>
        </w:rPr>
        <w:t xml:space="preserve"> 71 </w:t>
      </w:r>
      <w:r w:rsidR="00A96F09" w:rsidRPr="00F0117E">
        <w:rPr>
          <w:lang w:val="uk-UA"/>
        </w:rPr>
        <w:t>і далі</w:t>
      </w:r>
      <w:r w:rsidR="00E81B07" w:rsidRPr="00F0117E">
        <w:rPr>
          <w:lang w:val="uk-UA"/>
        </w:rPr>
        <w:t>).</w:t>
      </w:r>
    </w:p>
    <w:p w:rsidR="00E81B07" w:rsidRPr="00F0117E" w:rsidRDefault="0002542A" w:rsidP="008B2B31">
      <w:pPr>
        <w:pStyle w:val="ECHRPara"/>
        <w:rPr>
          <w:bCs/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51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A96F09" w:rsidRPr="00F0117E">
        <w:rPr>
          <w:bCs/>
          <w:lang w:val="uk-UA"/>
        </w:rPr>
        <w:t>Рег</w:t>
      </w:r>
      <w:r w:rsidR="00185742" w:rsidRPr="00F0117E">
        <w:rPr>
          <w:bCs/>
          <w:lang w:val="uk-UA"/>
        </w:rPr>
        <w:t>ламент</w:t>
      </w:r>
      <w:r w:rsidR="00E81B07" w:rsidRPr="00F0117E">
        <w:rPr>
          <w:bCs/>
          <w:lang w:val="uk-UA"/>
        </w:rPr>
        <w:t xml:space="preserve"> (EU) 2016/679 </w:t>
      </w:r>
      <w:r w:rsidR="00A96F09" w:rsidRPr="00F0117E">
        <w:rPr>
          <w:bCs/>
          <w:lang w:val="uk-UA"/>
        </w:rPr>
        <w:t>Європейського парламенту</w:t>
      </w:r>
      <w:r w:rsidR="00E81B07" w:rsidRPr="00F0117E">
        <w:rPr>
          <w:bCs/>
          <w:lang w:val="uk-UA"/>
        </w:rPr>
        <w:t xml:space="preserve"> </w:t>
      </w:r>
      <w:r w:rsidR="00A96F09" w:rsidRPr="00F0117E">
        <w:rPr>
          <w:bCs/>
          <w:lang w:val="uk-UA"/>
        </w:rPr>
        <w:t>та Ради від</w:t>
      </w:r>
      <w:r w:rsidR="00E81B07" w:rsidRPr="00F0117E">
        <w:rPr>
          <w:bCs/>
          <w:lang w:val="uk-UA"/>
        </w:rPr>
        <w:t xml:space="preserve"> 27 </w:t>
      </w:r>
      <w:r w:rsidR="00A96F09" w:rsidRPr="00F0117E">
        <w:rPr>
          <w:bCs/>
          <w:lang w:val="uk-UA"/>
        </w:rPr>
        <w:t>квітня</w:t>
      </w:r>
      <w:r w:rsidR="00E81B07" w:rsidRPr="00F0117E">
        <w:rPr>
          <w:bCs/>
          <w:lang w:val="uk-UA"/>
        </w:rPr>
        <w:t xml:space="preserve"> 2016 </w:t>
      </w:r>
      <w:r w:rsidR="00A96F09" w:rsidRPr="00F0117E">
        <w:rPr>
          <w:bCs/>
          <w:lang w:val="uk-UA"/>
        </w:rPr>
        <w:t>року про захист фізичних осіб</w:t>
      </w:r>
      <w:r w:rsidR="00E81B07" w:rsidRPr="00F0117E">
        <w:rPr>
          <w:bCs/>
          <w:lang w:val="uk-UA"/>
        </w:rPr>
        <w:t xml:space="preserve"> </w:t>
      </w:r>
      <w:r w:rsidR="00A96F09" w:rsidRPr="00F0117E">
        <w:rPr>
          <w:bCs/>
          <w:lang w:val="uk-UA"/>
        </w:rPr>
        <w:t>у зв’язку з опрацюванням персональних даних</w:t>
      </w:r>
      <w:r w:rsidR="00E81B07" w:rsidRPr="00F0117E">
        <w:rPr>
          <w:bCs/>
          <w:lang w:val="uk-UA"/>
        </w:rPr>
        <w:t xml:space="preserve"> </w:t>
      </w:r>
      <w:r w:rsidR="00A96F09" w:rsidRPr="00F0117E">
        <w:rPr>
          <w:bCs/>
          <w:lang w:val="uk-UA"/>
        </w:rPr>
        <w:t>і про вільне переміщення таких даних</w:t>
      </w:r>
      <w:r w:rsidR="00E81B07" w:rsidRPr="00F0117E">
        <w:rPr>
          <w:bCs/>
          <w:lang w:val="uk-UA"/>
        </w:rPr>
        <w:t xml:space="preserve">, </w:t>
      </w:r>
      <w:r w:rsidR="00A96F09" w:rsidRPr="00F0117E">
        <w:rPr>
          <w:bCs/>
          <w:lang w:val="uk-UA"/>
        </w:rPr>
        <w:t>і повторювана Директива</w:t>
      </w:r>
      <w:r w:rsidR="00E81B07" w:rsidRPr="00F0117E">
        <w:rPr>
          <w:bCs/>
          <w:lang w:val="uk-UA"/>
        </w:rPr>
        <w:t xml:space="preserve"> 95/46/EC (</w:t>
      </w:r>
      <w:r w:rsidR="00A96F09" w:rsidRPr="00F0117E">
        <w:rPr>
          <w:bCs/>
          <w:lang w:val="uk-UA"/>
        </w:rPr>
        <w:t>Загальний регламент захисту даних</w:t>
      </w:r>
      <w:r w:rsidR="00E81B07" w:rsidRPr="00F0117E">
        <w:rPr>
          <w:bCs/>
          <w:lang w:val="uk-UA"/>
        </w:rPr>
        <w:t xml:space="preserve">), </w:t>
      </w:r>
      <w:r w:rsidR="00A96F09" w:rsidRPr="00F0117E">
        <w:rPr>
          <w:bCs/>
          <w:lang w:val="uk-UA"/>
        </w:rPr>
        <w:t>опубліковані у</w:t>
      </w:r>
      <w:r w:rsidR="00E81B07" w:rsidRPr="00F0117E">
        <w:rPr>
          <w:bCs/>
          <w:lang w:val="uk-UA"/>
        </w:rPr>
        <w:t xml:space="preserve"> OJ 2016 L 119/1, </w:t>
      </w:r>
      <w:r w:rsidR="00A96F09" w:rsidRPr="00F0117E">
        <w:rPr>
          <w:bCs/>
          <w:lang w:val="uk-UA"/>
        </w:rPr>
        <w:t>набули сили</w:t>
      </w:r>
      <w:r w:rsidR="00E81B07" w:rsidRPr="00F0117E">
        <w:rPr>
          <w:bCs/>
          <w:lang w:val="uk-UA"/>
        </w:rPr>
        <w:t xml:space="preserve"> 24 </w:t>
      </w:r>
      <w:r w:rsidR="00A96F09" w:rsidRPr="00F0117E">
        <w:rPr>
          <w:bCs/>
          <w:lang w:val="uk-UA"/>
        </w:rPr>
        <w:t>травня</w:t>
      </w:r>
      <w:r w:rsidR="00E81B07" w:rsidRPr="00F0117E">
        <w:rPr>
          <w:bCs/>
          <w:lang w:val="uk-UA"/>
        </w:rPr>
        <w:t xml:space="preserve"> 2016 </w:t>
      </w:r>
      <w:r w:rsidR="00A96F09" w:rsidRPr="00F0117E">
        <w:rPr>
          <w:bCs/>
          <w:lang w:val="uk-UA"/>
        </w:rPr>
        <w:t xml:space="preserve">та скасують Директиву 95/46/EC, починаючи з </w:t>
      </w:r>
      <w:r w:rsidR="00E81B07" w:rsidRPr="00F0117E">
        <w:rPr>
          <w:bCs/>
          <w:lang w:val="uk-UA"/>
        </w:rPr>
        <w:t xml:space="preserve">25 </w:t>
      </w:r>
      <w:r w:rsidR="00A96F09" w:rsidRPr="00F0117E">
        <w:rPr>
          <w:bCs/>
          <w:lang w:val="uk-UA"/>
        </w:rPr>
        <w:t>травня</w:t>
      </w:r>
      <w:r w:rsidR="00E81B07" w:rsidRPr="00F0117E">
        <w:rPr>
          <w:bCs/>
          <w:lang w:val="uk-UA"/>
        </w:rPr>
        <w:t xml:space="preserve"> 2018</w:t>
      </w:r>
      <w:r w:rsidR="00A96F09" w:rsidRPr="00F0117E">
        <w:rPr>
          <w:bCs/>
          <w:lang w:val="uk-UA"/>
        </w:rPr>
        <w:t xml:space="preserve"> року</w:t>
      </w:r>
      <w:r w:rsidR="00E81B07" w:rsidRPr="00F0117E">
        <w:rPr>
          <w:bCs/>
          <w:lang w:val="uk-UA"/>
        </w:rPr>
        <w:t xml:space="preserve"> (</w:t>
      </w:r>
      <w:r w:rsidR="00A96F09" w:rsidRPr="00F0117E">
        <w:rPr>
          <w:bCs/>
          <w:lang w:val="uk-UA"/>
        </w:rPr>
        <w:t>стаття</w:t>
      </w:r>
      <w:r w:rsidR="00E81B07" w:rsidRPr="00F0117E">
        <w:rPr>
          <w:bCs/>
          <w:lang w:val="uk-UA"/>
        </w:rPr>
        <w:t xml:space="preserve"> 99). </w:t>
      </w:r>
      <w:r w:rsidR="00A96F09" w:rsidRPr="00F0117E">
        <w:rPr>
          <w:bCs/>
          <w:lang w:val="uk-UA"/>
        </w:rPr>
        <w:t>Відповідні положення Регламенту передбачають</w:t>
      </w:r>
      <w:r w:rsidR="00E81B07" w:rsidRPr="00F0117E">
        <w:rPr>
          <w:bCs/>
          <w:lang w:val="uk-UA"/>
        </w:rPr>
        <w:t>:</w:t>
      </w:r>
    </w:p>
    <w:p w:rsidR="00E81B07" w:rsidRPr="00F0117E" w:rsidRDefault="00A96F09" w:rsidP="008B2B31">
      <w:pPr>
        <w:pStyle w:val="ECHRTitleCentre3"/>
        <w:rPr>
          <w:lang w:val="uk-UA"/>
        </w:rPr>
      </w:pPr>
      <w:r w:rsidRPr="00F0117E">
        <w:rPr>
          <w:iCs/>
          <w:lang w:val="uk-UA"/>
        </w:rPr>
        <w:t>Стаття</w:t>
      </w:r>
      <w:r w:rsidR="00E81B07" w:rsidRPr="00F0117E">
        <w:rPr>
          <w:iCs/>
          <w:lang w:val="uk-UA"/>
        </w:rPr>
        <w:t xml:space="preserve"> 30 – </w:t>
      </w:r>
      <w:r w:rsidRPr="00F0117E">
        <w:rPr>
          <w:lang w:val="uk-UA"/>
        </w:rPr>
        <w:t>Записи опрацювання даних</w:t>
      </w:r>
    </w:p>
    <w:p w:rsidR="00E36F4C" w:rsidRPr="00F0117E" w:rsidRDefault="00E81B07" w:rsidP="008B2B31">
      <w:pPr>
        <w:pStyle w:val="ECHRParaQuote"/>
        <w:rPr>
          <w:lang w:val="uk-UA"/>
        </w:rPr>
      </w:pPr>
      <w:r w:rsidRPr="00F0117E">
        <w:rPr>
          <w:bCs/>
          <w:lang w:val="uk-UA"/>
        </w:rPr>
        <w:t>“</w:t>
      </w:r>
      <w:r w:rsidRPr="00F0117E">
        <w:rPr>
          <w:lang w:val="uk-UA"/>
        </w:rPr>
        <w:t>1</w:t>
      </w:r>
      <w:r w:rsidR="00FA6D4F" w:rsidRPr="00F0117E">
        <w:rPr>
          <w:lang w:val="uk-UA"/>
        </w:rPr>
        <w:t xml:space="preserve"> </w:t>
      </w:r>
      <w:r w:rsidR="002368CA" w:rsidRPr="00F0117E">
        <w:rPr>
          <w:lang w:val="uk-UA"/>
        </w:rPr>
        <w:t>Кожний контролер і, за необхідності, представник контролера повинні вести запис опрацювання даних, що належать до його сфери відповідальності. Такий запис повинен містити всю інформацію про</w:t>
      </w:r>
      <w:r w:rsidRPr="00F0117E">
        <w:rPr>
          <w:lang w:val="uk-UA"/>
        </w:rPr>
        <w:t>: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(a)</w:t>
      </w:r>
      <w:r w:rsidR="00FA6D4F" w:rsidRPr="00F0117E">
        <w:rPr>
          <w:lang w:val="uk-UA"/>
        </w:rPr>
        <w:t xml:space="preserve"> </w:t>
      </w:r>
      <w:r w:rsidR="002368CA" w:rsidRPr="00F0117E">
        <w:rPr>
          <w:lang w:val="uk-UA"/>
        </w:rPr>
        <w:t>особу та контактні дані контролера та, за необхідності, об’єднаного контролера, представника контролера та співробітника з питань захисту даних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(b)</w:t>
      </w:r>
      <w:r w:rsidR="00FA6D4F" w:rsidRPr="00F0117E">
        <w:rPr>
          <w:lang w:val="uk-UA"/>
        </w:rPr>
        <w:t xml:space="preserve"> </w:t>
      </w:r>
      <w:r w:rsidR="002368CA" w:rsidRPr="00F0117E">
        <w:rPr>
          <w:lang w:val="uk-UA"/>
        </w:rPr>
        <w:t>цілі цього Регламенту</w:t>
      </w:r>
      <w:r w:rsidRPr="00F0117E">
        <w:rPr>
          <w:lang w:val="uk-UA"/>
        </w:rPr>
        <w:t>;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(c)</w:t>
      </w:r>
      <w:r w:rsidR="00FA6D4F" w:rsidRPr="00F0117E">
        <w:rPr>
          <w:lang w:val="uk-UA"/>
        </w:rPr>
        <w:t xml:space="preserve"> </w:t>
      </w:r>
      <w:r w:rsidR="002368CA" w:rsidRPr="00F0117E">
        <w:rPr>
          <w:lang w:val="uk-UA"/>
        </w:rPr>
        <w:t>опис категорій суб’єктів даних і категорій персональних даних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(d)</w:t>
      </w:r>
      <w:r w:rsidR="00FA6D4F" w:rsidRPr="00F0117E">
        <w:rPr>
          <w:lang w:val="uk-UA"/>
        </w:rPr>
        <w:t xml:space="preserve"> </w:t>
      </w:r>
      <w:r w:rsidR="002368CA" w:rsidRPr="00F0117E">
        <w:rPr>
          <w:lang w:val="uk-UA"/>
        </w:rPr>
        <w:t>категорії одержувачів, яким персональні дані були або будуть розкриті, в тому числі одержувачі в третіх країнах або міжнародні організації</w:t>
      </w:r>
      <w:r w:rsidRPr="00F0117E">
        <w:rPr>
          <w:lang w:val="uk-UA"/>
        </w:rPr>
        <w:t>;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(e)</w:t>
      </w:r>
      <w:r w:rsidR="00FA6D4F" w:rsidRPr="00F0117E">
        <w:rPr>
          <w:lang w:val="uk-UA"/>
        </w:rPr>
        <w:t xml:space="preserve"> </w:t>
      </w:r>
      <w:r w:rsidR="002368CA" w:rsidRPr="00F0117E">
        <w:rPr>
          <w:lang w:val="uk-UA"/>
        </w:rPr>
        <w:t xml:space="preserve">за необхідності, передавання персональних даних третій країні або міжнародній організації, в тому числі, ідентифікацію такої третьої країни чи міжнародної організації та, в разі актів передавання, вказаних у другому </w:t>
      </w:r>
      <w:proofErr w:type="spellStart"/>
      <w:r w:rsidR="002368CA" w:rsidRPr="00F0117E">
        <w:rPr>
          <w:lang w:val="uk-UA"/>
        </w:rPr>
        <w:t>підпараграфі</w:t>
      </w:r>
      <w:proofErr w:type="spellEnd"/>
      <w:r w:rsidR="002368CA" w:rsidRPr="00F0117E">
        <w:rPr>
          <w:lang w:val="uk-UA"/>
        </w:rPr>
        <w:t xml:space="preserve"> статті 49(1), документацію відповідних гарантій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(f)</w:t>
      </w:r>
      <w:r w:rsidR="00FA6D4F" w:rsidRPr="00F0117E">
        <w:rPr>
          <w:lang w:val="uk-UA"/>
        </w:rPr>
        <w:t xml:space="preserve"> </w:t>
      </w:r>
      <w:r w:rsidR="002368CA" w:rsidRPr="00F0117E">
        <w:rPr>
          <w:lang w:val="uk-UA"/>
        </w:rPr>
        <w:t>за можливості, — передбачені часові обмеження для стирання різних категорій даних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(g)</w:t>
      </w:r>
      <w:r w:rsidR="00FA6D4F" w:rsidRPr="00F0117E">
        <w:rPr>
          <w:lang w:val="uk-UA"/>
        </w:rPr>
        <w:t xml:space="preserve"> </w:t>
      </w:r>
      <w:r w:rsidR="002368CA" w:rsidRPr="00F0117E">
        <w:rPr>
          <w:lang w:val="uk-UA"/>
        </w:rPr>
        <w:t>за можливості, — загальний опис технічних і організаційних заходів безпеки, вказаних у статті 32(1)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lastRenderedPageBreak/>
        <w:t>2.</w:t>
      </w:r>
      <w:r w:rsidR="00FA6D4F" w:rsidRPr="00F0117E">
        <w:rPr>
          <w:lang w:val="uk-UA"/>
        </w:rPr>
        <w:t xml:space="preserve"> </w:t>
      </w:r>
      <w:r w:rsidR="002A5C0A" w:rsidRPr="00F0117E">
        <w:rPr>
          <w:lang w:val="uk-UA"/>
        </w:rPr>
        <w:t>Кожний оператор і, за необхідності, представник оператора повинні вести запис усіх категорій опрацювання, які здійснюють від імені контролера, що містить інформацію про</w:t>
      </w:r>
      <w:r w:rsidRPr="00F0117E">
        <w:rPr>
          <w:lang w:val="uk-UA"/>
        </w:rPr>
        <w:t>: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(a)</w:t>
      </w:r>
      <w:r w:rsidR="00FA6D4F" w:rsidRPr="00F0117E">
        <w:rPr>
          <w:lang w:val="uk-UA"/>
        </w:rPr>
        <w:t xml:space="preserve"> </w:t>
      </w:r>
      <w:r w:rsidR="002A5C0A" w:rsidRPr="00F0117E">
        <w:rPr>
          <w:lang w:val="uk-UA"/>
        </w:rPr>
        <w:t>особу та контактні дані оператора чи операторів та кожного контролера, від імені якого діє оператор, та, за необхідності, представника контролера або представника оператора та співробітника з питань захисту даних</w:t>
      </w:r>
      <w:r w:rsidRPr="00F0117E">
        <w:rPr>
          <w:lang w:val="uk-UA"/>
        </w:rPr>
        <w:t>;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(b)</w:t>
      </w:r>
      <w:r w:rsidR="00FA6D4F" w:rsidRPr="00F0117E">
        <w:rPr>
          <w:lang w:val="uk-UA"/>
        </w:rPr>
        <w:t xml:space="preserve"> </w:t>
      </w:r>
      <w:r w:rsidR="002A5C0A" w:rsidRPr="00F0117E">
        <w:rPr>
          <w:lang w:val="uk-UA"/>
        </w:rPr>
        <w:t>категорії опрацювання, що здійснюють від імені кожного контролера</w:t>
      </w:r>
      <w:r w:rsidRPr="00F0117E">
        <w:rPr>
          <w:lang w:val="uk-UA"/>
        </w:rPr>
        <w:t>;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(c)</w:t>
      </w:r>
      <w:r w:rsidR="00FA6D4F" w:rsidRPr="00F0117E">
        <w:rPr>
          <w:lang w:val="uk-UA"/>
        </w:rPr>
        <w:t xml:space="preserve"> </w:t>
      </w:r>
      <w:r w:rsidR="002A5C0A" w:rsidRPr="00F0117E">
        <w:rPr>
          <w:lang w:val="uk-UA"/>
        </w:rPr>
        <w:t xml:space="preserve">за необхідності, передавання персональних даних третій країні або міжнародній організації, в тому числі, ідентифікацію такої третьої країни чи міжнародної організації та, в разі актів передавання, вказаних у другому </w:t>
      </w:r>
      <w:proofErr w:type="spellStart"/>
      <w:r w:rsidR="002A5C0A" w:rsidRPr="00F0117E">
        <w:rPr>
          <w:lang w:val="uk-UA"/>
        </w:rPr>
        <w:t>підпараграфі</w:t>
      </w:r>
      <w:proofErr w:type="spellEnd"/>
      <w:r w:rsidR="002A5C0A" w:rsidRPr="00F0117E">
        <w:rPr>
          <w:lang w:val="uk-UA"/>
        </w:rPr>
        <w:t xml:space="preserve"> статті 49(1), документацію відповідних гарантій</w:t>
      </w:r>
      <w:r w:rsidRPr="00F0117E">
        <w:rPr>
          <w:lang w:val="uk-UA"/>
        </w:rPr>
        <w:t>;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(d)</w:t>
      </w:r>
      <w:r w:rsidR="00FA6D4F" w:rsidRPr="00F0117E">
        <w:rPr>
          <w:lang w:val="uk-UA"/>
        </w:rPr>
        <w:t xml:space="preserve"> </w:t>
      </w:r>
      <w:r w:rsidR="002A5C0A" w:rsidRPr="00F0117E">
        <w:rPr>
          <w:lang w:val="uk-UA"/>
        </w:rPr>
        <w:t>за можливості, — загальний опис технічних і організаційних заходів безпеки, вказаних у статті 32(1)</w:t>
      </w:r>
      <w:r w:rsidRPr="00F0117E">
        <w:rPr>
          <w:lang w:val="uk-UA"/>
        </w:rPr>
        <w:t>.</w:t>
      </w:r>
    </w:p>
    <w:p w:rsidR="00E36F4C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3.</w:t>
      </w:r>
      <w:r w:rsidR="00FA6D4F" w:rsidRPr="00F0117E">
        <w:rPr>
          <w:lang w:val="uk-UA"/>
        </w:rPr>
        <w:t xml:space="preserve"> </w:t>
      </w:r>
      <w:r w:rsidR="002A5C0A" w:rsidRPr="00F0117E">
        <w:rPr>
          <w:lang w:val="uk-UA"/>
        </w:rPr>
        <w:t>Записи, вказані в параграфах 1 і 2, повинні бути оформлені в письмовій формі, в тому числі, — в електронній</w:t>
      </w:r>
      <w:r w:rsidRPr="00F0117E">
        <w:rPr>
          <w:lang w:val="uk-UA"/>
        </w:rPr>
        <w:t>.</w:t>
      </w:r>
    </w:p>
    <w:p w:rsidR="00E36F4C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4.</w:t>
      </w:r>
      <w:r w:rsidR="00FA6D4F" w:rsidRPr="00F0117E">
        <w:rPr>
          <w:lang w:val="uk-UA"/>
        </w:rPr>
        <w:t xml:space="preserve"> </w:t>
      </w:r>
      <w:r w:rsidR="002A5C0A" w:rsidRPr="00F0117E">
        <w:rPr>
          <w:lang w:val="uk-UA"/>
        </w:rPr>
        <w:t>Контролер або оператор і, за необхідності, представник контролера або оператора, повинні надавати запис на запит наглядового органу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5.</w:t>
      </w:r>
      <w:r w:rsidR="00FA6D4F" w:rsidRPr="00F0117E">
        <w:rPr>
          <w:lang w:val="uk-UA"/>
        </w:rPr>
        <w:t xml:space="preserve"> </w:t>
      </w:r>
      <w:r w:rsidR="002A5C0A" w:rsidRPr="00F0117E">
        <w:rPr>
          <w:lang w:val="uk-UA"/>
        </w:rPr>
        <w:t>Обов’язки, вказані в параграфах 1 і 2, не можна застосовувати до підприємства чи організації з кількістю працівників, меншою за 250 осіб, за винятком, якщо здійснюване опрацювання може призвести до виникнення ризику для прав і свобод суб’єктів даних, призначене для окремого випадку, або якщо опрацювання передбачає спеціальні категорії даних, як зазначено в статті 9(1), або персональні дані про судимості і кримінальні злочини, вказані в статті 10</w:t>
      </w:r>
      <w:r w:rsidRPr="00F0117E">
        <w:rPr>
          <w:lang w:val="uk-UA"/>
        </w:rPr>
        <w:t>.”</w:t>
      </w:r>
    </w:p>
    <w:p w:rsidR="00E36F4C" w:rsidRPr="00F0117E" w:rsidRDefault="002A5C0A" w:rsidP="008B2B31">
      <w:pPr>
        <w:pStyle w:val="ECHRTitleCentre3"/>
        <w:rPr>
          <w:lang w:val="uk-UA"/>
        </w:rPr>
      </w:pPr>
      <w:r w:rsidRPr="00F0117E">
        <w:rPr>
          <w:iCs/>
          <w:lang w:val="uk-UA"/>
        </w:rPr>
        <w:t>Стаття</w:t>
      </w:r>
      <w:r w:rsidR="00E81B07" w:rsidRPr="00F0117E">
        <w:rPr>
          <w:iCs/>
          <w:lang w:val="uk-UA"/>
        </w:rPr>
        <w:t xml:space="preserve"> 47 –</w:t>
      </w:r>
      <w:r w:rsidR="00E81B07" w:rsidRPr="00F0117E">
        <w:rPr>
          <w:i/>
          <w:iCs/>
          <w:lang w:val="uk-UA"/>
        </w:rPr>
        <w:t xml:space="preserve"> </w:t>
      </w:r>
      <w:r w:rsidRPr="00F0117E">
        <w:rPr>
          <w:lang w:val="uk-UA"/>
        </w:rPr>
        <w:t>Зобов’язальні корпоративні правила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bCs/>
          <w:lang w:val="uk-UA"/>
        </w:rPr>
        <w:t>“</w:t>
      </w:r>
      <w:r w:rsidRPr="00F0117E">
        <w:rPr>
          <w:lang w:val="uk-UA"/>
        </w:rPr>
        <w:t>1.</w:t>
      </w:r>
      <w:r w:rsidR="00FA6D4F" w:rsidRPr="00F0117E">
        <w:rPr>
          <w:lang w:val="uk-UA"/>
        </w:rPr>
        <w:t xml:space="preserve"> </w:t>
      </w:r>
      <w:r w:rsidR="00F20FAD" w:rsidRPr="00F0117E">
        <w:rPr>
          <w:lang w:val="uk-UA"/>
        </w:rPr>
        <w:t>Компетентний наглядовий орган затверджує зобов’язальні корпоративні правила відповідно до механізму послідовності, встановленого в статті 63, за умови, що вони</w:t>
      </w:r>
      <w:r w:rsidRPr="00F0117E">
        <w:rPr>
          <w:lang w:val="uk-UA"/>
        </w:rPr>
        <w:t>: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(a)</w:t>
      </w:r>
      <w:r w:rsidR="00FA6D4F" w:rsidRPr="00F0117E">
        <w:rPr>
          <w:lang w:val="uk-UA"/>
        </w:rPr>
        <w:t xml:space="preserve"> </w:t>
      </w:r>
      <w:r w:rsidR="00F20FAD" w:rsidRPr="00F0117E">
        <w:rPr>
          <w:lang w:val="uk-UA"/>
        </w:rPr>
        <w:t>мають обов’язкову юридичну силу, їх застосовує і забезпечує їх виконання кожний зацікавлений член групи підприємств або групи підприємств, що здійснюють спільну господарську діяльність, в тому числі, їхні працівники</w:t>
      </w:r>
      <w:r w:rsidRPr="00F0117E">
        <w:rPr>
          <w:lang w:val="uk-UA"/>
        </w:rPr>
        <w:t>;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(b)</w:t>
      </w:r>
      <w:r w:rsidR="00FA6D4F" w:rsidRPr="00F0117E">
        <w:rPr>
          <w:lang w:val="uk-UA"/>
        </w:rPr>
        <w:t xml:space="preserve"> </w:t>
      </w:r>
      <w:r w:rsidR="00F20FAD" w:rsidRPr="00F0117E">
        <w:rPr>
          <w:lang w:val="uk-UA"/>
        </w:rPr>
        <w:t>прямо надають суб’єктам даних права, як</w:t>
      </w:r>
      <w:r w:rsidR="00D42C12">
        <w:rPr>
          <w:lang w:val="uk-UA"/>
        </w:rPr>
        <w:t>і</w:t>
      </w:r>
      <w:r w:rsidR="00F20FAD" w:rsidRPr="00F0117E">
        <w:rPr>
          <w:lang w:val="uk-UA"/>
        </w:rPr>
        <w:t xml:space="preserve"> можна реалізувати, у зв’язку з опрацюванням їхніх персональних даних; і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(c)</w:t>
      </w:r>
      <w:r w:rsidR="00FA6D4F" w:rsidRPr="00F0117E">
        <w:rPr>
          <w:lang w:val="uk-UA"/>
        </w:rPr>
        <w:t xml:space="preserve"> </w:t>
      </w:r>
      <w:r w:rsidR="00F20FAD" w:rsidRPr="00F0117E">
        <w:rPr>
          <w:lang w:val="uk-UA"/>
        </w:rPr>
        <w:t>відповідають вимогам, встановленим у параграфі 2</w:t>
      </w:r>
      <w:r w:rsidRPr="00F0117E">
        <w:rPr>
          <w:lang w:val="uk-UA"/>
        </w:rPr>
        <w:t>.</w:t>
      </w:r>
    </w:p>
    <w:p w:rsidR="00E36F4C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2.</w:t>
      </w:r>
      <w:r w:rsidR="00FA6D4F" w:rsidRPr="00F0117E">
        <w:rPr>
          <w:lang w:val="uk-UA"/>
        </w:rPr>
        <w:t xml:space="preserve"> </w:t>
      </w:r>
      <w:r w:rsidR="00F20FAD" w:rsidRPr="00F0117E">
        <w:rPr>
          <w:lang w:val="uk-UA"/>
        </w:rPr>
        <w:t>Зобов’язальні корпоративні правила, вказані в параграфі 1, повинні чітко визначати принаймні</w:t>
      </w:r>
      <w:r w:rsidRPr="00F0117E">
        <w:rPr>
          <w:lang w:val="uk-UA"/>
        </w:rPr>
        <w:t>: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(a)</w:t>
      </w:r>
      <w:r w:rsidR="00FA6D4F" w:rsidRPr="00F0117E">
        <w:rPr>
          <w:lang w:val="uk-UA"/>
        </w:rPr>
        <w:t xml:space="preserve"> </w:t>
      </w:r>
      <w:r w:rsidR="00F20FAD" w:rsidRPr="00F0117E">
        <w:rPr>
          <w:lang w:val="uk-UA"/>
        </w:rPr>
        <w:t>структуру та контактні дані групи підприємств або групи підприємств, що здійснюють спільну господарську діяльність, та кожного з їхніх членів</w:t>
      </w:r>
      <w:r w:rsidRPr="00F0117E">
        <w:rPr>
          <w:lang w:val="uk-UA"/>
        </w:rPr>
        <w:t>;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(b)</w:t>
      </w:r>
      <w:r w:rsidR="00FA6D4F" w:rsidRPr="00F0117E">
        <w:rPr>
          <w:lang w:val="uk-UA"/>
        </w:rPr>
        <w:t xml:space="preserve"> </w:t>
      </w:r>
      <w:r w:rsidR="00F20FAD" w:rsidRPr="00F0117E">
        <w:rPr>
          <w:lang w:val="uk-UA"/>
        </w:rPr>
        <w:t>передавання даних чи низку актів передавання, у тому числі категорії персональних даних, тип опрацювання і його цілі, тип суб’єктів даних, що зазнали впливу, та визначення відповідної третьої країни чи країн</w:t>
      </w:r>
      <w:r w:rsidRPr="00F0117E">
        <w:rPr>
          <w:lang w:val="uk-UA"/>
        </w:rPr>
        <w:t>;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(c)</w:t>
      </w:r>
      <w:r w:rsidR="00FA6D4F" w:rsidRPr="00F0117E">
        <w:rPr>
          <w:lang w:val="uk-UA"/>
        </w:rPr>
        <w:t xml:space="preserve"> </w:t>
      </w:r>
      <w:r w:rsidR="00F20FAD" w:rsidRPr="00F0117E">
        <w:rPr>
          <w:lang w:val="uk-UA"/>
        </w:rPr>
        <w:t>їхню обов’язкову юридичну природу, як внутрішню, так і зовнішню</w:t>
      </w:r>
      <w:r w:rsidRPr="00F0117E">
        <w:rPr>
          <w:lang w:val="uk-UA"/>
        </w:rPr>
        <w:t>;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lastRenderedPageBreak/>
        <w:t>(d)</w:t>
      </w:r>
      <w:r w:rsidR="00FA6D4F" w:rsidRPr="00F0117E">
        <w:rPr>
          <w:lang w:val="uk-UA"/>
        </w:rPr>
        <w:t xml:space="preserve"> </w:t>
      </w:r>
      <w:r w:rsidR="00F20FAD" w:rsidRPr="00F0117E">
        <w:rPr>
          <w:lang w:val="uk-UA"/>
        </w:rPr>
        <w:t>застосування загальних принципів захисту даних, зокрема, цільове обмеження, мінімізацію даних, обмежені періоди зберігання, якість даних, захист даних за призначенням і за замовчуванням, законодавчу базу опрацювання, опрацювання спеціальних категорій персональних даних, заходи для гарантування безпеки даних і вимоги щодо наступних актів передавання до органів, що не пов’язані зобов’язальними корпоративними правилами</w:t>
      </w:r>
      <w:r w:rsidRPr="00F0117E">
        <w:rPr>
          <w:lang w:val="uk-UA"/>
        </w:rPr>
        <w:t>;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(e)</w:t>
      </w:r>
      <w:r w:rsidR="00FA6D4F" w:rsidRPr="00F0117E">
        <w:rPr>
          <w:lang w:val="uk-UA"/>
        </w:rPr>
        <w:t xml:space="preserve"> </w:t>
      </w:r>
      <w:r w:rsidR="00F20FAD" w:rsidRPr="00F0117E">
        <w:rPr>
          <w:lang w:val="uk-UA"/>
        </w:rPr>
        <w:t xml:space="preserve">права суб’єктів даних у сфері опрацювання і засоби реалізації таких прав, у тому числі, права не підлягати рішенням, що ґрунтуються винятково на автоматизованому опрацюванні, в тому числі, </w:t>
      </w:r>
      <w:proofErr w:type="spellStart"/>
      <w:r w:rsidR="00F20FAD" w:rsidRPr="00F0117E">
        <w:rPr>
          <w:lang w:val="uk-UA"/>
        </w:rPr>
        <w:t>профайлінгу</w:t>
      </w:r>
      <w:proofErr w:type="spellEnd"/>
      <w:r w:rsidR="00F20FAD" w:rsidRPr="00F0117E">
        <w:rPr>
          <w:lang w:val="uk-UA"/>
        </w:rPr>
        <w:t xml:space="preserve"> відповідно до статті 22, права подавати скаргу до компетентного наглядового органу та компетентних судів держав-членів згідно зі статтею 79, та отримувати правовий захист і, за необхідності, відшкодування за порушення зобов’язальних корпоративних правил</w:t>
      </w:r>
      <w:r w:rsidRPr="00F0117E">
        <w:rPr>
          <w:lang w:val="uk-UA"/>
        </w:rPr>
        <w:t>;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(f)</w:t>
      </w:r>
      <w:r w:rsidR="00FA6D4F" w:rsidRPr="00F0117E">
        <w:rPr>
          <w:lang w:val="uk-UA"/>
        </w:rPr>
        <w:t xml:space="preserve"> </w:t>
      </w:r>
      <w:r w:rsidR="00F20FAD" w:rsidRPr="00F0117E">
        <w:rPr>
          <w:lang w:val="uk-UA"/>
        </w:rPr>
        <w:t>визнання контролером або оператором, що має осідок на території держави-члена, відповідальності за будь-які порушення зобов’язальних корпоративних правил будь-яким залученим членом, що перебуває поза межами Союзу; контролер або оператор звільняються від такої відповідальності частково або повністю лише за умов доведення, що такий член не несе відповідальності за подію, внаслідок якої заподіяно шкоду</w:t>
      </w:r>
      <w:r w:rsidRPr="00F0117E">
        <w:rPr>
          <w:lang w:val="uk-UA"/>
        </w:rPr>
        <w:t>;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(g)</w:t>
      </w:r>
      <w:r w:rsidR="00FA6D4F" w:rsidRPr="00F0117E">
        <w:rPr>
          <w:lang w:val="uk-UA"/>
        </w:rPr>
        <w:t xml:space="preserve"> </w:t>
      </w:r>
      <w:r w:rsidR="00F20FAD" w:rsidRPr="00F0117E">
        <w:rPr>
          <w:lang w:val="uk-UA"/>
        </w:rPr>
        <w:t>як інформацію про зобов’язальні корпоративні правила, зокрема про положення, вказані в пунктах (г), (е) і (£) цього параграфа, надають суб’єктам даних, в доповнення до статей 13 і 14</w:t>
      </w:r>
      <w:r w:rsidRPr="00F0117E">
        <w:rPr>
          <w:lang w:val="uk-UA"/>
        </w:rPr>
        <w:t>;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(h)</w:t>
      </w:r>
      <w:r w:rsidR="00FA6D4F" w:rsidRPr="00F0117E">
        <w:rPr>
          <w:lang w:val="uk-UA"/>
        </w:rPr>
        <w:t xml:space="preserve"> </w:t>
      </w:r>
      <w:r w:rsidR="00F20FAD" w:rsidRPr="00F0117E">
        <w:rPr>
          <w:lang w:val="uk-UA"/>
        </w:rPr>
        <w:t>завдання будь-якого співробітника з питань захисту даних, призначеного відповідно до статті 37, або будь-якої іншої особи чи установи, відповідальної за моніторинг дотримання зобов’язальних корпоративних правил в межах групи підприємств або групи підприємств, що здійснюють спільну господарську діяльність, а також моніторинг підготування та розгляду скарг</w:t>
      </w:r>
      <w:r w:rsidRPr="00F0117E">
        <w:rPr>
          <w:lang w:val="uk-UA"/>
        </w:rPr>
        <w:t>;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(i)</w:t>
      </w:r>
      <w:r w:rsidR="00FA6D4F" w:rsidRPr="00F0117E">
        <w:rPr>
          <w:lang w:val="uk-UA"/>
        </w:rPr>
        <w:t xml:space="preserve"> </w:t>
      </w:r>
      <w:r w:rsidR="00F20FAD" w:rsidRPr="00F0117E">
        <w:rPr>
          <w:lang w:val="uk-UA"/>
        </w:rPr>
        <w:t>процедури подання і розгляду скарг</w:t>
      </w:r>
      <w:r w:rsidRPr="00F0117E">
        <w:rPr>
          <w:lang w:val="uk-UA"/>
        </w:rPr>
        <w:t>;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(j)</w:t>
      </w:r>
      <w:r w:rsidR="00FA6D4F" w:rsidRPr="00F0117E">
        <w:rPr>
          <w:lang w:val="uk-UA"/>
        </w:rPr>
        <w:t xml:space="preserve"> </w:t>
      </w:r>
      <w:r w:rsidR="00193E53" w:rsidRPr="00F0117E">
        <w:rPr>
          <w:lang w:val="uk-UA"/>
        </w:rPr>
        <w:t>механізми в межах групи підприємств або групи підприємств, що здійснюють спільну господарську діяльність, для забезпечення перевірки відповідності зобов’язальним корпоративним правилам. Такі механізми передбачають перевірки захисту даних і методи забезпечення вжиття виправних дій для захисту прав суб’єкта даних. Результати такої перевірки необхідно повідомляти особі чи установі, вказаній в пункті (</w:t>
      </w:r>
      <w:r w:rsidR="00592BEE">
        <w:t>h</w:t>
      </w:r>
      <w:r w:rsidR="00193E53" w:rsidRPr="00F0117E">
        <w:rPr>
          <w:lang w:val="uk-UA"/>
        </w:rPr>
        <w:t>), і раді контролюючого підприємства групи підприємств чи групи підприємств, що здійснюють спільну господарську діяльність, та надавати на запит компетентного наглядового органу</w:t>
      </w:r>
      <w:r w:rsidRPr="00F0117E">
        <w:rPr>
          <w:lang w:val="uk-UA"/>
        </w:rPr>
        <w:t>;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(k)</w:t>
      </w:r>
      <w:r w:rsidR="00FA6D4F" w:rsidRPr="00F0117E">
        <w:rPr>
          <w:lang w:val="uk-UA"/>
        </w:rPr>
        <w:t xml:space="preserve"> </w:t>
      </w:r>
      <w:r w:rsidR="00193E53" w:rsidRPr="00F0117E">
        <w:rPr>
          <w:lang w:val="uk-UA"/>
        </w:rPr>
        <w:t>механізми для звітування та запису змін до правил і звітування про такі зміни до наглядового органу</w:t>
      </w:r>
      <w:r w:rsidRPr="00F0117E">
        <w:rPr>
          <w:lang w:val="uk-UA"/>
        </w:rPr>
        <w:t>;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(l)</w:t>
      </w:r>
      <w:r w:rsidR="00FA6D4F" w:rsidRPr="00F0117E">
        <w:rPr>
          <w:lang w:val="uk-UA"/>
        </w:rPr>
        <w:t xml:space="preserve"> </w:t>
      </w:r>
      <w:r w:rsidR="00193E53" w:rsidRPr="00F0117E">
        <w:rPr>
          <w:lang w:val="uk-UA"/>
        </w:rPr>
        <w:t>механізм співпраці з наглядовим органом для забезпечення дотримання будь-яким членом групи підприємств або групи підприємств, що здійснюють спільну господарську діяльність, зокрема шляхом надання наглядовому органу результатів перевірок заходів, вказаних у пункті (j)</w:t>
      </w:r>
      <w:r w:rsidRPr="00F0117E">
        <w:rPr>
          <w:lang w:val="uk-UA"/>
        </w:rPr>
        <w:t>;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(m)</w:t>
      </w:r>
      <w:r w:rsidR="00FA6D4F" w:rsidRPr="00F0117E">
        <w:rPr>
          <w:lang w:val="uk-UA"/>
        </w:rPr>
        <w:t xml:space="preserve"> </w:t>
      </w:r>
      <w:r w:rsidR="00193E53" w:rsidRPr="00F0117E">
        <w:rPr>
          <w:lang w:val="uk-UA"/>
        </w:rPr>
        <w:t xml:space="preserve">механізми для звітування до компетентного наглядового органу про будь-які законні вимоги, які поширюються на члена групи підприємств або групи підприємств, що здійснюють спільну господарську діяльність в третій </w:t>
      </w:r>
      <w:r w:rsidR="00193E53" w:rsidRPr="00F0117E">
        <w:rPr>
          <w:lang w:val="uk-UA"/>
        </w:rPr>
        <w:lastRenderedPageBreak/>
        <w:t>країні, що ймовірно матимуть суттєві негативні наслідки для гарантій, передбачених зобов’язальними корпоративними правилами; та</w:t>
      </w:r>
    </w:p>
    <w:p w:rsidR="00E36F4C" w:rsidRPr="00F0117E" w:rsidRDefault="00E81B07" w:rsidP="008B2B31">
      <w:pPr>
        <w:pStyle w:val="JuQuotSub"/>
        <w:rPr>
          <w:lang w:val="uk-UA"/>
        </w:rPr>
      </w:pPr>
      <w:r w:rsidRPr="00F0117E">
        <w:rPr>
          <w:lang w:val="uk-UA"/>
        </w:rPr>
        <w:t>(n)</w:t>
      </w:r>
      <w:r w:rsidR="00FA6D4F" w:rsidRPr="00F0117E">
        <w:rPr>
          <w:lang w:val="uk-UA"/>
        </w:rPr>
        <w:t xml:space="preserve"> </w:t>
      </w:r>
      <w:r w:rsidR="00193E53" w:rsidRPr="00F0117E">
        <w:rPr>
          <w:lang w:val="uk-UA"/>
        </w:rPr>
        <w:t>відповідне навчання з питань захисту даних для персоналу, що має постійний або регулярний доступ до персональних даних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3.</w:t>
      </w:r>
      <w:r w:rsidR="00FA6D4F" w:rsidRPr="00F0117E">
        <w:rPr>
          <w:lang w:val="uk-UA"/>
        </w:rPr>
        <w:t xml:space="preserve"> </w:t>
      </w:r>
      <w:r w:rsidR="00193E53" w:rsidRPr="00F0117E">
        <w:rPr>
          <w:lang w:val="uk-UA"/>
        </w:rPr>
        <w:t xml:space="preserve">Комісія має право визначити формат і процедури для обміну інформацією між контролерами, операторами і наглядовими органами для виконання зобов’язальних корпоративних правил у значенні цієї статті. Такі </w:t>
      </w:r>
      <w:proofErr w:type="spellStart"/>
      <w:r w:rsidR="00193E53" w:rsidRPr="00F0117E">
        <w:rPr>
          <w:lang w:val="uk-UA"/>
        </w:rPr>
        <w:t>імплементаційні</w:t>
      </w:r>
      <w:proofErr w:type="spellEnd"/>
      <w:r w:rsidR="00193E53" w:rsidRPr="00F0117E">
        <w:rPr>
          <w:lang w:val="uk-UA"/>
        </w:rPr>
        <w:t xml:space="preserve"> акти ухвалюють відповідно до експертної процедури, встановленої в статті 93(2)</w:t>
      </w:r>
      <w:r w:rsidRPr="00F0117E">
        <w:rPr>
          <w:lang w:val="uk-UA"/>
        </w:rPr>
        <w:t>.”</w:t>
      </w:r>
    </w:p>
    <w:p w:rsidR="00E36F4C" w:rsidRPr="00F0117E" w:rsidRDefault="00882401" w:rsidP="008B2B31">
      <w:pPr>
        <w:pStyle w:val="ECHRTitleCentre3"/>
        <w:rPr>
          <w:lang w:val="uk-UA"/>
        </w:rPr>
      </w:pPr>
      <w:r w:rsidRPr="00F0117E">
        <w:rPr>
          <w:iCs/>
          <w:lang w:val="uk-UA"/>
        </w:rPr>
        <w:t>Стаття</w:t>
      </w:r>
      <w:r w:rsidR="00E81B07" w:rsidRPr="00F0117E">
        <w:rPr>
          <w:iCs/>
          <w:lang w:val="uk-UA"/>
        </w:rPr>
        <w:t xml:space="preserve"> 88</w:t>
      </w:r>
      <w:r w:rsidR="00E81B07" w:rsidRPr="00F0117E">
        <w:rPr>
          <w:i/>
          <w:iCs/>
          <w:lang w:val="uk-UA"/>
        </w:rPr>
        <w:t xml:space="preserve"> </w:t>
      </w:r>
      <w:r w:rsidR="00E81B07" w:rsidRPr="00F0117E">
        <w:rPr>
          <w:iCs/>
          <w:lang w:val="uk-UA"/>
        </w:rPr>
        <w:t xml:space="preserve">– </w:t>
      </w:r>
      <w:r w:rsidRPr="00F0117E">
        <w:rPr>
          <w:lang w:val="uk-UA"/>
        </w:rPr>
        <w:t>Опрацювання в контексті зайнятості</w:t>
      </w:r>
    </w:p>
    <w:p w:rsidR="00E36F4C" w:rsidRPr="00F0117E" w:rsidRDefault="00E81B07" w:rsidP="008B2B31">
      <w:pPr>
        <w:pStyle w:val="ECHRParaQuote"/>
        <w:rPr>
          <w:lang w:val="uk-UA"/>
        </w:rPr>
      </w:pPr>
      <w:r w:rsidRPr="00F0117E">
        <w:rPr>
          <w:bCs/>
          <w:lang w:val="uk-UA"/>
        </w:rPr>
        <w:t>“</w:t>
      </w:r>
      <w:r w:rsidRPr="00F0117E">
        <w:rPr>
          <w:lang w:val="uk-UA"/>
        </w:rPr>
        <w:t>1.</w:t>
      </w:r>
      <w:r w:rsidR="00FA6D4F" w:rsidRPr="00F0117E">
        <w:rPr>
          <w:lang w:val="uk-UA"/>
        </w:rPr>
        <w:t xml:space="preserve"> </w:t>
      </w:r>
      <w:r w:rsidR="00882401" w:rsidRPr="00F0117E">
        <w:rPr>
          <w:lang w:val="uk-UA"/>
        </w:rPr>
        <w:t>Держави-члени можуть, за допомогою закону чи колективних угод, передбачати спеціальні норми для забезпечення захисту прав і свобод щодо опрацювання персональних даних працівників у контексті зайнятості, зокрема для цілей працевлаштування, виконання трудового договору, в тому числі, виконання обов’язків, установлених законом або колективними угодами, управління, планування та організацію праці, рівність та різноманітність на робочому місці, здоров’я та безпеку на робочому місці, для цілей реалізації і користування, індивідуально чи колективно, правами та перевагами, пов’язаними із зайнятістю, та для цілей припинення трудових відносин</w:t>
      </w:r>
      <w:r w:rsidRPr="00F0117E">
        <w:rPr>
          <w:lang w:val="uk-UA"/>
        </w:rPr>
        <w:t>.</w:t>
      </w:r>
    </w:p>
    <w:p w:rsidR="00E36F4C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2.</w:t>
      </w:r>
      <w:r w:rsidR="00FA6D4F" w:rsidRPr="00F0117E">
        <w:rPr>
          <w:lang w:val="uk-UA"/>
        </w:rPr>
        <w:t xml:space="preserve"> </w:t>
      </w:r>
      <w:r w:rsidR="00882401" w:rsidRPr="00F0117E">
        <w:rPr>
          <w:lang w:val="uk-UA"/>
        </w:rPr>
        <w:t>Такі норми повинні включати відповідні і спеціальні заходи для захисту людської гідності суб’єкта даних, законних інтересів і фундаментальних прав, з особливим урахуванням прозорості опрацювання, передавання персональних даних у межах групи підприємств або групи підприємств, що здійснюють спільну господарську діяльність, та систем моніторингу на робочому місці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3.</w:t>
      </w:r>
      <w:r w:rsidR="00FA6D4F" w:rsidRPr="00F0117E">
        <w:rPr>
          <w:lang w:val="uk-UA"/>
        </w:rPr>
        <w:t xml:space="preserve"> </w:t>
      </w:r>
      <w:r w:rsidR="00882401" w:rsidRPr="00F0117E">
        <w:rPr>
          <w:lang w:val="uk-UA"/>
        </w:rPr>
        <w:t>Кожна держава-член повідомляє Комісію про такі положення свого закону, який вона ухвалює відповідно до параграфа 1, до 25 травня 2018 року та, без затримки, про будь-які подальші зміни і доповнення, що на них впливають</w:t>
      </w:r>
      <w:r w:rsidRPr="00F0117E">
        <w:rPr>
          <w:lang w:val="uk-UA"/>
        </w:rPr>
        <w:t>.”</w:t>
      </w:r>
    </w:p>
    <w:p w:rsidR="00E81B07" w:rsidRPr="00F0117E" w:rsidRDefault="00E81B07" w:rsidP="008B2B31">
      <w:pPr>
        <w:pStyle w:val="ECHRHeading1"/>
        <w:rPr>
          <w:lang w:val="uk-UA"/>
        </w:rPr>
      </w:pPr>
      <w:r w:rsidRPr="00F0117E">
        <w:rPr>
          <w:lang w:val="uk-UA"/>
        </w:rPr>
        <w:t>V.</w:t>
      </w:r>
      <w:r w:rsidR="00FA6D4F" w:rsidRPr="00F0117E">
        <w:rPr>
          <w:lang w:val="uk-UA"/>
        </w:rPr>
        <w:t xml:space="preserve"> </w:t>
      </w:r>
      <w:r w:rsidR="00882401" w:rsidRPr="00F0117E">
        <w:rPr>
          <w:lang w:val="uk-UA"/>
        </w:rPr>
        <w:t>ПОРІВНЯЛЬНЕ ПРАВО</w:t>
      </w:r>
    </w:p>
    <w:bookmarkStart w:id="26" w:name="Dr_comp_absence_consensus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52</w:t>
      </w:r>
      <w:r w:rsidRPr="00F0117E">
        <w:rPr>
          <w:lang w:val="uk-UA"/>
        </w:rPr>
        <w:fldChar w:fldCharType="end"/>
      </w:r>
      <w:bookmarkEnd w:id="26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882401" w:rsidRPr="00F0117E">
        <w:rPr>
          <w:lang w:val="uk-UA"/>
        </w:rPr>
        <w:t>Доступні Суду документи стосовно законодавства</w:t>
      </w:r>
      <w:r w:rsidR="00E81B07" w:rsidRPr="00F0117E">
        <w:rPr>
          <w:lang w:val="uk-UA"/>
        </w:rPr>
        <w:t xml:space="preserve"> </w:t>
      </w:r>
      <w:r w:rsidR="00882401" w:rsidRPr="00F0117E">
        <w:rPr>
          <w:lang w:val="uk-UA"/>
        </w:rPr>
        <w:t>держав-членів Ради Європи</w:t>
      </w:r>
      <w:r w:rsidR="00E81B07" w:rsidRPr="00F0117E">
        <w:rPr>
          <w:lang w:val="uk-UA"/>
        </w:rPr>
        <w:t xml:space="preserve">, </w:t>
      </w:r>
      <w:r w:rsidR="00882401" w:rsidRPr="00F0117E">
        <w:rPr>
          <w:lang w:val="uk-UA"/>
        </w:rPr>
        <w:t>зокрема, дослідження тридцяти чотирьох з них</w:t>
      </w:r>
      <w:r w:rsidR="00E81B07" w:rsidRPr="00F0117E">
        <w:rPr>
          <w:lang w:val="uk-UA"/>
        </w:rPr>
        <w:t xml:space="preserve">, </w:t>
      </w:r>
      <w:r w:rsidR="00882401" w:rsidRPr="00F0117E">
        <w:rPr>
          <w:lang w:val="uk-UA"/>
        </w:rPr>
        <w:t>вказують, що всі відповідні держави</w:t>
      </w:r>
      <w:r w:rsidR="00E81B07" w:rsidRPr="00F0117E">
        <w:rPr>
          <w:lang w:val="uk-UA"/>
        </w:rPr>
        <w:t xml:space="preserve"> </w:t>
      </w:r>
      <w:r w:rsidR="00882401" w:rsidRPr="00F0117E">
        <w:rPr>
          <w:lang w:val="uk-UA"/>
        </w:rPr>
        <w:t>визнають у загальних поняттях, на конституційному або статутному рівні</w:t>
      </w:r>
      <w:r w:rsidR="00E81B07" w:rsidRPr="00F0117E">
        <w:rPr>
          <w:lang w:val="uk-UA"/>
        </w:rPr>
        <w:t xml:space="preserve">, </w:t>
      </w:r>
      <w:r w:rsidR="00882401" w:rsidRPr="00F0117E">
        <w:rPr>
          <w:lang w:val="uk-UA"/>
        </w:rPr>
        <w:t>право на недоторканність приватного життя та таємницю кореспонденції</w:t>
      </w:r>
      <w:r w:rsidR="00E81B07" w:rsidRPr="00F0117E">
        <w:rPr>
          <w:lang w:val="uk-UA"/>
        </w:rPr>
        <w:t xml:space="preserve">. </w:t>
      </w:r>
      <w:r w:rsidR="00882401" w:rsidRPr="00F0117E">
        <w:rPr>
          <w:lang w:val="uk-UA"/>
        </w:rPr>
        <w:t>Однак, лише Австрія, Фінляндія</w:t>
      </w:r>
      <w:r w:rsidR="00E81B07" w:rsidRPr="00F0117E">
        <w:rPr>
          <w:lang w:val="uk-UA"/>
        </w:rPr>
        <w:t xml:space="preserve">, </w:t>
      </w:r>
      <w:r w:rsidR="00882401" w:rsidRPr="00F0117E">
        <w:rPr>
          <w:lang w:val="uk-UA"/>
        </w:rPr>
        <w:t>Люксембург, Португалія</w:t>
      </w:r>
      <w:r w:rsidR="00E81B07" w:rsidRPr="00F0117E">
        <w:rPr>
          <w:lang w:val="uk-UA"/>
        </w:rPr>
        <w:t xml:space="preserve">, </w:t>
      </w:r>
      <w:r w:rsidR="00882401" w:rsidRPr="00F0117E">
        <w:rPr>
          <w:lang w:val="uk-UA"/>
        </w:rPr>
        <w:t>Словаччина та Великобританія</w:t>
      </w:r>
      <w:r w:rsidR="00E81B07" w:rsidRPr="00F0117E">
        <w:rPr>
          <w:lang w:val="uk-UA"/>
        </w:rPr>
        <w:t xml:space="preserve"> </w:t>
      </w:r>
      <w:r w:rsidR="00882401" w:rsidRPr="00F0117E">
        <w:rPr>
          <w:lang w:val="uk-UA"/>
        </w:rPr>
        <w:t>чітко врегулювали питання приватності на робочому місці</w:t>
      </w:r>
      <w:r w:rsidR="00E81B07" w:rsidRPr="00F0117E">
        <w:rPr>
          <w:lang w:val="uk-UA"/>
        </w:rPr>
        <w:t xml:space="preserve">, </w:t>
      </w:r>
      <w:r w:rsidR="00882401" w:rsidRPr="00F0117E">
        <w:rPr>
          <w:lang w:val="uk-UA"/>
        </w:rPr>
        <w:t>у трудових законах або спеціальному законодавстві</w:t>
      </w:r>
      <w:r w:rsidR="00E81B07" w:rsidRPr="00F0117E">
        <w:rPr>
          <w:lang w:val="uk-UA"/>
        </w:rPr>
        <w:t>.</w:t>
      </w:r>
    </w:p>
    <w:bookmarkStart w:id="27" w:name="drcomp_avertissement_préalable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53</w:t>
      </w:r>
      <w:r w:rsidRPr="00F0117E">
        <w:rPr>
          <w:lang w:val="uk-UA"/>
        </w:rPr>
        <w:fldChar w:fldCharType="end"/>
      </w:r>
      <w:bookmarkEnd w:id="27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882401" w:rsidRPr="00F0117E">
        <w:rPr>
          <w:lang w:val="uk-UA"/>
        </w:rPr>
        <w:t>Щодо повноважень, які стосуються моніторингу</w:t>
      </w:r>
      <w:r w:rsidR="00E81B07" w:rsidRPr="00F0117E">
        <w:rPr>
          <w:lang w:val="uk-UA"/>
        </w:rPr>
        <w:t xml:space="preserve">, </w:t>
      </w:r>
      <w:r w:rsidR="00882401" w:rsidRPr="00F0117E">
        <w:rPr>
          <w:lang w:val="uk-UA"/>
        </w:rPr>
        <w:t>тридцять чотири держави-члена Ради Європи</w:t>
      </w:r>
      <w:r w:rsidR="00E81B07" w:rsidRPr="00F0117E">
        <w:rPr>
          <w:lang w:val="uk-UA"/>
        </w:rPr>
        <w:t xml:space="preserve"> </w:t>
      </w:r>
      <w:r w:rsidR="00882401" w:rsidRPr="00F0117E">
        <w:rPr>
          <w:lang w:val="uk-UA"/>
        </w:rPr>
        <w:t>потребують, щоб роботодавці давали працівникам</w:t>
      </w:r>
      <w:r w:rsidR="00E81B07" w:rsidRPr="00F0117E">
        <w:rPr>
          <w:lang w:val="uk-UA"/>
        </w:rPr>
        <w:t xml:space="preserve"> </w:t>
      </w:r>
      <w:r w:rsidR="00882401" w:rsidRPr="00F0117E">
        <w:rPr>
          <w:lang w:val="uk-UA"/>
        </w:rPr>
        <w:t>попередження про моніторинг заздалегідь</w:t>
      </w:r>
      <w:r w:rsidR="00E81B07" w:rsidRPr="00F0117E">
        <w:rPr>
          <w:lang w:val="uk-UA"/>
        </w:rPr>
        <w:t xml:space="preserve">. </w:t>
      </w:r>
      <w:r w:rsidR="00882401" w:rsidRPr="00F0117E">
        <w:rPr>
          <w:lang w:val="uk-UA"/>
        </w:rPr>
        <w:t>Воно може приймати різні форми</w:t>
      </w:r>
      <w:r w:rsidR="00E81B07" w:rsidRPr="00F0117E">
        <w:rPr>
          <w:lang w:val="uk-UA"/>
        </w:rPr>
        <w:t xml:space="preserve">, </w:t>
      </w:r>
      <w:r w:rsidR="00882401" w:rsidRPr="00F0117E">
        <w:rPr>
          <w:lang w:val="uk-UA"/>
        </w:rPr>
        <w:t>наприклад, повідомлення органів захисту персональних даних</w:t>
      </w:r>
      <w:r w:rsidR="00E81B07" w:rsidRPr="00F0117E">
        <w:rPr>
          <w:lang w:val="uk-UA"/>
        </w:rPr>
        <w:t xml:space="preserve"> </w:t>
      </w:r>
      <w:r w:rsidR="00882401" w:rsidRPr="00F0117E">
        <w:rPr>
          <w:lang w:val="uk-UA"/>
        </w:rPr>
        <w:t>або представників працівників</w:t>
      </w:r>
      <w:r w:rsidR="00E81B07" w:rsidRPr="00F0117E">
        <w:rPr>
          <w:lang w:val="uk-UA"/>
        </w:rPr>
        <w:t xml:space="preserve">. </w:t>
      </w:r>
      <w:r w:rsidR="00882401" w:rsidRPr="00F0117E">
        <w:rPr>
          <w:lang w:val="uk-UA"/>
        </w:rPr>
        <w:t>Чинне законодавство Австрії</w:t>
      </w:r>
      <w:r w:rsidR="00E81B07" w:rsidRPr="00F0117E">
        <w:rPr>
          <w:lang w:val="uk-UA"/>
        </w:rPr>
        <w:t xml:space="preserve">, </w:t>
      </w:r>
      <w:r w:rsidR="00882401" w:rsidRPr="00F0117E">
        <w:rPr>
          <w:lang w:val="uk-UA"/>
        </w:rPr>
        <w:t>Естонії, Фінляндії</w:t>
      </w:r>
      <w:r w:rsidR="00E81B07" w:rsidRPr="00F0117E">
        <w:rPr>
          <w:lang w:val="uk-UA"/>
        </w:rPr>
        <w:t xml:space="preserve">, </w:t>
      </w:r>
      <w:r w:rsidR="00882401" w:rsidRPr="00F0117E">
        <w:rPr>
          <w:lang w:val="uk-UA"/>
        </w:rPr>
        <w:t>Греції, Литви</w:t>
      </w:r>
      <w:r w:rsidR="00E81B07" w:rsidRPr="00F0117E">
        <w:rPr>
          <w:lang w:val="uk-UA"/>
        </w:rPr>
        <w:t xml:space="preserve">, </w:t>
      </w:r>
      <w:r w:rsidR="00882401" w:rsidRPr="00F0117E">
        <w:rPr>
          <w:lang w:val="uk-UA"/>
        </w:rPr>
        <w:t>Люксембургу, Норвегії</w:t>
      </w:r>
      <w:r w:rsidR="00E81B07" w:rsidRPr="00F0117E">
        <w:rPr>
          <w:lang w:val="uk-UA"/>
        </w:rPr>
        <w:t xml:space="preserve">, </w:t>
      </w:r>
      <w:r w:rsidR="00882401" w:rsidRPr="00F0117E">
        <w:rPr>
          <w:lang w:val="uk-UA"/>
        </w:rPr>
        <w:t>Польщі, Словаччини</w:t>
      </w:r>
      <w:r w:rsidR="00E81B07" w:rsidRPr="00F0117E">
        <w:rPr>
          <w:lang w:val="uk-UA"/>
        </w:rPr>
        <w:t xml:space="preserve"> </w:t>
      </w:r>
      <w:r w:rsidR="00882401" w:rsidRPr="00F0117E">
        <w:rPr>
          <w:lang w:val="uk-UA"/>
        </w:rPr>
        <w:t xml:space="preserve">та колишньої Югославської Республіки </w:t>
      </w:r>
      <w:r w:rsidR="00882401" w:rsidRPr="00F0117E">
        <w:rPr>
          <w:lang w:val="uk-UA"/>
        </w:rPr>
        <w:lastRenderedPageBreak/>
        <w:t>Македонії</w:t>
      </w:r>
      <w:r w:rsidR="00E81B07" w:rsidRPr="00F0117E">
        <w:rPr>
          <w:lang w:val="uk-UA"/>
        </w:rPr>
        <w:t xml:space="preserve"> </w:t>
      </w:r>
      <w:r w:rsidR="00882401" w:rsidRPr="00F0117E">
        <w:rPr>
          <w:lang w:val="uk-UA"/>
        </w:rPr>
        <w:t>вимагає, щоб роботодавці повідомляли працівникам</w:t>
      </w:r>
      <w:r w:rsidR="00E81B07" w:rsidRPr="00F0117E">
        <w:rPr>
          <w:lang w:val="uk-UA"/>
        </w:rPr>
        <w:t xml:space="preserve"> </w:t>
      </w:r>
      <w:r w:rsidR="00882401" w:rsidRPr="00F0117E">
        <w:rPr>
          <w:lang w:val="uk-UA"/>
        </w:rPr>
        <w:t>безпосередньо до початку моніторингу</w:t>
      </w:r>
      <w:r w:rsidR="00E81B07" w:rsidRPr="00F0117E">
        <w:rPr>
          <w:lang w:val="uk-UA"/>
        </w:rPr>
        <w:t>.</w:t>
      </w:r>
    </w:p>
    <w:bookmarkStart w:id="28" w:name="par51_drcomparé"/>
    <w:p w:rsidR="00E36F4C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54</w:t>
      </w:r>
      <w:r w:rsidRPr="00F0117E">
        <w:rPr>
          <w:lang w:val="uk-UA"/>
        </w:rPr>
        <w:fldChar w:fldCharType="end"/>
      </w:r>
      <w:bookmarkEnd w:id="28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882401" w:rsidRPr="00F0117E">
        <w:rPr>
          <w:lang w:val="uk-UA"/>
        </w:rPr>
        <w:t>В Австрії, Данії</w:t>
      </w:r>
      <w:r w:rsidR="00E81B07" w:rsidRPr="00F0117E">
        <w:rPr>
          <w:lang w:val="uk-UA"/>
        </w:rPr>
        <w:t xml:space="preserve">, </w:t>
      </w:r>
      <w:r w:rsidR="00882401" w:rsidRPr="00F0117E">
        <w:rPr>
          <w:lang w:val="uk-UA"/>
        </w:rPr>
        <w:t>Фінляндії, Франції</w:t>
      </w:r>
      <w:r w:rsidR="00E81B07" w:rsidRPr="00F0117E">
        <w:rPr>
          <w:lang w:val="uk-UA"/>
        </w:rPr>
        <w:t xml:space="preserve">, </w:t>
      </w:r>
      <w:r w:rsidR="00882401" w:rsidRPr="00F0117E">
        <w:rPr>
          <w:lang w:val="uk-UA"/>
        </w:rPr>
        <w:t>Німеччині, Греції</w:t>
      </w:r>
      <w:r w:rsidR="00E81B07" w:rsidRPr="00F0117E">
        <w:rPr>
          <w:lang w:val="uk-UA"/>
        </w:rPr>
        <w:t xml:space="preserve">, </w:t>
      </w:r>
      <w:r w:rsidR="00882401" w:rsidRPr="00F0117E">
        <w:rPr>
          <w:lang w:val="uk-UA"/>
        </w:rPr>
        <w:t>Італії, Португалії та Швеції</w:t>
      </w:r>
      <w:r w:rsidR="00E81B07" w:rsidRPr="00F0117E">
        <w:rPr>
          <w:lang w:val="uk-UA"/>
        </w:rPr>
        <w:t xml:space="preserve"> </w:t>
      </w:r>
      <w:r w:rsidR="00882401" w:rsidRPr="00F0117E">
        <w:rPr>
          <w:lang w:val="uk-UA"/>
        </w:rPr>
        <w:t xml:space="preserve">роботодавці можуть </w:t>
      </w:r>
      <w:proofErr w:type="spellStart"/>
      <w:r w:rsidR="00882401" w:rsidRPr="00F0117E">
        <w:rPr>
          <w:lang w:val="uk-UA"/>
        </w:rPr>
        <w:t>моніторити</w:t>
      </w:r>
      <w:proofErr w:type="spellEnd"/>
      <w:r w:rsidR="00882401" w:rsidRPr="00F0117E">
        <w:rPr>
          <w:lang w:val="uk-UA"/>
        </w:rPr>
        <w:t xml:space="preserve"> електронні листи,</w:t>
      </w:r>
      <w:r w:rsidR="00E81B07" w:rsidRPr="00F0117E">
        <w:rPr>
          <w:lang w:val="uk-UA"/>
        </w:rPr>
        <w:t xml:space="preserve"> </w:t>
      </w:r>
      <w:r w:rsidR="00882401" w:rsidRPr="00F0117E">
        <w:rPr>
          <w:lang w:val="uk-UA"/>
        </w:rPr>
        <w:t>позначені працівниками, як «приватні»</w:t>
      </w:r>
      <w:r w:rsidR="00E81B07" w:rsidRPr="00F0117E">
        <w:rPr>
          <w:lang w:val="uk-UA"/>
        </w:rPr>
        <w:t xml:space="preserve">, </w:t>
      </w:r>
      <w:r w:rsidR="00882401" w:rsidRPr="00F0117E">
        <w:rPr>
          <w:lang w:val="uk-UA"/>
        </w:rPr>
        <w:t>без дозволу ознайомлюватися з їх змістом</w:t>
      </w:r>
      <w:r w:rsidR="00E81B07" w:rsidRPr="00F0117E">
        <w:rPr>
          <w:lang w:val="uk-UA"/>
        </w:rPr>
        <w:t xml:space="preserve">. </w:t>
      </w:r>
      <w:r w:rsidR="00882401" w:rsidRPr="00F0117E">
        <w:rPr>
          <w:lang w:val="uk-UA"/>
        </w:rPr>
        <w:t>У Люксембурзі роботодавці не можуть відкривати електронні листи,</w:t>
      </w:r>
      <w:r w:rsidR="00E81B07" w:rsidRPr="00F0117E">
        <w:rPr>
          <w:lang w:val="uk-UA"/>
        </w:rPr>
        <w:t xml:space="preserve"> </w:t>
      </w:r>
      <w:r w:rsidR="00882401" w:rsidRPr="00F0117E">
        <w:rPr>
          <w:lang w:val="uk-UA"/>
        </w:rPr>
        <w:t>які позначені, як «приватні», або явно мають приватний характер</w:t>
      </w:r>
      <w:r w:rsidR="00E81B07" w:rsidRPr="00F0117E">
        <w:rPr>
          <w:lang w:val="uk-UA"/>
        </w:rPr>
        <w:t xml:space="preserve">. </w:t>
      </w:r>
      <w:r w:rsidR="00882401" w:rsidRPr="00F0117E">
        <w:rPr>
          <w:lang w:val="uk-UA"/>
        </w:rPr>
        <w:t>Чеська Республіка</w:t>
      </w:r>
      <w:r w:rsidR="00E81B07" w:rsidRPr="00F0117E">
        <w:rPr>
          <w:lang w:val="uk-UA"/>
        </w:rPr>
        <w:t xml:space="preserve">, </w:t>
      </w:r>
      <w:r w:rsidR="00882401" w:rsidRPr="00F0117E">
        <w:rPr>
          <w:lang w:val="uk-UA"/>
        </w:rPr>
        <w:t>Італія та Словенія,</w:t>
      </w:r>
      <w:r w:rsidR="00E81B07" w:rsidRPr="00F0117E">
        <w:rPr>
          <w:lang w:val="uk-UA"/>
        </w:rPr>
        <w:t xml:space="preserve"> </w:t>
      </w:r>
      <w:r w:rsidR="00882401" w:rsidRPr="00F0117E">
        <w:rPr>
          <w:lang w:val="uk-UA"/>
        </w:rPr>
        <w:t>а також Республіка Молдова у певній мірі</w:t>
      </w:r>
      <w:r w:rsidR="00E81B07" w:rsidRPr="00F0117E">
        <w:rPr>
          <w:lang w:val="uk-UA"/>
        </w:rPr>
        <w:t xml:space="preserve">, </w:t>
      </w:r>
      <w:r w:rsidR="00882401" w:rsidRPr="00F0117E">
        <w:rPr>
          <w:lang w:val="uk-UA"/>
        </w:rPr>
        <w:t xml:space="preserve">також обмежують обсяг, у якому роботодавці можуть </w:t>
      </w:r>
      <w:proofErr w:type="spellStart"/>
      <w:r w:rsidR="00882401" w:rsidRPr="00F0117E">
        <w:rPr>
          <w:lang w:val="uk-UA"/>
        </w:rPr>
        <w:t>моніторити</w:t>
      </w:r>
      <w:proofErr w:type="spellEnd"/>
      <w:r w:rsidR="00882401" w:rsidRPr="00F0117E">
        <w:rPr>
          <w:lang w:val="uk-UA"/>
        </w:rPr>
        <w:t xml:space="preserve"> спілкування своїх працівників</w:t>
      </w:r>
      <w:r w:rsidR="00E81B07" w:rsidRPr="00F0117E">
        <w:rPr>
          <w:lang w:val="uk-UA"/>
        </w:rPr>
        <w:t xml:space="preserve">, </w:t>
      </w:r>
      <w:r w:rsidR="00882401" w:rsidRPr="00F0117E">
        <w:rPr>
          <w:lang w:val="uk-UA"/>
        </w:rPr>
        <w:t xml:space="preserve">в залежності від того, чи є спілкування професійним або </w:t>
      </w:r>
      <w:r w:rsidR="00E64795" w:rsidRPr="00F0117E">
        <w:rPr>
          <w:lang w:val="uk-UA"/>
        </w:rPr>
        <w:t>особистим</w:t>
      </w:r>
      <w:r w:rsidR="00882401" w:rsidRPr="00F0117E">
        <w:rPr>
          <w:lang w:val="uk-UA"/>
        </w:rPr>
        <w:t xml:space="preserve"> за характером</w:t>
      </w:r>
      <w:r w:rsidR="00E81B07" w:rsidRPr="00F0117E">
        <w:rPr>
          <w:lang w:val="uk-UA"/>
        </w:rPr>
        <w:t xml:space="preserve">. </w:t>
      </w:r>
      <w:r w:rsidR="00882401" w:rsidRPr="00F0117E">
        <w:rPr>
          <w:lang w:val="uk-UA"/>
        </w:rPr>
        <w:t>У Німеччині та Португалії</w:t>
      </w:r>
      <w:r w:rsidR="00E81B07" w:rsidRPr="00F0117E">
        <w:rPr>
          <w:lang w:val="uk-UA"/>
        </w:rPr>
        <w:t xml:space="preserve">, </w:t>
      </w:r>
      <w:r w:rsidR="00882401" w:rsidRPr="00F0117E">
        <w:rPr>
          <w:lang w:val="uk-UA"/>
        </w:rPr>
        <w:t>як тільки було встановлено, що повідомлення є приватним</w:t>
      </w:r>
      <w:r w:rsidR="00E81B07" w:rsidRPr="00F0117E">
        <w:rPr>
          <w:lang w:val="uk-UA"/>
        </w:rPr>
        <w:t xml:space="preserve">, </w:t>
      </w:r>
      <w:r w:rsidR="00882401" w:rsidRPr="00F0117E">
        <w:rPr>
          <w:lang w:val="uk-UA"/>
        </w:rPr>
        <w:t>роботодавець повинен перестати читати його</w:t>
      </w:r>
      <w:r w:rsidR="00E81B07" w:rsidRPr="00F0117E">
        <w:rPr>
          <w:lang w:val="uk-UA"/>
        </w:rPr>
        <w:t>.</w:t>
      </w:r>
    </w:p>
    <w:p w:rsidR="00E81B07" w:rsidRPr="00F0117E" w:rsidRDefault="00067164" w:rsidP="008B2B31">
      <w:pPr>
        <w:pStyle w:val="ECHRTitle1"/>
        <w:rPr>
          <w:lang w:val="uk-UA"/>
        </w:rPr>
      </w:pPr>
      <w:r w:rsidRPr="00F0117E">
        <w:rPr>
          <w:lang w:val="uk-UA"/>
        </w:rPr>
        <w:t>ПРАВО</w:t>
      </w:r>
    </w:p>
    <w:p w:rsidR="00E81B07" w:rsidRPr="00F0117E" w:rsidRDefault="00E81B07" w:rsidP="008B2B31">
      <w:pPr>
        <w:pStyle w:val="ECHRHeading1"/>
        <w:rPr>
          <w:lang w:val="uk-UA"/>
        </w:rPr>
      </w:pPr>
      <w:r w:rsidRPr="00F0117E">
        <w:rPr>
          <w:lang w:val="uk-UA"/>
        </w:rPr>
        <w:t>I.</w:t>
      </w:r>
      <w:r w:rsidR="00FA6D4F" w:rsidRPr="00F0117E">
        <w:rPr>
          <w:lang w:val="uk-UA"/>
        </w:rPr>
        <w:t xml:space="preserve"> </w:t>
      </w:r>
      <w:r w:rsidR="00067164" w:rsidRPr="00F0117E">
        <w:rPr>
          <w:lang w:val="uk-UA"/>
        </w:rPr>
        <w:t>СТВЕРДЖУВАНЕ ПОРУШЕННЯ СТАТТІ 8 КОНВЕНЦІЇ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55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067164" w:rsidRPr="00F0117E">
        <w:rPr>
          <w:lang w:val="uk-UA"/>
        </w:rPr>
        <w:t>Заявник стверджував, що його звільнення роботодавцем</w:t>
      </w:r>
      <w:r w:rsidR="00E81B07" w:rsidRPr="00F0117E">
        <w:rPr>
          <w:lang w:val="uk-UA"/>
        </w:rPr>
        <w:t xml:space="preserve"> </w:t>
      </w:r>
      <w:r w:rsidR="00067164" w:rsidRPr="00F0117E">
        <w:rPr>
          <w:lang w:val="uk-UA"/>
        </w:rPr>
        <w:t>ґрунтувалося на порушенні його права</w:t>
      </w:r>
      <w:r w:rsidR="00E81B07" w:rsidRPr="00F0117E">
        <w:rPr>
          <w:lang w:val="uk-UA"/>
        </w:rPr>
        <w:t xml:space="preserve"> </w:t>
      </w:r>
      <w:r w:rsidR="00067164" w:rsidRPr="00F0117E">
        <w:rPr>
          <w:lang w:val="uk-UA"/>
        </w:rPr>
        <w:t>на повагу до недоторканності приватного життя</w:t>
      </w:r>
      <w:r w:rsidR="00E81B07" w:rsidRPr="00F0117E">
        <w:rPr>
          <w:lang w:val="uk-UA"/>
        </w:rPr>
        <w:t xml:space="preserve"> </w:t>
      </w:r>
      <w:r w:rsidR="00067164" w:rsidRPr="00F0117E">
        <w:rPr>
          <w:lang w:val="uk-UA"/>
        </w:rPr>
        <w:t>та кореспонденції,</w:t>
      </w:r>
      <w:r w:rsidR="00E81B07" w:rsidRPr="00F0117E">
        <w:rPr>
          <w:lang w:val="uk-UA"/>
        </w:rPr>
        <w:t xml:space="preserve"> </w:t>
      </w:r>
      <w:r w:rsidR="00067164" w:rsidRPr="00F0117E">
        <w:rPr>
          <w:lang w:val="uk-UA"/>
        </w:rPr>
        <w:t>і що коли національні суди не скасували цей захід</w:t>
      </w:r>
      <w:r w:rsidR="00E81B07" w:rsidRPr="00F0117E">
        <w:rPr>
          <w:lang w:val="uk-UA"/>
        </w:rPr>
        <w:t xml:space="preserve">, </w:t>
      </w:r>
      <w:r w:rsidR="00B515B1" w:rsidRPr="00F0117E">
        <w:rPr>
          <w:lang w:val="uk-UA"/>
        </w:rPr>
        <w:t>вони не виконали своє зобов’язання</w:t>
      </w:r>
      <w:r w:rsidR="00E81B07" w:rsidRPr="00F0117E">
        <w:rPr>
          <w:lang w:val="uk-UA"/>
        </w:rPr>
        <w:t xml:space="preserve"> </w:t>
      </w:r>
      <w:r w:rsidR="00B515B1" w:rsidRPr="00F0117E">
        <w:rPr>
          <w:lang w:val="uk-UA"/>
        </w:rPr>
        <w:t>щодо захисту відповідного права</w:t>
      </w:r>
      <w:r w:rsidR="00E81B07" w:rsidRPr="00F0117E">
        <w:rPr>
          <w:lang w:val="uk-UA"/>
        </w:rPr>
        <w:t xml:space="preserve">. </w:t>
      </w:r>
      <w:r w:rsidR="00B515B1" w:rsidRPr="00F0117E">
        <w:rPr>
          <w:lang w:val="uk-UA"/>
        </w:rPr>
        <w:t>Він спирався на статтю 8 Конвенції, яка передбачає</w:t>
      </w:r>
      <w:r w:rsidR="00E81B07" w:rsidRPr="00F0117E">
        <w:rPr>
          <w:lang w:val="uk-UA"/>
        </w:rPr>
        <w:t>: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“1.</w:t>
      </w:r>
      <w:r w:rsidR="00FA6D4F" w:rsidRPr="00F0117E">
        <w:rPr>
          <w:lang w:val="uk-UA"/>
        </w:rPr>
        <w:t xml:space="preserve"> </w:t>
      </w:r>
      <w:r w:rsidR="00D82DEB" w:rsidRPr="00F0117E">
        <w:rPr>
          <w:lang w:val="uk-UA"/>
        </w:rPr>
        <w:t>Кожен має право на повагу до свого приватного і сімейного життя, до свого житла і кореспонденції</w:t>
      </w:r>
      <w:r w:rsidRPr="00F0117E">
        <w:rPr>
          <w:lang w:val="uk-UA"/>
        </w:rPr>
        <w:t>.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2.</w:t>
      </w:r>
      <w:r w:rsidR="00FA6D4F" w:rsidRPr="00F0117E">
        <w:rPr>
          <w:lang w:val="uk-UA"/>
        </w:rPr>
        <w:t xml:space="preserve"> </w:t>
      </w:r>
      <w:r w:rsidR="00D82DEB" w:rsidRPr="00F0117E">
        <w:rPr>
          <w:lang w:val="uk-UA"/>
        </w:rPr>
        <w:t>Органи державної влади не можуть втручатись у здійснення цього права, за винятком випадків, коли втручання здійснюється згідно із законом і є необхідним у демократичному суспільстві в інтересах національної та громадської безпеки чи економічного добробуту країни, для запобігання заворушенням чи злочинам, для захисту здоров’я чи моралі або для захисту прав і свобод інших осіб</w:t>
      </w:r>
      <w:r w:rsidRPr="00F0117E">
        <w:rPr>
          <w:lang w:val="uk-UA"/>
        </w:rPr>
        <w:t>.”</w:t>
      </w:r>
    </w:p>
    <w:p w:rsidR="00E81B07" w:rsidRPr="00F0117E" w:rsidRDefault="00E81B07" w:rsidP="008B2B31">
      <w:pPr>
        <w:pStyle w:val="ECHRHeading2"/>
        <w:rPr>
          <w:lang w:val="uk-UA"/>
        </w:rPr>
      </w:pPr>
      <w:r w:rsidRPr="00F0117E">
        <w:rPr>
          <w:lang w:val="uk-UA"/>
        </w:rPr>
        <w:t>A.</w:t>
      </w:r>
      <w:r w:rsidR="00FA6D4F" w:rsidRPr="00F0117E">
        <w:rPr>
          <w:lang w:val="uk-UA"/>
        </w:rPr>
        <w:t xml:space="preserve"> </w:t>
      </w:r>
      <w:r w:rsidR="00D82DEB" w:rsidRPr="00F0117E">
        <w:rPr>
          <w:lang w:val="uk-UA"/>
        </w:rPr>
        <w:t>Висновки Палати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56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7C5CF4" w:rsidRPr="00F0117E">
        <w:rPr>
          <w:lang w:val="uk-UA"/>
        </w:rPr>
        <w:t>У своєму рішенні від 12 січня</w:t>
      </w:r>
      <w:r w:rsidR="00E81B07" w:rsidRPr="00F0117E">
        <w:rPr>
          <w:lang w:val="uk-UA"/>
        </w:rPr>
        <w:t xml:space="preserve"> 2016 </w:t>
      </w:r>
      <w:r w:rsidR="007C5CF4" w:rsidRPr="00F0117E">
        <w:rPr>
          <w:lang w:val="uk-UA"/>
        </w:rPr>
        <w:t>року Палата постановила</w:t>
      </w:r>
      <w:r w:rsidR="00E81B07" w:rsidRPr="00F0117E">
        <w:rPr>
          <w:lang w:val="uk-UA"/>
        </w:rPr>
        <w:t xml:space="preserve">, </w:t>
      </w:r>
      <w:r w:rsidR="007C5CF4" w:rsidRPr="00F0117E">
        <w:rPr>
          <w:lang w:val="uk-UA"/>
        </w:rPr>
        <w:t>по-перше, що стаття</w:t>
      </w:r>
      <w:r w:rsidR="00E81B07" w:rsidRPr="00F0117E">
        <w:rPr>
          <w:lang w:val="uk-UA"/>
        </w:rPr>
        <w:t xml:space="preserve"> 8 </w:t>
      </w:r>
      <w:r w:rsidR="007C5CF4" w:rsidRPr="00F0117E">
        <w:rPr>
          <w:lang w:val="uk-UA"/>
        </w:rPr>
        <w:t>Конвенції була застосовною в даній справі</w:t>
      </w:r>
      <w:r w:rsidR="00E81B07" w:rsidRPr="00F0117E">
        <w:rPr>
          <w:lang w:val="uk-UA"/>
        </w:rPr>
        <w:t xml:space="preserve">. </w:t>
      </w:r>
      <w:r w:rsidR="007C5CF4" w:rsidRPr="00F0117E">
        <w:rPr>
          <w:lang w:val="uk-UA"/>
        </w:rPr>
        <w:t>Посилаючись на концепцію обґрунтованого очікування приватності</w:t>
      </w:r>
      <w:r w:rsidR="00E81B07" w:rsidRPr="00F0117E">
        <w:rPr>
          <w:lang w:val="uk-UA"/>
        </w:rPr>
        <w:t xml:space="preserve">, </w:t>
      </w:r>
      <w:r w:rsidR="007C5CF4" w:rsidRPr="00F0117E">
        <w:rPr>
          <w:lang w:val="uk-UA"/>
        </w:rPr>
        <w:t>вона постановила, що дана справа відрізнялася від справи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szCs w:val="24"/>
          <w:lang w:val="uk-UA"/>
        </w:rPr>
        <w:t>Copland</w:t>
      </w:r>
      <w:proofErr w:type="spellEnd"/>
      <w:r w:rsidR="00E81B07" w:rsidRPr="00F0117E">
        <w:rPr>
          <w:szCs w:val="24"/>
          <w:lang w:val="uk-UA"/>
        </w:rPr>
        <w:t xml:space="preserve"> (</w:t>
      </w:r>
      <w:proofErr w:type="spellStart"/>
      <w:r w:rsidR="007C5CF4" w:rsidRPr="00F0117E">
        <w:rPr>
          <w:szCs w:val="24"/>
          <w:lang w:val="uk-UA"/>
        </w:rPr>
        <w:t>цит</w:t>
      </w:r>
      <w:proofErr w:type="spellEnd"/>
      <w:r w:rsidR="007C5CF4" w:rsidRPr="00F0117E">
        <w:rPr>
          <w:szCs w:val="24"/>
          <w:lang w:val="uk-UA"/>
        </w:rPr>
        <w:t>. вище</w:t>
      </w:r>
      <w:r w:rsidR="00E81B07" w:rsidRPr="00F0117E">
        <w:rPr>
          <w:szCs w:val="24"/>
          <w:lang w:val="uk-UA"/>
        </w:rPr>
        <w:t xml:space="preserve">, § 41) </w:t>
      </w:r>
      <w:r w:rsidR="007C5CF4" w:rsidRPr="00F0117E">
        <w:rPr>
          <w:szCs w:val="24"/>
          <w:lang w:val="uk-UA"/>
        </w:rPr>
        <w:t>та</w:t>
      </w:r>
      <w:r w:rsidR="00E81B07" w:rsidRPr="00F0117E">
        <w:rPr>
          <w:szCs w:val="24"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Halford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the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United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Kingdom</w:t>
      </w:r>
      <w:proofErr w:type="spellEnd"/>
      <w:r w:rsidR="00E81B07" w:rsidRPr="00F0117E">
        <w:rPr>
          <w:lang w:val="uk-UA"/>
        </w:rPr>
        <w:t xml:space="preserve"> (25 </w:t>
      </w:r>
      <w:r w:rsidR="007C5CF4" w:rsidRPr="00F0117E">
        <w:rPr>
          <w:lang w:val="uk-UA"/>
        </w:rPr>
        <w:t>червня</w:t>
      </w:r>
      <w:r w:rsidR="00E81B07" w:rsidRPr="00F0117E">
        <w:rPr>
          <w:lang w:val="uk-UA"/>
        </w:rPr>
        <w:t xml:space="preserve"> 1997, § 45, </w:t>
      </w:r>
      <w:proofErr w:type="spellStart"/>
      <w:r w:rsidR="00E81B07" w:rsidRPr="00F0117E">
        <w:rPr>
          <w:i/>
          <w:lang w:val="uk-UA"/>
        </w:rPr>
        <w:t>Reports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of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Judgments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and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Decisions</w:t>
      </w:r>
      <w:proofErr w:type="spellEnd"/>
      <w:r w:rsidR="00E81B07" w:rsidRPr="00F0117E">
        <w:rPr>
          <w:lang w:val="uk-UA"/>
        </w:rPr>
        <w:t xml:space="preserve"> 1997</w:t>
      </w:r>
      <w:r w:rsidR="00E81B07" w:rsidRPr="00F0117E">
        <w:rPr>
          <w:lang w:val="uk-UA"/>
        </w:rPr>
        <w:noBreakHyphen/>
        <w:t xml:space="preserve">III) </w:t>
      </w:r>
      <w:r w:rsidR="007C5CF4" w:rsidRPr="00F0117E">
        <w:rPr>
          <w:lang w:val="uk-UA"/>
        </w:rPr>
        <w:t xml:space="preserve">у тому, що внутрішні </w:t>
      </w:r>
      <w:r w:rsidR="006F50D2" w:rsidRPr="00F0117E">
        <w:rPr>
          <w:lang w:val="uk-UA"/>
        </w:rPr>
        <w:lastRenderedPageBreak/>
        <w:t>розпорядження</w:t>
      </w:r>
      <w:r w:rsidR="007C5CF4" w:rsidRPr="00F0117E">
        <w:rPr>
          <w:lang w:val="uk-UA"/>
        </w:rPr>
        <w:t xml:space="preserve"> роботодавця заявника</w:t>
      </w:r>
      <w:r w:rsidR="00E81B07" w:rsidRPr="00F0117E">
        <w:rPr>
          <w:lang w:val="uk-UA"/>
        </w:rPr>
        <w:t xml:space="preserve"> </w:t>
      </w:r>
      <w:r w:rsidR="007C5CF4" w:rsidRPr="00F0117E">
        <w:rPr>
          <w:lang w:val="uk-UA"/>
        </w:rPr>
        <w:t>у даній справі суворо забороняли працівникам</w:t>
      </w:r>
      <w:r w:rsidR="00E81B07" w:rsidRPr="00F0117E">
        <w:rPr>
          <w:lang w:val="uk-UA"/>
        </w:rPr>
        <w:t xml:space="preserve"> </w:t>
      </w:r>
      <w:r w:rsidR="007C5CF4" w:rsidRPr="00F0117E">
        <w:rPr>
          <w:lang w:val="uk-UA"/>
        </w:rPr>
        <w:t>користуватися комп’ютерами та ресурсами компанії</w:t>
      </w:r>
      <w:r w:rsidR="00E81B07" w:rsidRPr="00F0117E">
        <w:rPr>
          <w:lang w:val="uk-UA"/>
        </w:rPr>
        <w:t xml:space="preserve"> </w:t>
      </w:r>
      <w:r w:rsidR="007C5CF4" w:rsidRPr="00F0117E">
        <w:rPr>
          <w:lang w:val="uk-UA"/>
        </w:rPr>
        <w:t>для особистих цілей</w:t>
      </w:r>
      <w:r w:rsidR="00E81B07" w:rsidRPr="00F0117E">
        <w:rPr>
          <w:lang w:val="uk-UA"/>
        </w:rPr>
        <w:t xml:space="preserve">. </w:t>
      </w:r>
      <w:r w:rsidR="007C5CF4" w:rsidRPr="00F0117E">
        <w:rPr>
          <w:lang w:val="uk-UA"/>
        </w:rPr>
        <w:t>Палата прийняла до уваги характер спілкування заявника</w:t>
      </w:r>
      <w:r w:rsidR="00E81B07" w:rsidRPr="00F0117E">
        <w:rPr>
          <w:lang w:val="uk-UA"/>
        </w:rPr>
        <w:t xml:space="preserve"> </w:t>
      </w:r>
      <w:r w:rsidR="007C5CF4" w:rsidRPr="00F0117E">
        <w:rPr>
          <w:lang w:val="uk-UA"/>
        </w:rPr>
        <w:t>і той факт, що його розшифровка була використана в якості</w:t>
      </w:r>
      <w:r w:rsidR="00E81B07" w:rsidRPr="00F0117E">
        <w:rPr>
          <w:lang w:val="uk-UA"/>
        </w:rPr>
        <w:t xml:space="preserve"> </w:t>
      </w:r>
      <w:r w:rsidR="007C5CF4" w:rsidRPr="00F0117E">
        <w:rPr>
          <w:lang w:val="uk-UA"/>
        </w:rPr>
        <w:t>доказу у провадженнях у національному суді</w:t>
      </w:r>
      <w:r w:rsidR="00E81B07" w:rsidRPr="00F0117E">
        <w:rPr>
          <w:lang w:val="uk-UA"/>
        </w:rPr>
        <w:t xml:space="preserve">, </w:t>
      </w:r>
      <w:r w:rsidR="007C5CF4" w:rsidRPr="00F0117E">
        <w:rPr>
          <w:lang w:val="uk-UA"/>
        </w:rPr>
        <w:t>і зробила висновок про те, що на кону було право заявника на повагу до його</w:t>
      </w:r>
      <w:r w:rsidR="00E81B07" w:rsidRPr="00F0117E">
        <w:rPr>
          <w:lang w:val="uk-UA"/>
        </w:rPr>
        <w:t xml:space="preserve"> </w:t>
      </w:r>
      <w:r w:rsidR="007C5CF4" w:rsidRPr="00F0117E">
        <w:rPr>
          <w:lang w:val="uk-UA"/>
        </w:rPr>
        <w:t>«приватного життя»</w:t>
      </w:r>
      <w:r w:rsidR="00E81B07" w:rsidRPr="00F0117E">
        <w:rPr>
          <w:lang w:val="uk-UA"/>
        </w:rPr>
        <w:t xml:space="preserve"> </w:t>
      </w:r>
      <w:r w:rsidR="007C5CF4" w:rsidRPr="00F0117E">
        <w:rPr>
          <w:lang w:val="uk-UA"/>
        </w:rPr>
        <w:t>та «кореспонденції»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57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7B02B8" w:rsidRPr="00F0117E">
        <w:rPr>
          <w:lang w:val="uk-UA"/>
        </w:rPr>
        <w:t>Далі, Палата розглянула справу з точки зору</w:t>
      </w:r>
      <w:r w:rsidR="00E81B07" w:rsidRPr="00F0117E">
        <w:rPr>
          <w:lang w:val="uk-UA"/>
        </w:rPr>
        <w:t xml:space="preserve"> </w:t>
      </w:r>
      <w:r w:rsidR="007B02B8" w:rsidRPr="00F0117E">
        <w:rPr>
          <w:lang w:val="uk-UA"/>
        </w:rPr>
        <w:t>позитивних зобов’язань держави</w:t>
      </w:r>
      <w:r w:rsidR="00E81B07" w:rsidRPr="00F0117E">
        <w:rPr>
          <w:lang w:val="uk-UA"/>
        </w:rPr>
        <w:t xml:space="preserve">, </w:t>
      </w:r>
      <w:r w:rsidR="007B02B8" w:rsidRPr="00F0117E">
        <w:rPr>
          <w:lang w:val="uk-UA"/>
        </w:rPr>
        <w:t>оскільки рішення про звільнення заявника було прийнято</w:t>
      </w:r>
      <w:r w:rsidR="00E81B07" w:rsidRPr="00F0117E">
        <w:rPr>
          <w:lang w:val="uk-UA"/>
        </w:rPr>
        <w:t xml:space="preserve"> </w:t>
      </w:r>
      <w:r w:rsidR="007B02B8" w:rsidRPr="00F0117E">
        <w:rPr>
          <w:lang w:val="uk-UA"/>
        </w:rPr>
        <w:t>приватно-юридичною особою</w:t>
      </w:r>
      <w:r w:rsidR="00E81B07" w:rsidRPr="00F0117E">
        <w:rPr>
          <w:lang w:val="uk-UA"/>
        </w:rPr>
        <w:t xml:space="preserve">. </w:t>
      </w:r>
      <w:r w:rsidR="007B02B8" w:rsidRPr="00F0117E">
        <w:rPr>
          <w:lang w:val="uk-UA"/>
        </w:rPr>
        <w:t>Тому вона визначила, чи досягли національні органи влади справедливого балансу</w:t>
      </w:r>
      <w:r w:rsidR="00E81B07" w:rsidRPr="00F0117E">
        <w:rPr>
          <w:lang w:val="uk-UA"/>
        </w:rPr>
        <w:t xml:space="preserve"> </w:t>
      </w:r>
      <w:r w:rsidR="007B02B8" w:rsidRPr="00F0117E">
        <w:rPr>
          <w:lang w:val="uk-UA"/>
        </w:rPr>
        <w:t>між правом заявника на повагу</w:t>
      </w:r>
      <w:r w:rsidR="00E81B07" w:rsidRPr="00F0117E">
        <w:rPr>
          <w:lang w:val="uk-UA"/>
        </w:rPr>
        <w:t xml:space="preserve"> </w:t>
      </w:r>
      <w:r w:rsidR="007B02B8" w:rsidRPr="00F0117E">
        <w:rPr>
          <w:lang w:val="uk-UA"/>
        </w:rPr>
        <w:t>до приватного життя і кореспонденції</w:t>
      </w:r>
      <w:r w:rsidR="00E81B07" w:rsidRPr="00F0117E">
        <w:rPr>
          <w:lang w:val="uk-UA"/>
        </w:rPr>
        <w:t xml:space="preserve"> </w:t>
      </w:r>
      <w:r w:rsidR="007B02B8" w:rsidRPr="00F0117E">
        <w:rPr>
          <w:lang w:val="uk-UA"/>
        </w:rPr>
        <w:t>та інтересами його роботодавця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58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7B02B8" w:rsidRPr="00F0117E">
        <w:rPr>
          <w:lang w:val="uk-UA"/>
        </w:rPr>
        <w:t>Палата зазначила, що заявник мав можливість</w:t>
      </w:r>
      <w:r w:rsidR="00E81B07" w:rsidRPr="00F0117E">
        <w:rPr>
          <w:lang w:val="uk-UA"/>
        </w:rPr>
        <w:t xml:space="preserve"> </w:t>
      </w:r>
      <w:r w:rsidR="007B02B8" w:rsidRPr="00F0117E">
        <w:rPr>
          <w:lang w:val="uk-UA"/>
        </w:rPr>
        <w:t>звернутися зі справою та аргументами до трудових судів</w:t>
      </w:r>
      <w:r w:rsidR="00E81B07" w:rsidRPr="00F0117E">
        <w:rPr>
          <w:lang w:val="uk-UA"/>
        </w:rPr>
        <w:t xml:space="preserve">. </w:t>
      </w:r>
      <w:r w:rsidR="007B02B8" w:rsidRPr="00F0117E">
        <w:rPr>
          <w:lang w:val="uk-UA"/>
        </w:rPr>
        <w:t>Суди дійшли висновку про те, що заявник скоїв дисциплінарне правопорушення</w:t>
      </w:r>
      <w:r w:rsidR="00E81B07" w:rsidRPr="00F0117E">
        <w:rPr>
          <w:lang w:val="uk-UA"/>
        </w:rPr>
        <w:t xml:space="preserve"> </w:t>
      </w:r>
      <w:r w:rsidR="007B02B8" w:rsidRPr="00F0117E">
        <w:rPr>
          <w:lang w:val="uk-UA"/>
        </w:rPr>
        <w:t>шляхом використання інтернету для особистих цілей</w:t>
      </w:r>
      <w:r w:rsidR="00E81B07" w:rsidRPr="00F0117E">
        <w:rPr>
          <w:lang w:val="uk-UA"/>
        </w:rPr>
        <w:t xml:space="preserve"> </w:t>
      </w:r>
      <w:r w:rsidR="007B02B8" w:rsidRPr="00F0117E">
        <w:rPr>
          <w:lang w:val="uk-UA"/>
        </w:rPr>
        <w:t>упродовж робочого часу</w:t>
      </w:r>
      <w:r w:rsidR="00E81B07" w:rsidRPr="00F0117E">
        <w:rPr>
          <w:lang w:val="uk-UA"/>
        </w:rPr>
        <w:t xml:space="preserve">, </w:t>
      </w:r>
      <w:r w:rsidR="007B02B8" w:rsidRPr="00F0117E">
        <w:rPr>
          <w:lang w:val="uk-UA"/>
        </w:rPr>
        <w:t>і при цьому вони взяли до уваги процес дисциплінарних проваджень</w:t>
      </w:r>
      <w:r w:rsidR="00E81B07" w:rsidRPr="00F0117E">
        <w:rPr>
          <w:lang w:val="uk-UA"/>
        </w:rPr>
        <w:t xml:space="preserve">, </w:t>
      </w:r>
      <w:r w:rsidR="007B02B8" w:rsidRPr="00F0117E">
        <w:rPr>
          <w:lang w:val="uk-UA"/>
        </w:rPr>
        <w:t>зокрема – той факт, що роботодавець мав доступ до змісту</w:t>
      </w:r>
      <w:r w:rsidR="00E81B07" w:rsidRPr="00F0117E">
        <w:rPr>
          <w:lang w:val="uk-UA"/>
        </w:rPr>
        <w:t xml:space="preserve"> </w:t>
      </w:r>
      <w:r w:rsidR="007B02B8" w:rsidRPr="00F0117E">
        <w:rPr>
          <w:lang w:val="uk-UA"/>
        </w:rPr>
        <w:t>розмов заявника</w:t>
      </w:r>
      <w:r w:rsidR="00E81B07" w:rsidRPr="00F0117E">
        <w:rPr>
          <w:lang w:val="uk-UA"/>
        </w:rPr>
        <w:t xml:space="preserve"> </w:t>
      </w:r>
      <w:r w:rsidR="007B02B8" w:rsidRPr="00F0117E">
        <w:rPr>
          <w:lang w:val="uk-UA"/>
        </w:rPr>
        <w:t>лише після того, що заявник оголосив, що користувався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 </w:t>
      </w:r>
      <w:r w:rsidR="007B02B8" w:rsidRPr="00F0117E">
        <w:rPr>
          <w:lang w:val="uk-UA"/>
        </w:rPr>
        <w:t>для робочих цілей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59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7B02B8" w:rsidRPr="00F0117E">
        <w:rPr>
          <w:lang w:val="uk-UA"/>
        </w:rPr>
        <w:t>Палата також зазначила, що національні суди</w:t>
      </w:r>
      <w:r w:rsidR="00E81B07" w:rsidRPr="00F0117E">
        <w:rPr>
          <w:lang w:val="uk-UA"/>
        </w:rPr>
        <w:t xml:space="preserve"> </w:t>
      </w:r>
      <w:r w:rsidR="007B02B8" w:rsidRPr="00F0117E">
        <w:rPr>
          <w:lang w:val="uk-UA"/>
        </w:rPr>
        <w:t>не ґрунтували свої рішення</w:t>
      </w:r>
      <w:r w:rsidR="00E81B07" w:rsidRPr="00F0117E">
        <w:rPr>
          <w:lang w:val="uk-UA"/>
        </w:rPr>
        <w:t xml:space="preserve"> </w:t>
      </w:r>
      <w:r w:rsidR="007B02B8" w:rsidRPr="00F0117E">
        <w:rPr>
          <w:lang w:val="uk-UA"/>
        </w:rPr>
        <w:t>на змісті переговорів заявника,</w:t>
      </w:r>
      <w:r w:rsidR="00E81B07" w:rsidRPr="00F0117E">
        <w:rPr>
          <w:lang w:val="uk-UA"/>
        </w:rPr>
        <w:t xml:space="preserve"> </w:t>
      </w:r>
      <w:r w:rsidR="007B02B8" w:rsidRPr="00F0117E">
        <w:rPr>
          <w:lang w:val="uk-UA"/>
        </w:rPr>
        <w:t>і що моніторинг роботодавця обмежувався використанням заявником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60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7B02B8" w:rsidRPr="00F0117E">
        <w:rPr>
          <w:lang w:val="uk-UA"/>
        </w:rPr>
        <w:t>Відповідно, Палата постановила, що не було порушення статті 8 Конвенції</w:t>
      </w:r>
      <w:r w:rsidR="00E81B07" w:rsidRPr="00F0117E">
        <w:rPr>
          <w:lang w:val="uk-UA"/>
        </w:rPr>
        <w:t>.</w:t>
      </w:r>
    </w:p>
    <w:p w:rsidR="00E81B07" w:rsidRPr="00F0117E" w:rsidRDefault="00E81B07" w:rsidP="008B2B31">
      <w:pPr>
        <w:pStyle w:val="ECHRHeading2"/>
        <w:rPr>
          <w:lang w:val="uk-UA"/>
        </w:rPr>
      </w:pPr>
      <w:r w:rsidRPr="00F0117E">
        <w:rPr>
          <w:lang w:val="uk-UA"/>
        </w:rPr>
        <w:t>B.</w:t>
      </w:r>
      <w:r w:rsidR="00FA6D4F" w:rsidRPr="00F0117E">
        <w:rPr>
          <w:lang w:val="uk-UA"/>
        </w:rPr>
        <w:t xml:space="preserve"> </w:t>
      </w:r>
      <w:r w:rsidR="007B02B8" w:rsidRPr="00F0117E">
        <w:rPr>
          <w:lang w:val="uk-UA"/>
        </w:rPr>
        <w:t>Обсяг справи у Великій Палаті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61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7B02B8" w:rsidRPr="00F0117E">
        <w:rPr>
          <w:lang w:val="uk-UA"/>
        </w:rPr>
        <w:t>Суд зазначає, що у провадженнях у Палаті</w:t>
      </w:r>
      <w:r w:rsidR="00E81B07" w:rsidRPr="00F0117E">
        <w:rPr>
          <w:lang w:val="uk-UA"/>
        </w:rPr>
        <w:t xml:space="preserve"> </w:t>
      </w:r>
      <w:r w:rsidR="007B02B8" w:rsidRPr="00F0117E">
        <w:rPr>
          <w:lang w:val="uk-UA"/>
        </w:rPr>
        <w:t>заявник стверджував, що рішення його роботодавця</w:t>
      </w:r>
      <w:r w:rsidR="00E81B07" w:rsidRPr="00F0117E">
        <w:rPr>
          <w:lang w:val="uk-UA"/>
        </w:rPr>
        <w:t xml:space="preserve"> </w:t>
      </w:r>
      <w:r w:rsidR="007B02B8" w:rsidRPr="00F0117E">
        <w:rPr>
          <w:lang w:val="uk-UA"/>
        </w:rPr>
        <w:t>про розривання контракту ґрунтувалося на порушенні його права на повагу до недоторканності приватного життя</w:t>
      </w:r>
      <w:r w:rsidR="00E81B07" w:rsidRPr="00F0117E">
        <w:rPr>
          <w:lang w:val="uk-UA"/>
        </w:rPr>
        <w:t xml:space="preserve"> </w:t>
      </w:r>
      <w:r w:rsidR="007B02B8" w:rsidRPr="00F0117E">
        <w:rPr>
          <w:lang w:val="uk-UA"/>
        </w:rPr>
        <w:t>і кореспонденції,</w:t>
      </w:r>
      <w:r w:rsidR="00E81B07" w:rsidRPr="00F0117E">
        <w:rPr>
          <w:lang w:val="uk-UA"/>
        </w:rPr>
        <w:t xml:space="preserve"> </w:t>
      </w:r>
      <w:r w:rsidR="007B02B8" w:rsidRPr="00F0117E">
        <w:rPr>
          <w:lang w:val="uk-UA"/>
        </w:rPr>
        <w:t>закріпленого у статті 8 Конвенції,</w:t>
      </w:r>
      <w:r w:rsidR="00E81B07" w:rsidRPr="00F0117E">
        <w:rPr>
          <w:lang w:val="uk-UA"/>
        </w:rPr>
        <w:t xml:space="preserve"> </w:t>
      </w:r>
      <w:r w:rsidR="007B02B8" w:rsidRPr="00F0117E">
        <w:rPr>
          <w:lang w:val="uk-UA"/>
        </w:rPr>
        <w:t>і що, не скасувавши цей захід</w:t>
      </w:r>
      <w:r w:rsidR="00E81B07" w:rsidRPr="00F0117E">
        <w:rPr>
          <w:lang w:val="uk-UA"/>
        </w:rPr>
        <w:t xml:space="preserve">, </w:t>
      </w:r>
      <w:r w:rsidR="007B02B8" w:rsidRPr="00F0117E">
        <w:rPr>
          <w:lang w:val="uk-UA"/>
        </w:rPr>
        <w:t>національні суди не виконали своє зобов’язання</w:t>
      </w:r>
      <w:r w:rsidR="00E81B07" w:rsidRPr="00F0117E">
        <w:rPr>
          <w:lang w:val="uk-UA"/>
        </w:rPr>
        <w:t xml:space="preserve"> </w:t>
      </w:r>
      <w:r w:rsidR="007B02B8" w:rsidRPr="00F0117E">
        <w:rPr>
          <w:lang w:val="uk-UA"/>
        </w:rPr>
        <w:t>щодо захисту відповідного права</w:t>
      </w:r>
      <w:r w:rsidR="00E81B07" w:rsidRPr="00F0117E">
        <w:rPr>
          <w:lang w:val="uk-UA"/>
        </w:rPr>
        <w:t xml:space="preserve">. </w:t>
      </w:r>
      <w:r w:rsidR="007B02B8" w:rsidRPr="00F0117E">
        <w:rPr>
          <w:lang w:val="uk-UA"/>
        </w:rPr>
        <w:t>Палата проголосила цю скаргу прийнятною 12 січня</w:t>
      </w:r>
      <w:r w:rsidR="00E81B07" w:rsidRPr="00F0117E">
        <w:rPr>
          <w:lang w:val="uk-UA"/>
        </w:rPr>
        <w:t xml:space="preserve"> 2016</w:t>
      </w:r>
      <w:r w:rsidR="007B02B8" w:rsidRPr="00F0117E">
        <w:rPr>
          <w:lang w:val="uk-UA"/>
        </w:rPr>
        <w:t xml:space="preserve"> року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62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F30716" w:rsidRPr="00F0117E">
        <w:rPr>
          <w:lang w:val="uk-UA"/>
        </w:rPr>
        <w:t>Суд повторює, що справа, передана до Великої Палати,</w:t>
      </w:r>
      <w:r w:rsidR="00E81B07" w:rsidRPr="00F0117E">
        <w:rPr>
          <w:lang w:val="uk-UA"/>
        </w:rPr>
        <w:t xml:space="preserve"> </w:t>
      </w:r>
      <w:r w:rsidR="00F30716" w:rsidRPr="00F0117E">
        <w:rPr>
          <w:lang w:val="uk-UA"/>
        </w:rPr>
        <w:t>є заявою, оскільки вона була проголошена прийнятною в Палаті</w:t>
      </w:r>
      <w:r w:rsidR="00E81B07" w:rsidRPr="00F0117E">
        <w:rPr>
          <w:lang w:val="uk-UA"/>
        </w:rPr>
        <w:t xml:space="preserve"> (</w:t>
      </w:r>
      <w:r w:rsidR="00F30716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r w:rsidR="00E81B07" w:rsidRPr="00F0117E">
        <w:rPr>
          <w:i/>
          <w:lang w:val="uk-UA"/>
        </w:rPr>
        <w:t xml:space="preserve">K. </w:t>
      </w:r>
      <w:proofErr w:type="spellStart"/>
      <w:r w:rsidR="00E81B07" w:rsidRPr="00F0117E">
        <w:rPr>
          <w:i/>
          <w:lang w:val="uk-UA"/>
        </w:rPr>
        <w:t>and</w:t>
      </w:r>
      <w:proofErr w:type="spellEnd"/>
      <w:r w:rsidR="00E81B07" w:rsidRPr="00F0117E">
        <w:rPr>
          <w:i/>
          <w:lang w:val="uk-UA"/>
        </w:rPr>
        <w:t xml:space="preserve"> T. v. </w:t>
      </w:r>
      <w:proofErr w:type="spellStart"/>
      <w:r w:rsidR="00E81B07" w:rsidRPr="00F0117E">
        <w:rPr>
          <w:i/>
          <w:lang w:val="uk-UA"/>
        </w:rPr>
        <w:t>Finland</w:t>
      </w:r>
      <w:proofErr w:type="spellEnd"/>
      <w:r w:rsidR="00E81B07" w:rsidRPr="00F0117E">
        <w:rPr>
          <w:lang w:val="uk-UA"/>
        </w:rPr>
        <w:t xml:space="preserve"> [GC], </w:t>
      </w:r>
      <w:r w:rsidR="00F30716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 25702/94, §§ 140-41, ECHR 2001</w:t>
      </w:r>
      <w:r w:rsidR="00E81B07" w:rsidRPr="00F0117E">
        <w:rPr>
          <w:lang w:val="uk-UA"/>
        </w:rPr>
        <w:noBreakHyphen/>
        <w:t xml:space="preserve">VII; </w:t>
      </w:r>
      <w:r w:rsidR="00E81B07" w:rsidRPr="00F0117E">
        <w:rPr>
          <w:i/>
          <w:lang w:val="uk-UA"/>
        </w:rPr>
        <w:t xml:space="preserve">D.H. </w:t>
      </w:r>
      <w:proofErr w:type="spellStart"/>
      <w:r w:rsidR="00E81B07" w:rsidRPr="00F0117E">
        <w:rPr>
          <w:i/>
          <w:lang w:val="uk-UA"/>
        </w:rPr>
        <w:t>and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Others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the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Czech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Republic</w:t>
      </w:r>
      <w:proofErr w:type="spellEnd"/>
      <w:r w:rsidR="00E81B07" w:rsidRPr="00F0117E">
        <w:rPr>
          <w:lang w:val="uk-UA"/>
        </w:rPr>
        <w:t xml:space="preserve"> [GC], </w:t>
      </w:r>
      <w:r w:rsidR="00F30716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 57325/00, § 109, ECHR 2007</w:t>
      </w:r>
      <w:r w:rsidR="00E81B07" w:rsidRPr="00F0117E">
        <w:rPr>
          <w:lang w:val="uk-UA"/>
        </w:rPr>
        <w:noBreakHyphen/>
        <w:t xml:space="preserve">IV; </w:t>
      </w:r>
      <w:r w:rsidR="00F30716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Blokhin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Russia</w:t>
      </w:r>
      <w:proofErr w:type="spellEnd"/>
      <w:r w:rsidR="00E81B07" w:rsidRPr="00F0117E">
        <w:rPr>
          <w:lang w:val="uk-UA"/>
        </w:rPr>
        <w:t xml:space="preserve"> [GC], </w:t>
      </w:r>
      <w:proofErr w:type="spellStart"/>
      <w:r w:rsidR="00E81B07" w:rsidRPr="00F0117E">
        <w:rPr>
          <w:lang w:val="uk-UA"/>
        </w:rPr>
        <w:t>no</w:t>
      </w:r>
      <w:proofErr w:type="spellEnd"/>
      <w:r w:rsidR="00E81B07" w:rsidRPr="00F0117E">
        <w:rPr>
          <w:lang w:val="uk-UA"/>
        </w:rPr>
        <w:t>. 47152/06, § 91, ECHR 2016).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63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173F23" w:rsidRPr="00F0117E">
        <w:rPr>
          <w:lang w:val="uk-UA"/>
        </w:rPr>
        <w:t>У своїх зауваженнях у Великій Палаті заявник уперше скаржився</w:t>
      </w:r>
      <w:r w:rsidR="00E81B07" w:rsidRPr="00F0117E">
        <w:rPr>
          <w:lang w:val="uk-UA"/>
        </w:rPr>
        <w:t xml:space="preserve"> </w:t>
      </w:r>
      <w:r w:rsidR="00173F23" w:rsidRPr="00F0117E">
        <w:rPr>
          <w:lang w:val="uk-UA"/>
        </w:rPr>
        <w:t>на відхилення скарги у кримінальному порядку у</w:t>
      </w:r>
      <w:r w:rsidR="00E81B07" w:rsidRPr="00F0117E">
        <w:rPr>
          <w:lang w:val="uk-UA"/>
        </w:rPr>
        <w:t xml:space="preserve"> 2012 </w:t>
      </w:r>
      <w:r w:rsidR="00173F23" w:rsidRPr="00F0117E">
        <w:rPr>
          <w:lang w:val="uk-UA"/>
        </w:rPr>
        <w:t xml:space="preserve">році, </w:t>
      </w:r>
      <w:r w:rsidR="00173F23" w:rsidRPr="00F0117E">
        <w:rPr>
          <w:lang w:val="uk-UA"/>
        </w:rPr>
        <w:lastRenderedPageBreak/>
        <w:t>яку він подав у зв’язку</w:t>
      </w:r>
      <w:r w:rsidR="00E81B07" w:rsidRPr="00F0117E">
        <w:rPr>
          <w:lang w:val="uk-UA"/>
        </w:rPr>
        <w:t xml:space="preserve"> </w:t>
      </w:r>
      <w:r w:rsidR="00173F23" w:rsidRPr="00F0117E">
        <w:rPr>
          <w:lang w:val="uk-UA"/>
        </w:rPr>
        <w:t xml:space="preserve">зі </w:t>
      </w:r>
      <w:proofErr w:type="spellStart"/>
      <w:r w:rsidR="00173F23" w:rsidRPr="00F0117E">
        <w:rPr>
          <w:lang w:val="uk-UA"/>
        </w:rPr>
        <w:t>стверджуваним</w:t>
      </w:r>
      <w:proofErr w:type="spellEnd"/>
      <w:r w:rsidR="00173F23" w:rsidRPr="00F0117E">
        <w:rPr>
          <w:lang w:val="uk-UA"/>
        </w:rPr>
        <w:t xml:space="preserve"> порушенням таємниці кореспонденції</w:t>
      </w:r>
      <w:r w:rsidR="00E81B07" w:rsidRPr="00F0117E">
        <w:rPr>
          <w:lang w:val="uk-UA"/>
        </w:rPr>
        <w:t xml:space="preserve"> (</w:t>
      </w:r>
      <w:r w:rsidR="000C091A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criminal_complaint \h  \* MERGEFORMAT ">
        <w:r w:rsidR="008B2B31" w:rsidRPr="00F0117E">
          <w:rPr>
            <w:lang w:val="uk-UA"/>
          </w:rPr>
          <w:t>90</w:t>
        </w:r>
      </w:fldSimple>
      <w:r w:rsidR="00E81B07" w:rsidRPr="00F0117E">
        <w:rPr>
          <w:lang w:val="uk-UA"/>
        </w:rPr>
        <w:t xml:space="preserve"> </w:t>
      </w:r>
      <w:r w:rsidR="000C091A" w:rsidRPr="00F0117E">
        <w:rPr>
          <w:lang w:val="uk-UA"/>
        </w:rPr>
        <w:t>нижче</w:t>
      </w:r>
      <w:r w:rsidR="00E81B07" w:rsidRPr="00F0117E">
        <w:rPr>
          <w:lang w:val="uk-UA"/>
        </w:rPr>
        <w:t>).</w:t>
      </w:r>
    </w:p>
    <w:p w:rsidR="00E81B07" w:rsidRPr="00F0117E" w:rsidRDefault="0002542A" w:rsidP="008B2B31">
      <w:pPr>
        <w:pStyle w:val="ECHRPara"/>
        <w:rPr>
          <w:i/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64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935B4C" w:rsidRPr="00F0117E">
        <w:rPr>
          <w:lang w:val="uk-UA"/>
        </w:rPr>
        <w:t>Ця нова скарга не була згадана у рішенні від</w:t>
      </w:r>
      <w:r w:rsidR="00E81B07" w:rsidRPr="00F0117E">
        <w:rPr>
          <w:lang w:val="uk-UA"/>
        </w:rPr>
        <w:t xml:space="preserve"> 12 </w:t>
      </w:r>
      <w:r w:rsidR="00935B4C" w:rsidRPr="00F0117E">
        <w:rPr>
          <w:lang w:val="uk-UA"/>
        </w:rPr>
        <w:t>січня</w:t>
      </w:r>
      <w:r w:rsidR="00E81B07" w:rsidRPr="00F0117E">
        <w:rPr>
          <w:lang w:val="uk-UA"/>
        </w:rPr>
        <w:t xml:space="preserve"> 2016 </w:t>
      </w:r>
      <w:r w:rsidR="00935B4C" w:rsidRPr="00F0117E">
        <w:rPr>
          <w:lang w:val="uk-UA"/>
        </w:rPr>
        <w:t>року щодо прийнятності</w:t>
      </w:r>
      <w:r w:rsidR="00E81B07" w:rsidRPr="00F0117E">
        <w:rPr>
          <w:lang w:val="uk-UA"/>
        </w:rPr>
        <w:t xml:space="preserve">, </w:t>
      </w:r>
      <w:r w:rsidR="00935B4C" w:rsidRPr="00F0117E">
        <w:rPr>
          <w:lang w:val="uk-UA"/>
        </w:rPr>
        <w:t>яке визначає межі розгляду заяви</w:t>
      </w:r>
      <w:r w:rsidR="00E81B07" w:rsidRPr="00F0117E">
        <w:rPr>
          <w:lang w:val="uk-UA"/>
        </w:rPr>
        <w:t xml:space="preserve">. </w:t>
      </w:r>
      <w:r w:rsidR="00935B4C" w:rsidRPr="00F0117E">
        <w:rPr>
          <w:lang w:val="uk-UA"/>
        </w:rPr>
        <w:t>Тому вона виходить за межі обсягу справи,</w:t>
      </w:r>
      <w:r w:rsidR="00E81B07" w:rsidRPr="00F0117E">
        <w:rPr>
          <w:lang w:val="uk-UA"/>
        </w:rPr>
        <w:t xml:space="preserve"> </w:t>
      </w:r>
      <w:r w:rsidR="00935B4C" w:rsidRPr="00F0117E">
        <w:rPr>
          <w:lang w:val="uk-UA"/>
        </w:rPr>
        <w:t>визначеного Великою Палатою</w:t>
      </w:r>
      <w:r w:rsidR="00E81B07" w:rsidRPr="00F0117E">
        <w:rPr>
          <w:lang w:val="uk-UA"/>
        </w:rPr>
        <w:t xml:space="preserve">, </w:t>
      </w:r>
      <w:r w:rsidR="00935B4C" w:rsidRPr="00F0117E">
        <w:rPr>
          <w:lang w:val="uk-UA"/>
        </w:rPr>
        <w:t>яка, відповідно, не має юрисдикції</w:t>
      </w:r>
      <w:r w:rsidR="00E81B07" w:rsidRPr="00F0117E">
        <w:rPr>
          <w:lang w:val="uk-UA"/>
        </w:rPr>
        <w:t xml:space="preserve"> </w:t>
      </w:r>
      <w:r w:rsidR="00935B4C" w:rsidRPr="00F0117E">
        <w:rPr>
          <w:lang w:val="uk-UA"/>
        </w:rPr>
        <w:t>щодо розгляду цієї скарги,</w:t>
      </w:r>
      <w:r w:rsidR="00E81B07" w:rsidRPr="00F0117E">
        <w:rPr>
          <w:lang w:val="uk-UA"/>
        </w:rPr>
        <w:t xml:space="preserve"> </w:t>
      </w:r>
      <w:r w:rsidR="00935B4C" w:rsidRPr="00F0117E">
        <w:rPr>
          <w:lang w:val="uk-UA"/>
        </w:rPr>
        <w:t>і тому обмежиться розглядом скарги, яку Палата проголосила прийнятною</w:t>
      </w:r>
      <w:r w:rsidR="00E81B07" w:rsidRPr="00F0117E">
        <w:rPr>
          <w:lang w:val="uk-UA"/>
        </w:rPr>
        <w:t>.</w:t>
      </w:r>
    </w:p>
    <w:p w:rsidR="00E81B07" w:rsidRPr="00F0117E" w:rsidRDefault="00E81B07" w:rsidP="008B2B31">
      <w:pPr>
        <w:pStyle w:val="ECHRHeading2"/>
        <w:rPr>
          <w:lang w:val="uk-UA"/>
        </w:rPr>
      </w:pPr>
      <w:r w:rsidRPr="00F0117E">
        <w:rPr>
          <w:lang w:val="uk-UA"/>
        </w:rPr>
        <w:t>C.</w:t>
      </w:r>
      <w:r w:rsidR="00FA6D4F" w:rsidRPr="00F0117E">
        <w:rPr>
          <w:lang w:val="uk-UA"/>
        </w:rPr>
        <w:t xml:space="preserve"> </w:t>
      </w:r>
      <w:r w:rsidR="00935B4C" w:rsidRPr="00F0117E">
        <w:rPr>
          <w:lang w:val="uk-UA"/>
        </w:rPr>
        <w:t>Застосовність статті 8 Конвенції</w:t>
      </w:r>
    </w:p>
    <w:p w:rsidR="00E81B07" w:rsidRPr="00F0117E" w:rsidRDefault="00E81B07" w:rsidP="008B2B31">
      <w:pPr>
        <w:pStyle w:val="ECHRHeading3"/>
        <w:rPr>
          <w:lang w:val="uk-UA"/>
        </w:rPr>
      </w:pPr>
      <w:r w:rsidRPr="00F0117E">
        <w:rPr>
          <w:lang w:val="uk-UA"/>
        </w:rPr>
        <w:t>1.</w:t>
      </w:r>
      <w:r w:rsidR="00FA6D4F" w:rsidRPr="00F0117E">
        <w:rPr>
          <w:lang w:val="uk-UA"/>
        </w:rPr>
        <w:t xml:space="preserve"> </w:t>
      </w:r>
      <w:r w:rsidR="00935B4C" w:rsidRPr="00F0117E">
        <w:rPr>
          <w:lang w:val="uk-UA"/>
        </w:rPr>
        <w:t>Доводи сторін</w:t>
      </w:r>
    </w:p>
    <w:p w:rsidR="00E81B07" w:rsidRPr="00F0117E" w:rsidRDefault="00E81B07" w:rsidP="008B2B31">
      <w:pPr>
        <w:pStyle w:val="ECHRHeading4"/>
        <w:rPr>
          <w:lang w:val="uk-UA"/>
        </w:rPr>
      </w:pPr>
      <w:r w:rsidRPr="00F0117E">
        <w:rPr>
          <w:lang w:val="uk-UA"/>
        </w:rPr>
        <w:t>(a)</w:t>
      </w:r>
      <w:r w:rsidR="00FA6D4F" w:rsidRPr="00F0117E">
        <w:rPr>
          <w:lang w:val="uk-UA"/>
        </w:rPr>
        <w:t xml:space="preserve"> </w:t>
      </w:r>
      <w:r w:rsidR="00935B4C" w:rsidRPr="00F0117E">
        <w:rPr>
          <w:lang w:val="uk-UA"/>
        </w:rPr>
        <w:t>Уряд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65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935B4C" w:rsidRPr="00F0117E">
        <w:rPr>
          <w:lang w:val="uk-UA"/>
        </w:rPr>
        <w:t>Уряд стверджував, що заявник не міг</w:t>
      </w:r>
      <w:r w:rsidR="00E81B07" w:rsidRPr="00F0117E">
        <w:rPr>
          <w:lang w:val="uk-UA"/>
        </w:rPr>
        <w:t xml:space="preserve"> </w:t>
      </w:r>
      <w:r w:rsidR="00935B4C" w:rsidRPr="00F0117E">
        <w:rPr>
          <w:lang w:val="uk-UA"/>
        </w:rPr>
        <w:t>заявляти про будь-які очікування «приватності»</w:t>
      </w:r>
      <w:r w:rsidR="00E81B07" w:rsidRPr="00F0117E">
        <w:rPr>
          <w:lang w:val="uk-UA"/>
        </w:rPr>
        <w:t xml:space="preserve"> </w:t>
      </w:r>
      <w:r w:rsidR="00935B4C" w:rsidRPr="00F0117E">
        <w:rPr>
          <w:lang w:val="uk-UA"/>
        </w:rPr>
        <w:t xml:space="preserve">в тому, що стосується розмов з використанням сервісу обміну </w:t>
      </w:r>
      <w:r w:rsidR="00027D83" w:rsidRPr="00F0117E">
        <w:rPr>
          <w:lang w:val="uk-UA"/>
        </w:rPr>
        <w:t>миттєвими</w:t>
      </w:r>
      <w:r w:rsidR="00935B4C" w:rsidRPr="00F0117E">
        <w:rPr>
          <w:lang w:val="uk-UA"/>
        </w:rPr>
        <w:t xml:space="preserve"> повідомленнями,</w:t>
      </w:r>
      <w:r w:rsidR="00E81B07" w:rsidRPr="00F0117E">
        <w:rPr>
          <w:lang w:val="uk-UA"/>
        </w:rPr>
        <w:t xml:space="preserve"> </w:t>
      </w:r>
      <w:r w:rsidR="00935B4C" w:rsidRPr="00F0117E">
        <w:rPr>
          <w:lang w:val="uk-UA"/>
        </w:rPr>
        <w:t>ака</w:t>
      </w:r>
      <w:r w:rsidR="00896934" w:rsidRPr="00F0117E">
        <w:rPr>
          <w:lang w:val="uk-UA"/>
        </w:rPr>
        <w:t>у</w:t>
      </w:r>
      <w:r w:rsidR="00935B4C" w:rsidRPr="00F0117E">
        <w:rPr>
          <w:lang w:val="uk-UA"/>
        </w:rPr>
        <w:t>нт у якому був створений для професійного користування</w:t>
      </w:r>
      <w:r w:rsidR="00E81B07" w:rsidRPr="00F0117E">
        <w:rPr>
          <w:lang w:val="uk-UA"/>
        </w:rPr>
        <w:t xml:space="preserve">. </w:t>
      </w:r>
      <w:r w:rsidR="00935B4C" w:rsidRPr="00F0117E">
        <w:rPr>
          <w:lang w:val="uk-UA"/>
        </w:rPr>
        <w:t>Посилаючись на прецедентну практику судів Франції та Кіпру</w:t>
      </w:r>
      <w:r w:rsidR="00E81B07" w:rsidRPr="00F0117E">
        <w:rPr>
          <w:lang w:val="uk-UA"/>
        </w:rPr>
        <w:t xml:space="preserve">, </w:t>
      </w:r>
      <w:r w:rsidR="00935B4C" w:rsidRPr="00F0117E">
        <w:rPr>
          <w:lang w:val="uk-UA"/>
        </w:rPr>
        <w:t>Уряд стверджував, що повідомлення, відправлені працівником з використанням</w:t>
      </w:r>
      <w:r w:rsidR="00E81B07" w:rsidRPr="00F0117E">
        <w:rPr>
          <w:lang w:val="uk-UA"/>
        </w:rPr>
        <w:t xml:space="preserve"> </w:t>
      </w:r>
      <w:r w:rsidR="00935B4C" w:rsidRPr="00F0117E">
        <w:rPr>
          <w:lang w:val="uk-UA"/>
        </w:rPr>
        <w:t>технічних засобів, які йому забезпечив роботодавець,</w:t>
      </w:r>
      <w:r w:rsidR="00E81B07" w:rsidRPr="00F0117E">
        <w:rPr>
          <w:lang w:val="uk-UA"/>
        </w:rPr>
        <w:t xml:space="preserve"> </w:t>
      </w:r>
      <w:r w:rsidR="00935B4C" w:rsidRPr="00F0117E">
        <w:rPr>
          <w:lang w:val="uk-UA"/>
        </w:rPr>
        <w:t>необхідно було вважати професійними за характером,</w:t>
      </w:r>
      <w:r w:rsidR="00E81B07" w:rsidRPr="00F0117E">
        <w:rPr>
          <w:lang w:val="uk-UA"/>
        </w:rPr>
        <w:t xml:space="preserve"> </w:t>
      </w:r>
      <w:r w:rsidR="00935B4C" w:rsidRPr="00F0117E">
        <w:rPr>
          <w:lang w:val="uk-UA"/>
        </w:rPr>
        <w:t>якщо працівник не визначив їх явно як приватні</w:t>
      </w:r>
      <w:r w:rsidR="00E81B07" w:rsidRPr="00F0117E">
        <w:rPr>
          <w:lang w:val="uk-UA"/>
        </w:rPr>
        <w:t xml:space="preserve">. </w:t>
      </w:r>
      <w:r w:rsidR="002511F1" w:rsidRPr="00F0117E">
        <w:rPr>
          <w:lang w:val="uk-UA"/>
        </w:rPr>
        <w:t>Уряд зауважив, що за допомогою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 </w:t>
      </w:r>
      <w:r w:rsidR="002511F1" w:rsidRPr="00F0117E">
        <w:rPr>
          <w:lang w:val="uk-UA"/>
        </w:rPr>
        <w:t>було неможливо з технічної точки зору позначити повідомлення, як приватні</w:t>
      </w:r>
      <w:r w:rsidR="00E81B07" w:rsidRPr="00F0117E">
        <w:rPr>
          <w:lang w:val="uk-UA"/>
        </w:rPr>
        <w:t xml:space="preserve">; </w:t>
      </w:r>
      <w:r w:rsidR="002511F1" w:rsidRPr="00F0117E">
        <w:rPr>
          <w:lang w:val="uk-UA"/>
        </w:rPr>
        <w:t>однак, заявник мав належну можливість вказати, що його повідомлення були приватними,</w:t>
      </w:r>
      <w:r w:rsidR="00E81B07" w:rsidRPr="00F0117E">
        <w:rPr>
          <w:lang w:val="uk-UA"/>
        </w:rPr>
        <w:t xml:space="preserve"> </w:t>
      </w:r>
      <w:r w:rsidR="002511F1" w:rsidRPr="00F0117E">
        <w:rPr>
          <w:lang w:val="uk-UA"/>
        </w:rPr>
        <w:t>на початковій стадії дисциплінарних проваджень</w:t>
      </w:r>
      <w:r w:rsidR="00E81B07" w:rsidRPr="00F0117E">
        <w:rPr>
          <w:lang w:val="uk-UA"/>
        </w:rPr>
        <w:t xml:space="preserve">, </w:t>
      </w:r>
      <w:r w:rsidR="002511F1" w:rsidRPr="00F0117E">
        <w:rPr>
          <w:lang w:val="uk-UA"/>
        </w:rPr>
        <w:t>але наполягав на тому, що вони були пов’язані з роботою</w:t>
      </w:r>
      <w:r w:rsidR="00E81B07" w:rsidRPr="00F0117E">
        <w:rPr>
          <w:lang w:val="uk-UA"/>
        </w:rPr>
        <w:t xml:space="preserve">. </w:t>
      </w:r>
      <w:r w:rsidR="00023634" w:rsidRPr="00F0117E">
        <w:rPr>
          <w:lang w:val="uk-UA"/>
        </w:rPr>
        <w:t>Заявник був проінформований не тільки про внутрішні розпорядження роботодавця</w:t>
      </w:r>
      <w:r w:rsidR="00E81B07" w:rsidRPr="00F0117E">
        <w:rPr>
          <w:lang w:val="uk-UA"/>
        </w:rPr>
        <w:t xml:space="preserve">, </w:t>
      </w:r>
      <w:r w:rsidR="00023634" w:rsidRPr="00F0117E">
        <w:rPr>
          <w:lang w:val="uk-UA"/>
        </w:rPr>
        <w:t xml:space="preserve">які забороняли будь-яке </w:t>
      </w:r>
      <w:r w:rsidR="00151636" w:rsidRPr="00F0117E">
        <w:rPr>
          <w:lang w:val="uk-UA"/>
        </w:rPr>
        <w:t>особисте</w:t>
      </w:r>
      <w:r w:rsidR="00023634" w:rsidRPr="00F0117E">
        <w:rPr>
          <w:lang w:val="uk-UA"/>
        </w:rPr>
        <w:t xml:space="preserve"> використання ресурсів компанії</w:t>
      </w:r>
      <w:r w:rsidR="00E81B07" w:rsidRPr="00F0117E">
        <w:rPr>
          <w:lang w:val="uk-UA"/>
        </w:rPr>
        <w:t xml:space="preserve">, </w:t>
      </w:r>
      <w:r w:rsidR="00023634" w:rsidRPr="00F0117E">
        <w:rPr>
          <w:lang w:val="uk-UA"/>
        </w:rPr>
        <w:t>але і про той факт, що його р</w:t>
      </w:r>
      <w:r w:rsidR="00E85907" w:rsidRPr="00F0117E">
        <w:rPr>
          <w:lang w:val="uk-UA"/>
        </w:rPr>
        <w:t>о</w:t>
      </w:r>
      <w:r w:rsidR="00023634" w:rsidRPr="00F0117E">
        <w:rPr>
          <w:lang w:val="uk-UA"/>
        </w:rPr>
        <w:t>ботодавець</w:t>
      </w:r>
      <w:r w:rsidR="00E81B07" w:rsidRPr="00F0117E">
        <w:rPr>
          <w:lang w:val="uk-UA"/>
        </w:rPr>
        <w:t xml:space="preserve"> </w:t>
      </w:r>
      <w:r w:rsidR="00023634" w:rsidRPr="00F0117E">
        <w:rPr>
          <w:lang w:val="uk-UA"/>
        </w:rPr>
        <w:t>розпочав процес моніторингу його повідомлень</w:t>
      </w:r>
      <w:r w:rsidR="00E81B07" w:rsidRPr="00F0117E">
        <w:rPr>
          <w:lang w:val="uk-UA"/>
        </w:rPr>
        <w:t>.</w:t>
      </w:r>
    </w:p>
    <w:bookmarkStart w:id="29" w:name="obs_Gouv_inaplicabilité2"/>
    <w:p w:rsidR="00E81B07" w:rsidRPr="00F0117E" w:rsidRDefault="0002542A" w:rsidP="00E85907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66</w:t>
      </w:r>
      <w:r w:rsidRPr="00F0117E">
        <w:rPr>
          <w:lang w:val="uk-UA"/>
        </w:rPr>
        <w:fldChar w:fldCharType="end"/>
      </w:r>
      <w:bookmarkEnd w:id="29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E85907" w:rsidRPr="00F0117E">
        <w:rPr>
          <w:lang w:val="uk-UA"/>
        </w:rPr>
        <w:t>Уряд спирався на три подальші аргументи,</w:t>
      </w:r>
      <w:r w:rsidR="00E81B07" w:rsidRPr="00F0117E">
        <w:rPr>
          <w:lang w:val="uk-UA"/>
        </w:rPr>
        <w:t xml:space="preserve"> </w:t>
      </w:r>
      <w:r w:rsidR="00E85907" w:rsidRPr="00F0117E">
        <w:rPr>
          <w:lang w:val="uk-UA"/>
        </w:rPr>
        <w:t>стверджуючи, що стаття 8 Конвенції</w:t>
      </w:r>
      <w:r w:rsidR="00E81B07" w:rsidRPr="00F0117E">
        <w:rPr>
          <w:lang w:val="uk-UA"/>
        </w:rPr>
        <w:t xml:space="preserve"> </w:t>
      </w:r>
      <w:r w:rsidR="00E85907" w:rsidRPr="00F0117E">
        <w:rPr>
          <w:lang w:val="uk-UA"/>
        </w:rPr>
        <w:t>не була застосовною в даній справі</w:t>
      </w:r>
      <w:r w:rsidR="00E81B07" w:rsidRPr="00F0117E">
        <w:rPr>
          <w:lang w:val="uk-UA"/>
        </w:rPr>
        <w:t xml:space="preserve">. </w:t>
      </w:r>
      <w:r w:rsidR="00E85907" w:rsidRPr="00F0117E">
        <w:rPr>
          <w:lang w:val="uk-UA"/>
        </w:rPr>
        <w:t>По-перше, не було доказів, які б свідчили,</w:t>
      </w:r>
      <w:r w:rsidR="00E81B07" w:rsidRPr="00F0117E">
        <w:rPr>
          <w:lang w:val="uk-UA"/>
        </w:rPr>
        <w:t xml:space="preserve"> </w:t>
      </w:r>
      <w:r w:rsidR="00E85907" w:rsidRPr="00F0117E">
        <w:rPr>
          <w:lang w:val="uk-UA"/>
        </w:rPr>
        <w:t>що розшифровка розмов заявника</w:t>
      </w:r>
      <w:r w:rsidR="00E81B07" w:rsidRPr="00F0117E">
        <w:rPr>
          <w:lang w:val="uk-UA"/>
        </w:rPr>
        <w:t xml:space="preserve"> </w:t>
      </w:r>
      <w:r w:rsidR="00E85907" w:rsidRPr="00F0117E">
        <w:rPr>
          <w:lang w:val="uk-UA"/>
        </w:rPr>
        <w:t>розкривалася його співробітникам</w:t>
      </w:r>
      <w:r w:rsidR="00E81B07" w:rsidRPr="00F0117E">
        <w:rPr>
          <w:lang w:val="uk-UA"/>
        </w:rPr>
        <w:t xml:space="preserve">; </w:t>
      </w:r>
      <w:r w:rsidR="00E85907" w:rsidRPr="00F0117E">
        <w:rPr>
          <w:lang w:val="uk-UA"/>
        </w:rPr>
        <w:t>сам заявник надав повну розшифровку повідомлень</w:t>
      </w:r>
      <w:r w:rsidR="00E81B07" w:rsidRPr="00F0117E">
        <w:rPr>
          <w:lang w:val="uk-UA"/>
        </w:rPr>
        <w:t xml:space="preserve"> </w:t>
      </w:r>
      <w:r w:rsidR="00E85907" w:rsidRPr="00F0117E">
        <w:rPr>
          <w:lang w:val="uk-UA"/>
        </w:rPr>
        <w:t>у провадженнях у національних судах та не просив створити будь-які обмеження доступу до відповідних документів</w:t>
      </w:r>
      <w:r w:rsidR="00E81B07" w:rsidRPr="00F0117E">
        <w:rPr>
          <w:lang w:val="uk-UA"/>
        </w:rPr>
        <w:t xml:space="preserve">. </w:t>
      </w:r>
      <w:r w:rsidR="00E85907" w:rsidRPr="00F0117E">
        <w:rPr>
          <w:lang w:val="uk-UA"/>
        </w:rPr>
        <w:t>По-друге, національні органи влади</w:t>
      </w:r>
      <w:r w:rsidR="00E81B07" w:rsidRPr="00F0117E">
        <w:rPr>
          <w:lang w:val="uk-UA"/>
        </w:rPr>
        <w:t xml:space="preserve"> </w:t>
      </w:r>
      <w:r w:rsidR="00E85907" w:rsidRPr="00F0117E">
        <w:rPr>
          <w:lang w:val="uk-UA"/>
        </w:rPr>
        <w:t>використали розшифровку повідомлень в якості доказів,</w:t>
      </w:r>
      <w:r w:rsidR="00E81B07" w:rsidRPr="00F0117E">
        <w:rPr>
          <w:lang w:val="uk-UA"/>
        </w:rPr>
        <w:t xml:space="preserve"> </w:t>
      </w:r>
      <w:r w:rsidR="00E85907" w:rsidRPr="00F0117E">
        <w:rPr>
          <w:lang w:val="uk-UA"/>
        </w:rPr>
        <w:t>оскільки заявник попросив про це</w:t>
      </w:r>
      <w:r w:rsidR="00E81B07" w:rsidRPr="00F0117E">
        <w:rPr>
          <w:lang w:val="uk-UA"/>
        </w:rPr>
        <w:t xml:space="preserve">, </w:t>
      </w:r>
      <w:r w:rsidR="00E85907" w:rsidRPr="00F0117E">
        <w:rPr>
          <w:lang w:val="uk-UA"/>
        </w:rPr>
        <w:t>і оскільки органи прокуратури</w:t>
      </w:r>
      <w:r w:rsidR="00E81B07" w:rsidRPr="00F0117E">
        <w:rPr>
          <w:lang w:val="uk-UA"/>
        </w:rPr>
        <w:t xml:space="preserve"> </w:t>
      </w:r>
      <w:r w:rsidR="00E85907" w:rsidRPr="00F0117E">
        <w:rPr>
          <w:lang w:val="uk-UA"/>
        </w:rPr>
        <w:t>вже виявили, що моніторинг його спілкування</w:t>
      </w:r>
      <w:r w:rsidR="00E81B07" w:rsidRPr="00F0117E">
        <w:rPr>
          <w:lang w:val="uk-UA"/>
        </w:rPr>
        <w:t xml:space="preserve"> </w:t>
      </w:r>
      <w:r w:rsidR="00E85907" w:rsidRPr="00F0117E">
        <w:rPr>
          <w:lang w:val="uk-UA"/>
        </w:rPr>
        <w:t>був законним</w:t>
      </w:r>
      <w:r w:rsidR="00E81B07" w:rsidRPr="00F0117E">
        <w:rPr>
          <w:lang w:val="uk-UA"/>
        </w:rPr>
        <w:t xml:space="preserve">. </w:t>
      </w:r>
      <w:r w:rsidR="00E85907" w:rsidRPr="00F0117E">
        <w:rPr>
          <w:lang w:val="uk-UA"/>
        </w:rPr>
        <w:t>По-третє, інформаційне повідомлення містило</w:t>
      </w:r>
      <w:r w:rsidR="00E81B07" w:rsidRPr="00F0117E">
        <w:rPr>
          <w:lang w:val="uk-UA"/>
        </w:rPr>
        <w:t xml:space="preserve"> </w:t>
      </w:r>
      <w:r w:rsidR="00E85907" w:rsidRPr="00F0117E">
        <w:rPr>
          <w:lang w:val="uk-UA"/>
        </w:rPr>
        <w:t>достатньо ознак</w:t>
      </w:r>
      <w:r w:rsidR="00E81B07" w:rsidRPr="00F0117E">
        <w:rPr>
          <w:lang w:val="uk-UA"/>
        </w:rPr>
        <w:t xml:space="preserve"> </w:t>
      </w:r>
      <w:r w:rsidR="00E85907" w:rsidRPr="00F0117E">
        <w:rPr>
          <w:lang w:val="uk-UA"/>
        </w:rPr>
        <w:t>для того, щоб заявник знав, що його роботодавець</w:t>
      </w:r>
      <w:r w:rsidR="00E81B07" w:rsidRPr="00F0117E">
        <w:rPr>
          <w:lang w:val="uk-UA"/>
        </w:rPr>
        <w:t xml:space="preserve"> </w:t>
      </w:r>
      <w:r w:rsidR="00E85907" w:rsidRPr="00F0117E">
        <w:rPr>
          <w:lang w:val="uk-UA"/>
        </w:rPr>
        <w:t xml:space="preserve">міг </w:t>
      </w:r>
      <w:proofErr w:type="spellStart"/>
      <w:r w:rsidR="00E85907" w:rsidRPr="00F0117E">
        <w:rPr>
          <w:lang w:val="uk-UA"/>
        </w:rPr>
        <w:t>моніторити</w:t>
      </w:r>
      <w:proofErr w:type="spellEnd"/>
      <w:r w:rsidR="00E85907" w:rsidRPr="00F0117E">
        <w:rPr>
          <w:lang w:val="uk-UA"/>
        </w:rPr>
        <w:t xml:space="preserve"> його повідомлення</w:t>
      </w:r>
      <w:r w:rsidR="00E81B07" w:rsidRPr="00F0117E">
        <w:rPr>
          <w:lang w:val="uk-UA"/>
        </w:rPr>
        <w:t xml:space="preserve">, </w:t>
      </w:r>
      <w:r w:rsidR="00E85907" w:rsidRPr="00F0117E">
        <w:rPr>
          <w:lang w:val="uk-UA"/>
        </w:rPr>
        <w:t>і тому позбавляло їх приватного елементу</w:t>
      </w:r>
      <w:r w:rsidR="00E81B07" w:rsidRPr="00F0117E">
        <w:rPr>
          <w:lang w:val="uk-UA"/>
        </w:rPr>
        <w:t>.</w:t>
      </w:r>
    </w:p>
    <w:p w:rsidR="00E81B07" w:rsidRPr="00F0117E" w:rsidRDefault="00E81B07" w:rsidP="008B2B31">
      <w:pPr>
        <w:pStyle w:val="ECHRHeading4"/>
        <w:rPr>
          <w:lang w:val="uk-UA"/>
        </w:rPr>
      </w:pPr>
      <w:r w:rsidRPr="00F0117E">
        <w:rPr>
          <w:lang w:val="uk-UA"/>
        </w:rPr>
        <w:lastRenderedPageBreak/>
        <w:t>(b)</w:t>
      </w:r>
      <w:r w:rsidR="00FA6D4F" w:rsidRPr="00F0117E">
        <w:rPr>
          <w:lang w:val="uk-UA"/>
        </w:rPr>
        <w:t xml:space="preserve"> </w:t>
      </w:r>
      <w:r w:rsidR="00233825" w:rsidRPr="00F0117E">
        <w:rPr>
          <w:lang w:val="uk-UA"/>
        </w:rPr>
        <w:t>Заявник</w:t>
      </w:r>
    </w:p>
    <w:p w:rsidR="00E36F4C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67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233825" w:rsidRPr="00F0117E">
        <w:rPr>
          <w:lang w:val="uk-UA"/>
        </w:rPr>
        <w:t>Заявник не зробив жодних доводів</w:t>
      </w:r>
      <w:r w:rsidR="00E81B07" w:rsidRPr="00F0117E">
        <w:rPr>
          <w:lang w:val="uk-UA"/>
        </w:rPr>
        <w:t xml:space="preserve"> </w:t>
      </w:r>
      <w:r w:rsidR="00233825" w:rsidRPr="00F0117E">
        <w:rPr>
          <w:lang w:val="uk-UA"/>
        </w:rPr>
        <w:t>щодо застосовності статті 8 Конвенції</w:t>
      </w:r>
      <w:r w:rsidR="00E81B07" w:rsidRPr="00F0117E">
        <w:rPr>
          <w:lang w:val="uk-UA"/>
        </w:rPr>
        <w:t xml:space="preserve">, </w:t>
      </w:r>
      <w:r w:rsidR="00233825" w:rsidRPr="00F0117E">
        <w:rPr>
          <w:lang w:val="uk-UA"/>
        </w:rPr>
        <w:t>але неодноразово наполягав на тому, що його спілкування</w:t>
      </w:r>
      <w:r w:rsidR="00E81B07" w:rsidRPr="00F0117E">
        <w:rPr>
          <w:lang w:val="uk-UA"/>
        </w:rPr>
        <w:t xml:space="preserve"> </w:t>
      </w:r>
      <w:r w:rsidR="00233825" w:rsidRPr="00F0117E">
        <w:rPr>
          <w:lang w:val="uk-UA"/>
        </w:rPr>
        <w:t>носило приватний характер</w:t>
      </w:r>
      <w:r w:rsidR="00E81B07" w:rsidRPr="00F0117E">
        <w:rPr>
          <w:lang w:val="uk-UA"/>
        </w:rPr>
        <w:t>.</w:t>
      </w:r>
    </w:p>
    <w:bookmarkStart w:id="30" w:name="obs_R_applicab8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68</w:t>
      </w:r>
      <w:r w:rsidRPr="00F0117E">
        <w:rPr>
          <w:lang w:val="uk-UA"/>
        </w:rPr>
        <w:fldChar w:fldCharType="end"/>
      </w:r>
      <w:bookmarkEnd w:id="30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233825" w:rsidRPr="00F0117E">
        <w:rPr>
          <w:lang w:val="uk-UA"/>
        </w:rPr>
        <w:t xml:space="preserve">Він також стверджував, що оскільки він створив відповідний </w:t>
      </w:r>
      <w:proofErr w:type="spellStart"/>
      <w:r w:rsidR="00233825" w:rsidRPr="00F0117E">
        <w:rPr>
          <w:lang w:val="uk-UA"/>
        </w:rPr>
        <w:t>акаунт</w:t>
      </w:r>
      <w:proofErr w:type="spellEnd"/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 </w:t>
      </w:r>
      <w:r w:rsidR="00233825" w:rsidRPr="00F0117E">
        <w:rPr>
          <w:lang w:val="uk-UA"/>
        </w:rPr>
        <w:t>і був єдиною особою, яка знала пароль</w:t>
      </w:r>
      <w:r w:rsidR="00E81B07" w:rsidRPr="00F0117E">
        <w:rPr>
          <w:lang w:val="uk-UA"/>
        </w:rPr>
        <w:t xml:space="preserve">, </w:t>
      </w:r>
      <w:r w:rsidR="00233825" w:rsidRPr="00F0117E">
        <w:rPr>
          <w:lang w:val="uk-UA"/>
        </w:rPr>
        <w:t>він мав обґрунтовані очікування приватності</w:t>
      </w:r>
      <w:r w:rsidR="00E81B07" w:rsidRPr="00F0117E">
        <w:rPr>
          <w:lang w:val="uk-UA"/>
        </w:rPr>
        <w:t xml:space="preserve"> </w:t>
      </w:r>
      <w:r w:rsidR="00233825" w:rsidRPr="00F0117E">
        <w:rPr>
          <w:lang w:val="uk-UA"/>
        </w:rPr>
        <w:t>щодо своїх розмов</w:t>
      </w:r>
      <w:r w:rsidR="00E81B07" w:rsidRPr="00F0117E">
        <w:rPr>
          <w:lang w:val="uk-UA"/>
        </w:rPr>
        <w:t xml:space="preserve">. </w:t>
      </w:r>
      <w:r w:rsidR="00233825" w:rsidRPr="00F0117E">
        <w:rPr>
          <w:lang w:val="uk-UA"/>
        </w:rPr>
        <w:t>Заявник також стверджував, що не отримав попереднє повідомлення</w:t>
      </w:r>
      <w:r w:rsidR="00E81B07" w:rsidRPr="00F0117E">
        <w:rPr>
          <w:lang w:val="uk-UA"/>
        </w:rPr>
        <w:t xml:space="preserve"> </w:t>
      </w:r>
      <w:r w:rsidR="00233825" w:rsidRPr="00F0117E">
        <w:rPr>
          <w:lang w:val="uk-UA"/>
        </w:rPr>
        <w:t>від роботодавця про моніторинг розмов</w:t>
      </w:r>
      <w:r w:rsidR="00E81B07" w:rsidRPr="00F0117E">
        <w:rPr>
          <w:lang w:val="uk-UA"/>
        </w:rPr>
        <w:t>.</w:t>
      </w:r>
    </w:p>
    <w:p w:rsidR="00E81B07" w:rsidRPr="00F0117E" w:rsidRDefault="00E81B07" w:rsidP="008B2B31">
      <w:pPr>
        <w:pStyle w:val="ECHRHeading3"/>
        <w:rPr>
          <w:lang w:val="uk-UA"/>
        </w:rPr>
      </w:pPr>
      <w:r w:rsidRPr="00F0117E">
        <w:rPr>
          <w:lang w:val="uk-UA"/>
        </w:rPr>
        <w:t>2.</w:t>
      </w:r>
      <w:r w:rsidR="00FA6D4F" w:rsidRPr="00F0117E">
        <w:rPr>
          <w:lang w:val="uk-UA"/>
        </w:rPr>
        <w:t xml:space="preserve"> </w:t>
      </w:r>
      <w:r w:rsidR="00233825" w:rsidRPr="00F0117E">
        <w:rPr>
          <w:lang w:val="uk-UA"/>
        </w:rPr>
        <w:t>Оцінка Суду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69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233825" w:rsidRPr="00F0117E">
        <w:rPr>
          <w:lang w:val="uk-UA"/>
        </w:rPr>
        <w:t>Суд зазначає, що питання, яке виникає в даній справі, полягає в тому,</w:t>
      </w:r>
      <w:r w:rsidR="00E81B07" w:rsidRPr="00F0117E">
        <w:rPr>
          <w:lang w:val="uk-UA"/>
        </w:rPr>
        <w:t xml:space="preserve"> </w:t>
      </w:r>
      <w:r w:rsidR="00233825" w:rsidRPr="00F0117E">
        <w:rPr>
          <w:lang w:val="uk-UA"/>
        </w:rPr>
        <w:t>чи підпадають оскаржувані заявником питання</w:t>
      </w:r>
      <w:r w:rsidR="00E81B07" w:rsidRPr="00F0117E">
        <w:rPr>
          <w:lang w:val="uk-UA"/>
        </w:rPr>
        <w:t xml:space="preserve"> </w:t>
      </w:r>
      <w:r w:rsidR="00233825" w:rsidRPr="00F0117E">
        <w:rPr>
          <w:lang w:val="uk-UA"/>
        </w:rPr>
        <w:t>під сферу дії статті 8 Конвенції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70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233825" w:rsidRPr="00F0117E">
        <w:rPr>
          <w:lang w:val="uk-UA"/>
        </w:rPr>
        <w:t>На цій стадії свого розгляду Суд вважає</w:t>
      </w:r>
      <w:r w:rsidR="00E81B07" w:rsidRPr="00F0117E">
        <w:rPr>
          <w:lang w:val="uk-UA"/>
        </w:rPr>
        <w:t xml:space="preserve"> </w:t>
      </w:r>
      <w:r w:rsidR="00233825" w:rsidRPr="00F0117E">
        <w:rPr>
          <w:lang w:val="uk-UA"/>
        </w:rPr>
        <w:t>корисним підкреслити, що «приватне життя»</w:t>
      </w:r>
      <w:r w:rsidR="00E81B07" w:rsidRPr="00F0117E">
        <w:rPr>
          <w:lang w:val="uk-UA"/>
        </w:rPr>
        <w:t xml:space="preserve"> </w:t>
      </w:r>
      <w:r w:rsidR="00233825" w:rsidRPr="00F0117E">
        <w:rPr>
          <w:lang w:val="uk-UA"/>
        </w:rPr>
        <w:t>є широким терміном, який не підлягає вичерпному визначенню</w:t>
      </w:r>
      <w:r w:rsidR="00E81B07" w:rsidRPr="00F0117E">
        <w:rPr>
          <w:lang w:val="uk-UA"/>
        </w:rPr>
        <w:t xml:space="preserve"> (</w:t>
      </w:r>
      <w:r w:rsidR="000C736B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Sidabras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and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Džiautas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Lithuania</w:t>
      </w:r>
      <w:proofErr w:type="spellEnd"/>
      <w:r w:rsidR="00E81B07" w:rsidRPr="00F0117E">
        <w:rPr>
          <w:lang w:val="uk-UA"/>
        </w:rPr>
        <w:t xml:space="preserve">, </w:t>
      </w:r>
      <w:r w:rsidR="000C736B" w:rsidRPr="00F0117E">
        <w:rPr>
          <w:lang w:val="uk-UA"/>
        </w:rPr>
        <w:t>№№</w:t>
      </w:r>
      <w:r w:rsidR="00E81B07" w:rsidRPr="00F0117E">
        <w:rPr>
          <w:lang w:val="uk-UA"/>
        </w:rPr>
        <w:t xml:space="preserve"> 55480/00 </w:t>
      </w:r>
      <w:r w:rsidR="000C736B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59330/00, § 43, ECHR 2004</w:t>
      </w:r>
      <w:r w:rsidR="00E81B07" w:rsidRPr="00F0117E">
        <w:rPr>
          <w:lang w:val="uk-UA"/>
        </w:rPr>
        <w:noBreakHyphen/>
        <w:t xml:space="preserve">VIII). </w:t>
      </w:r>
      <w:r w:rsidR="000C736B" w:rsidRPr="00F0117E">
        <w:rPr>
          <w:lang w:val="uk-UA"/>
        </w:rPr>
        <w:t>Стаття 8 Конвенції захищає право</w:t>
      </w:r>
      <w:r w:rsidR="00E81B07" w:rsidRPr="00F0117E">
        <w:rPr>
          <w:lang w:val="uk-UA"/>
        </w:rPr>
        <w:t xml:space="preserve"> </w:t>
      </w:r>
      <w:r w:rsidR="000C736B" w:rsidRPr="00F0117E">
        <w:rPr>
          <w:lang w:val="uk-UA"/>
        </w:rPr>
        <w:t xml:space="preserve">на </w:t>
      </w:r>
      <w:r w:rsidR="00151636" w:rsidRPr="00F0117E">
        <w:rPr>
          <w:lang w:val="uk-UA"/>
        </w:rPr>
        <w:t>особистий</w:t>
      </w:r>
      <w:r w:rsidR="000C736B" w:rsidRPr="00F0117E">
        <w:rPr>
          <w:lang w:val="uk-UA"/>
        </w:rPr>
        <w:t xml:space="preserve"> розвиток</w:t>
      </w:r>
      <w:r w:rsidR="00E81B07" w:rsidRPr="00F0117E">
        <w:rPr>
          <w:lang w:val="uk-UA"/>
        </w:rPr>
        <w:t xml:space="preserve"> (</w:t>
      </w:r>
      <w:r w:rsidR="000C736B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r w:rsidR="00E81B07" w:rsidRPr="00F0117E">
        <w:rPr>
          <w:i/>
          <w:lang w:val="uk-UA"/>
        </w:rPr>
        <w:t xml:space="preserve">K.A. </w:t>
      </w:r>
      <w:proofErr w:type="spellStart"/>
      <w:r w:rsidR="00E81B07" w:rsidRPr="00F0117E">
        <w:rPr>
          <w:i/>
          <w:lang w:val="uk-UA"/>
        </w:rPr>
        <w:t>and</w:t>
      </w:r>
      <w:proofErr w:type="spellEnd"/>
      <w:r w:rsidR="00E81B07" w:rsidRPr="00F0117E">
        <w:rPr>
          <w:i/>
          <w:lang w:val="uk-UA"/>
        </w:rPr>
        <w:t xml:space="preserve"> A.D. v. </w:t>
      </w:r>
      <w:proofErr w:type="spellStart"/>
      <w:r w:rsidR="00E81B07" w:rsidRPr="00F0117E">
        <w:rPr>
          <w:i/>
          <w:lang w:val="uk-UA"/>
        </w:rPr>
        <w:t>Belgium</w:t>
      </w:r>
      <w:proofErr w:type="spellEnd"/>
      <w:r w:rsidR="00E81B07" w:rsidRPr="00F0117E">
        <w:rPr>
          <w:lang w:val="uk-UA"/>
        </w:rPr>
        <w:t xml:space="preserve">, </w:t>
      </w:r>
      <w:r w:rsidR="000C736B" w:rsidRPr="00F0117E">
        <w:rPr>
          <w:lang w:val="uk-UA"/>
        </w:rPr>
        <w:t>№№</w:t>
      </w:r>
      <w:r w:rsidR="00E81B07" w:rsidRPr="00F0117E">
        <w:rPr>
          <w:lang w:val="uk-UA"/>
        </w:rPr>
        <w:t xml:space="preserve"> 42758/98 </w:t>
      </w:r>
      <w:r w:rsidR="000C736B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45558/99, § 83, 17 </w:t>
      </w:r>
      <w:r w:rsidR="000C736B" w:rsidRPr="00F0117E">
        <w:rPr>
          <w:lang w:val="uk-UA"/>
        </w:rPr>
        <w:t>лютого</w:t>
      </w:r>
      <w:r w:rsidR="00E81B07" w:rsidRPr="00F0117E">
        <w:rPr>
          <w:lang w:val="uk-UA"/>
        </w:rPr>
        <w:t xml:space="preserve"> 2005), </w:t>
      </w:r>
      <w:r w:rsidR="000C736B" w:rsidRPr="00F0117E">
        <w:rPr>
          <w:lang w:val="uk-UA"/>
        </w:rPr>
        <w:t>будь то у термінах особистості</w:t>
      </w:r>
      <w:r w:rsidR="00E81B07" w:rsidRPr="00F0117E">
        <w:rPr>
          <w:lang w:val="uk-UA"/>
        </w:rPr>
        <w:t xml:space="preserve"> (</w:t>
      </w:r>
      <w:r w:rsidR="000C736B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Christine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Goodwin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the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United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Kingdom</w:t>
      </w:r>
      <w:proofErr w:type="spellEnd"/>
      <w:r w:rsidR="00E81B07" w:rsidRPr="00F0117E">
        <w:rPr>
          <w:lang w:val="uk-UA"/>
        </w:rPr>
        <w:t xml:space="preserve"> [GC], </w:t>
      </w:r>
      <w:r w:rsidR="000C736B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 28957/95, § 90, ECHR 2002-VI) </w:t>
      </w:r>
      <w:r w:rsidR="000C736B" w:rsidRPr="00F0117E">
        <w:rPr>
          <w:lang w:val="uk-UA"/>
        </w:rPr>
        <w:t xml:space="preserve">або </w:t>
      </w:r>
      <w:r w:rsidR="00151636" w:rsidRPr="00F0117E">
        <w:rPr>
          <w:lang w:val="uk-UA"/>
        </w:rPr>
        <w:t>особистої</w:t>
      </w:r>
      <w:r w:rsidR="000C736B" w:rsidRPr="00F0117E">
        <w:rPr>
          <w:lang w:val="uk-UA"/>
        </w:rPr>
        <w:t xml:space="preserve"> автономії</w:t>
      </w:r>
      <w:r w:rsidR="00E81B07" w:rsidRPr="00F0117E">
        <w:rPr>
          <w:lang w:val="uk-UA"/>
        </w:rPr>
        <w:t xml:space="preserve">, </w:t>
      </w:r>
      <w:r w:rsidR="0043046B" w:rsidRPr="00F0117E">
        <w:rPr>
          <w:lang w:val="uk-UA"/>
        </w:rPr>
        <w:t>що є важливим принципом, який лежить в основі</w:t>
      </w:r>
      <w:r w:rsidR="00E81B07" w:rsidRPr="00F0117E">
        <w:rPr>
          <w:lang w:val="uk-UA"/>
        </w:rPr>
        <w:t xml:space="preserve"> </w:t>
      </w:r>
      <w:r w:rsidR="0043046B" w:rsidRPr="00F0117E">
        <w:rPr>
          <w:lang w:val="uk-UA"/>
        </w:rPr>
        <w:t xml:space="preserve">тлумачення гарантій статті 8 </w:t>
      </w:r>
      <w:r w:rsidR="00E81B07" w:rsidRPr="00F0117E">
        <w:rPr>
          <w:lang w:val="uk-UA"/>
        </w:rPr>
        <w:t>(</w:t>
      </w:r>
      <w:r w:rsidR="0043046B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Pretty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the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United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Kingdom</w:t>
      </w:r>
      <w:proofErr w:type="spellEnd"/>
      <w:r w:rsidR="00E81B07" w:rsidRPr="00F0117E">
        <w:rPr>
          <w:lang w:val="uk-UA"/>
        </w:rPr>
        <w:t xml:space="preserve">, </w:t>
      </w:r>
      <w:r w:rsidR="0043046B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 2346/02, § 61, ECHR 2002-III). </w:t>
      </w:r>
      <w:r w:rsidR="0043046B" w:rsidRPr="00F0117E">
        <w:rPr>
          <w:lang w:val="uk-UA"/>
        </w:rPr>
        <w:t>Суд визнає, що кожна особа має право на приватне життя</w:t>
      </w:r>
      <w:r w:rsidR="00E81B07" w:rsidRPr="00F0117E">
        <w:rPr>
          <w:lang w:val="uk-UA"/>
        </w:rPr>
        <w:t xml:space="preserve">, </w:t>
      </w:r>
      <w:r w:rsidR="0043046B" w:rsidRPr="00F0117E">
        <w:rPr>
          <w:lang w:val="uk-UA"/>
        </w:rPr>
        <w:t>без непотрібної уваги до себе</w:t>
      </w:r>
      <w:r w:rsidR="00E81B07" w:rsidRPr="00F0117E">
        <w:rPr>
          <w:lang w:val="uk-UA"/>
        </w:rPr>
        <w:t xml:space="preserve"> (</w:t>
      </w:r>
      <w:r w:rsidR="0043046B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Smirnova</w:t>
      </w:r>
      <w:proofErr w:type="spellEnd"/>
      <w:r w:rsidR="00E81B07" w:rsidRPr="00F0117E">
        <w:rPr>
          <w:i/>
          <w:lang w:val="uk-UA"/>
        </w:rPr>
        <w:t xml:space="preserve"> v. </w:t>
      </w:r>
      <w:proofErr w:type="spellStart"/>
      <w:r w:rsidR="00E81B07" w:rsidRPr="00F0117E">
        <w:rPr>
          <w:i/>
          <w:lang w:val="uk-UA"/>
        </w:rPr>
        <w:t>Russia</w:t>
      </w:r>
      <w:proofErr w:type="spellEnd"/>
      <w:r w:rsidR="00E81B07" w:rsidRPr="00F0117E">
        <w:rPr>
          <w:lang w:val="uk-UA"/>
        </w:rPr>
        <w:t>,</w:t>
      </w:r>
      <w:r w:rsidR="00E81B07" w:rsidRPr="00F0117E">
        <w:rPr>
          <w:i/>
          <w:lang w:val="uk-UA"/>
        </w:rPr>
        <w:t xml:space="preserve"> </w:t>
      </w:r>
      <w:r w:rsidR="0043046B" w:rsidRPr="00F0117E">
        <w:rPr>
          <w:lang w:val="uk-UA"/>
        </w:rPr>
        <w:t>№№</w:t>
      </w:r>
      <w:r w:rsidR="00E81B07" w:rsidRPr="00F0117E">
        <w:rPr>
          <w:lang w:val="uk-UA"/>
        </w:rPr>
        <w:t xml:space="preserve"> 46133/99 </w:t>
      </w:r>
      <w:r w:rsidR="0043046B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48183/99, § 95, ECHR 2003</w:t>
      </w:r>
      <w:r w:rsidR="00E81B07" w:rsidRPr="00F0117E">
        <w:rPr>
          <w:lang w:val="uk-UA"/>
        </w:rPr>
        <w:noBreakHyphen/>
        <w:t>IX (</w:t>
      </w:r>
      <w:r w:rsidR="0043046B" w:rsidRPr="00F0117E">
        <w:rPr>
          <w:lang w:val="uk-UA"/>
        </w:rPr>
        <w:t>витяги</w:t>
      </w:r>
      <w:r w:rsidR="00E81B07" w:rsidRPr="00F0117E">
        <w:rPr>
          <w:lang w:val="uk-UA"/>
        </w:rPr>
        <w:t xml:space="preserve">)). </w:t>
      </w:r>
      <w:r w:rsidR="0043046B" w:rsidRPr="00F0117E">
        <w:rPr>
          <w:lang w:val="uk-UA"/>
        </w:rPr>
        <w:t>Він також вважає зайвим обмеження поняття</w:t>
      </w:r>
      <w:r w:rsidR="00E81B07" w:rsidRPr="00F0117E">
        <w:rPr>
          <w:lang w:val="uk-UA"/>
        </w:rPr>
        <w:t xml:space="preserve"> </w:t>
      </w:r>
      <w:r w:rsidR="0043046B" w:rsidRPr="00F0117E">
        <w:rPr>
          <w:lang w:val="uk-UA"/>
        </w:rPr>
        <w:t xml:space="preserve">«приватного життя» «внутрішнім колом», в якому особа може вести </w:t>
      </w:r>
      <w:r w:rsidR="00151636" w:rsidRPr="00F0117E">
        <w:rPr>
          <w:lang w:val="uk-UA"/>
        </w:rPr>
        <w:t>особисте</w:t>
      </w:r>
      <w:r w:rsidR="0043046B" w:rsidRPr="00F0117E">
        <w:rPr>
          <w:lang w:val="uk-UA"/>
        </w:rPr>
        <w:t xml:space="preserve"> життя</w:t>
      </w:r>
      <w:r w:rsidR="00E81B07" w:rsidRPr="00F0117E">
        <w:rPr>
          <w:lang w:val="uk-UA"/>
        </w:rPr>
        <w:t xml:space="preserve"> </w:t>
      </w:r>
      <w:r w:rsidR="0043046B" w:rsidRPr="00F0117E">
        <w:rPr>
          <w:lang w:val="uk-UA"/>
        </w:rPr>
        <w:t>за своїм вибором</w:t>
      </w:r>
      <w:r w:rsidR="00E81B07" w:rsidRPr="00F0117E">
        <w:rPr>
          <w:lang w:val="uk-UA"/>
        </w:rPr>
        <w:t xml:space="preserve">, </w:t>
      </w:r>
      <w:r w:rsidR="0043046B" w:rsidRPr="00F0117E">
        <w:rPr>
          <w:lang w:val="uk-UA"/>
        </w:rPr>
        <w:t>таким чином повністю виключаючи навколишній світ</w:t>
      </w:r>
      <w:r w:rsidR="00E81B07" w:rsidRPr="00F0117E">
        <w:rPr>
          <w:lang w:val="uk-UA"/>
        </w:rPr>
        <w:t xml:space="preserve"> </w:t>
      </w:r>
      <w:r w:rsidR="0043046B" w:rsidRPr="00F0117E">
        <w:rPr>
          <w:lang w:val="uk-UA"/>
        </w:rPr>
        <w:t>поза межами цього кола</w:t>
      </w:r>
      <w:r w:rsidR="00E81B07" w:rsidRPr="00F0117E">
        <w:rPr>
          <w:lang w:val="uk-UA"/>
        </w:rPr>
        <w:t xml:space="preserve"> (</w:t>
      </w:r>
      <w:r w:rsidR="0043046B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Niemietz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Germany</w:t>
      </w:r>
      <w:proofErr w:type="spellEnd"/>
      <w:r w:rsidR="00E81B07" w:rsidRPr="00F0117E">
        <w:rPr>
          <w:lang w:val="uk-UA"/>
        </w:rPr>
        <w:t xml:space="preserve">, 16 </w:t>
      </w:r>
      <w:r w:rsidR="0043046B" w:rsidRPr="00F0117E">
        <w:rPr>
          <w:lang w:val="uk-UA"/>
        </w:rPr>
        <w:t>грудня</w:t>
      </w:r>
      <w:r w:rsidR="00E81B07" w:rsidRPr="00F0117E">
        <w:rPr>
          <w:lang w:val="uk-UA"/>
        </w:rPr>
        <w:t xml:space="preserve"> 1992, § 29, </w:t>
      </w:r>
      <w:r w:rsidR="00904BBE" w:rsidRPr="00F0117E">
        <w:rPr>
          <w:lang w:val="uk-UA"/>
        </w:rPr>
        <w:t>серія А №</w:t>
      </w:r>
      <w:r w:rsidR="00E81B07" w:rsidRPr="00F0117E">
        <w:rPr>
          <w:lang w:val="uk-UA"/>
        </w:rPr>
        <w:t xml:space="preserve"> 251</w:t>
      </w:r>
      <w:r w:rsidR="00E81B07" w:rsidRPr="00F0117E">
        <w:rPr>
          <w:lang w:val="uk-UA"/>
        </w:rPr>
        <w:noBreakHyphen/>
        <w:t xml:space="preserve">B). </w:t>
      </w:r>
      <w:r w:rsidR="00904BBE" w:rsidRPr="00F0117E">
        <w:rPr>
          <w:lang w:val="uk-UA"/>
        </w:rPr>
        <w:t>Таким чином, стаття</w:t>
      </w:r>
      <w:r w:rsidR="00E81B07" w:rsidRPr="00F0117E">
        <w:rPr>
          <w:lang w:val="uk-UA"/>
        </w:rPr>
        <w:t xml:space="preserve"> 8 </w:t>
      </w:r>
      <w:r w:rsidR="00904BBE" w:rsidRPr="00F0117E">
        <w:rPr>
          <w:lang w:val="uk-UA"/>
        </w:rPr>
        <w:t>гарантує право на «приватне життя»</w:t>
      </w:r>
      <w:r w:rsidR="00E81B07" w:rsidRPr="00F0117E">
        <w:rPr>
          <w:lang w:val="uk-UA"/>
        </w:rPr>
        <w:t xml:space="preserve"> </w:t>
      </w:r>
      <w:r w:rsidR="00904BBE" w:rsidRPr="00F0117E">
        <w:rPr>
          <w:lang w:val="uk-UA"/>
        </w:rPr>
        <w:t>у широкому сенсі</w:t>
      </w:r>
      <w:r w:rsidR="00E81B07" w:rsidRPr="00F0117E">
        <w:rPr>
          <w:lang w:val="uk-UA"/>
        </w:rPr>
        <w:t xml:space="preserve">, </w:t>
      </w:r>
      <w:r w:rsidR="00904BBE" w:rsidRPr="00F0117E">
        <w:rPr>
          <w:lang w:val="uk-UA"/>
        </w:rPr>
        <w:t>до якого входить право вести «приватне соціальне життя»</w:t>
      </w:r>
      <w:r w:rsidR="00E81B07" w:rsidRPr="00F0117E">
        <w:rPr>
          <w:lang w:val="uk-UA"/>
        </w:rPr>
        <w:t xml:space="preserve">, </w:t>
      </w:r>
      <w:r w:rsidR="00904BBE" w:rsidRPr="00F0117E">
        <w:rPr>
          <w:lang w:val="uk-UA"/>
        </w:rPr>
        <w:t>тобто, можливість фізичної особи</w:t>
      </w:r>
      <w:r w:rsidR="00E81B07" w:rsidRPr="00F0117E">
        <w:rPr>
          <w:lang w:val="uk-UA"/>
        </w:rPr>
        <w:t xml:space="preserve"> </w:t>
      </w:r>
      <w:r w:rsidR="00904BBE" w:rsidRPr="00F0117E">
        <w:rPr>
          <w:lang w:val="uk-UA"/>
        </w:rPr>
        <w:t>розвивати свою соціальну ідентичність</w:t>
      </w:r>
      <w:r w:rsidR="00E81B07" w:rsidRPr="00F0117E">
        <w:rPr>
          <w:lang w:val="uk-UA"/>
        </w:rPr>
        <w:t xml:space="preserve">. </w:t>
      </w:r>
      <w:r w:rsidR="00DE416A">
        <w:rPr>
          <w:lang w:val="uk-UA"/>
        </w:rPr>
        <w:t xml:space="preserve">Стосовно цього </w:t>
      </w:r>
      <w:r w:rsidR="00916F93" w:rsidRPr="00F0117E">
        <w:rPr>
          <w:lang w:val="uk-UA"/>
        </w:rPr>
        <w:t>відповідне право</w:t>
      </w:r>
      <w:r w:rsidR="00E81B07" w:rsidRPr="00F0117E">
        <w:rPr>
          <w:lang w:val="uk-UA"/>
        </w:rPr>
        <w:t xml:space="preserve"> </w:t>
      </w:r>
      <w:r w:rsidR="00916F93" w:rsidRPr="00F0117E">
        <w:rPr>
          <w:lang w:val="uk-UA"/>
        </w:rPr>
        <w:t>закріплює можливість підходу до інших осіб</w:t>
      </w:r>
      <w:r w:rsidR="00E81B07" w:rsidRPr="00F0117E">
        <w:rPr>
          <w:lang w:val="uk-UA"/>
        </w:rPr>
        <w:t xml:space="preserve"> </w:t>
      </w:r>
      <w:r w:rsidR="00916F93" w:rsidRPr="00F0117E">
        <w:rPr>
          <w:lang w:val="uk-UA"/>
        </w:rPr>
        <w:t xml:space="preserve">з метою встановлення та розвитку </w:t>
      </w:r>
      <w:r w:rsidR="00872A4A">
        <w:rPr>
          <w:lang w:val="uk-UA"/>
        </w:rPr>
        <w:t>стосунків</w:t>
      </w:r>
      <w:r w:rsidR="00E81B07" w:rsidRPr="00F0117E">
        <w:rPr>
          <w:lang w:val="uk-UA"/>
        </w:rPr>
        <w:t xml:space="preserve"> </w:t>
      </w:r>
      <w:r w:rsidR="00916F93" w:rsidRPr="00F0117E">
        <w:rPr>
          <w:lang w:val="uk-UA"/>
        </w:rPr>
        <w:t>між ними</w:t>
      </w:r>
      <w:r w:rsidR="00E81B07" w:rsidRPr="00F0117E">
        <w:rPr>
          <w:lang w:val="uk-UA"/>
        </w:rPr>
        <w:t xml:space="preserve"> (</w:t>
      </w:r>
      <w:r w:rsidR="00916F93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Bigaeva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Greece</w:t>
      </w:r>
      <w:proofErr w:type="spellEnd"/>
      <w:r w:rsidR="00E81B07" w:rsidRPr="00F0117E">
        <w:rPr>
          <w:lang w:val="uk-UA"/>
        </w:rPr>
        <w:t xml:space="preserve">, </w:t>
      </w:r>
      <w:r w:rsidR="00916F93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 26713/05, § 22, 28 </w:t>
      </w:r>
      <w:r w:rsidR="00916F93" w:rsidRPr="00F0117E">
        <w:rPr>
          <w:lang w:val="uk-UA"/>
        </w:rPr>
        <w:t>травня</w:t>
      </w:r>
      <w:r w:rsidR="00E81B07" w:rsidRPr="00F0117E">
        <w:rPr>
          <w:lang w:val="uk-UA"/>
        </w:rPr>
        <w:t xml:space="preserve"> 2009, </w:t>
      </w:r>
      <w:r w:rsidR="00916F93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Özpınar</w:t>
      </w:r>
      <w:proofErr w:type="spellEnd"/>
      <w:r w:rsidR="00E81B07" w:rsidRPr="00F0117E">
        <w:rPr>
          <w:i/>
          <w:lang w:val="uk-UA"/>
        </w:rPr>
        <w:t xml:space="preserve"> v. </w:t>
      </w:r>
      <w:proofErr w:type="spellStart"/>
      <w:r w:rsidR="00E81B07" w:rsidRPr="00F0117E">
        <w:rPr>
          <w:i/>
          <w:lang w:val="uk-UA"/>
        </w:rPr>
        <w:t>Turkey</w:t>
      </w:r>
      <w:proofErr w:type="spellEnd"/>
      <w:r w:rsidR="00E81B07" w:rsidRPr="00F0117E">
        <w:rPr>
          <w:lang w:val="uk-UA"/>
        </w:rPr>
        <w:t xml:space="preserve">, </w:t>
      </w:r>
      <w:r w:rsidR="00916F93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 20999/04, § 45 </w:t>
      </w:r>
      <w:proofErr w:type="spellStart"/>
      <w:r w:rsidR="00E81B07" w:rsidRPr="00F0117E">
        <w:rPr>
          <w:i/>
          <w:lang w:val="uk-UA"/>
        </w:rPr>
        <w:t>in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fine</w:t>
      </w:r>
      <w:proofErr w:type="spellEnd"/>
      <w:r w:rsidR="00E81B07" w:rsidRPr="00F0117E">
        <w:rPr>
          <w:lang w:val="uk-UA"/>
        </w:rPr>
        <w:t xml:space="preserve">, 19 </w:t>
      </w:r>
      <w:r w:rsidR="00916F93" w:rsidRPr="00F0117E">
        <w:rPr>
          <w:lang w:val="uk-UA"/>
        </w:rPr>
        <w:t>жовтня</w:t>
      </w:r>
      <w:r w:rsidR="00E81B07" w:rsidRPr="00F0117E">
        <w:rPr>
          <w:lang w:val="uk-UA"/>
        </w:rPr>
        <w:t xml:space="preserve"> 2010).</w:t>
      </w:r>
    </w:p>
    <w:p w:rsidR="00E81B07" w:rsidRPr="00F0117E" w:rsidRDefault="0002542A" w:rsidP="008B2B31">
      <w:pPr>
        <w:pStyle w:val="ECHRPara"/>
        <w:rPr>
          <w:i/>
          <w:iCs/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71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916F93" w:rsidRPr="00F0117E">
        <w:rPr>
          <w:lang w:val="uk-UA"/>
        </w:rPr>
        <w:t>Суд робить висновок про те, що до поняття «приватне життя»</w:t>
      </w:r>
      <w:r w:rsidR="00E81B07" w:rsidRPr="00F0117E">
        <w:rPr>
          <w:lang w:val="uk-UA"/>
        </w:rPr>
        <w:t xml:space="preserve"> </w:t>
      </w:r>
      <w:r w:rsidR="00916F93" w:rsidRPr="00F0117E">
        <w:rPr>
          <w:lang w:val="uk-UA"/>
        </w:rPr>
        <w:t>може входити професійна діяльність</w:t>
      </w:r>
      <w:r w:rsidR="00E81B07" w:rsidRPr="00F0117E">
        <w:rPr>
          <w:lang w:val="uk-UA"/>
        </w:rPr>
        <w:t xml:space="preserve"> (</w:t>
      </w:r>
      <w:r w:rsidR="00916F93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Fernández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Martínez</w:t>
      </w:r>
      <w:proofErr w:type="spellEnd"/>
      <w:r w:rsidR="00E81B07" w:rsidRPr="00F0117E">
        <w:rPr>
          <w:lang w:val="uk-UA"/>
        </w:rPr>
        <w:t xml:space="preserve"> </w:t>
      </w:r>
      <w:r w:rsidR="00E81B07" w:rsidRPr="00F0117E">
        <w:rPr>
          <w:i/>
          <w:lang w:val="uk-UA"/>
        </w:rPr>
        <w:t xml:space="preserve">v. </w:t>
      </w:r>
      <w:proofErr w:type="spellStart"/>
      <w:r w:rsidR="00E81B07" w:rsidRPr="00F0117E">
        <w:rPr>
          <w:i/>
          <w:lang w:val="uk-UA"/>
        </w:rPr>
        <w:t>Spain</w:t>
      </w:r>
      <w:proofErr w:type="spellEnd"/>
      <w:r w:rsidR="00E81B07" w:rsidRPr="00F0117E">
        <w:rPr>
          <w:i/>
          <w:lang w:val="uk-UA"/>
        </w:rPr>
        <w:t xml:space="preserve"> </w:t>
      </w:r>
      <w:r w:rsidR="00E81B07" w:rsidRPr="00F0117E">
        <w:rPr>
          <w:lang w:val="uk-UA"/>
        </w:rPr>
        <w:t xml:space="preserve">[GC], </w:t>
      </w:r>
      <w:r w:rsidR="00916F93" w:rsidRPr="00F0117E">
        <w:rPr>
          <w:lang w:val="uk-UA"/>
        </w:rPr>
        <w:t>№</w:t>
      </w:r>
      <w:r w:rsidR="00E81B07" w:rsidRPr="00F0117E">
        <w:rPr>
          <w:lang w:val="uk-UA"/>
        </w:rPr>
        <w:t> 56030/07, § 110, ECHR 2014 (</w:t>
      </w:r>
      <w:r w:rsidR="00916F93" w:rsidRPr="00F0117E">
        <w:rPr>
          <w:lang w:val="uk-UA"/>
        </w:rPr>
        <w:t>витяги</w:t>
      </w:r>
      <w:r w:rsidR="00E81B07" w:rsidRPr="00F0117E">
        <w:rPr>
          <w:lang w:val="uk-UA"/>
        </w:rPr>
        <w:t xml:space="preserve">), </w:t>
      </w:r>
      <w:r w:rsidR="00916F93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Oleksandr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Volkov</w:t>
      </w:r>
      <w:proofErr w:type="spellEnd"/>
      <w:r w:rsidR="00E81B07" w:rsidRPr="00F0117E">
        <w:rPr>
          <w:i/>
          <w:lang w:val="uk-UA"/>
        </w:rPr>
        <w:t xml:space="preserve"> v. </w:t>
      </w:r>
      <w:proofErr w:type="spellStart"/>
      <w:r w:rsidR="00E81B07" w:rsidRPr="00F0117E">
        <w:rPr>
          <w:i/>
          <w:lang w:val="uk-UA"/>
        </w:rPr>
        <w:t>Ukraine</w:t>
      </w:r>
      <w:proofErr w:type="spellEnd"/>
      <w:r w:rsidR="00E81B07" w:rsidRPr="00F0117E">
        <w:rPr>
          <w:lang w:val="uk-UA"/>
        </w:rPr>
        <w:t xml:space="preserve">, </w:t>
      </w:r>
      <w:r w:rsidR="00916F93" w:rsidRPr="00F0117E">
        <w:rPr>
          <w:color w:val="000000"/>
          <w:lang w:val="uk-UA"/>
        </w:rPr>
        <w:t>№</w:t>
      </w:r>
      <w:r w:rsidR="00E81B07" w:rsidRPr="00F0117E">
        <w:rPr>
          <w:color w:val="000000"/>
          <w:lang w:val="uk-UA"/>
        </w:rPr>
        <w:t xml:space="preserve"> 21722/11, §§ 165-66, ECHR 2013), </w:t>
      </w:r>
      <w:r w:rsidR="00916F93" w:rsidRPr="00F0117E">
        <w:rPr>
          <w:lang w:val="uk-UA"/>
        </w:rPr>
        <w:t>або діяльність, яка відбувається у публічному контексті</w:t>
      </w:r>
      <w:r w:rsidR="00E81B07" w:rsidRPr="00F0117E">
        <w:rPr>
          <w:lang w:val="uk-UA"/>
        </w:rPr>
        <w:t xml:space="preserve"> (</w:t>
      </w:r>
      <w:r w:rsidR="00916F93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rStyle w:val="CLLItalic"/>
          <w:lang w:val="uk-UA"/>
        </w:rPr>
        <w:t>Von</w:t>
      </w:r>
      <w:proofErr w:type="spellEnd"/>
      <w:r w:rsidR="00E81B07" w:rsidRPr="00F0117E">
        <w:rPr>
          <w:rStyle w:val="CLLItalic"/>
          <w:lang w:val="uk-UA"/>
        </w:rPr>
        <w:t xml:space="preserve"> </w:t>
      </w:r>
      <w:proofErr w:type="spellStart"/>
      <w:r w:rsidR="00E81B07" w:rsidRPr="00F0117E">
        <w:rPr>
          <w:rStyle w:val="CLLItalic"/>
          <w:lang w:val="uk-UA"/>
        </w:rPr>
        <w:t>Hannover</w:t>
      </w:r>
      <w:proofErr w:type="spellEnd"/>
      <w:r w:rsidR="00E81B07" w:rsidRPr="00F0117E">
        <w:rPr>
          <w:rStyle w:val="CLLItalic"/>
          <w:lang w:val="uk-UA"/>
        </w:rPr>
        <w:t xml:space="preserve"> v. </w:t>
      </w:r>
      <w:proofErr w:type="spellStart"/>
      <w:r w:rsidR="00E81B07" w:rsidRPr="00F0117E">
        <w:rPr>
          <w:rStyle w:val="CLLItalic"/>
          <w:lang w:val="uk-UA"/>
        </w:rPr>
        <w:t>Germany</w:t>
      </w:r>
      <w:proofErr w:type="spellEnd"/>
      <w:r w:rsidR="00E81B07" w:rsidRPr="00F0117E">
        <w:rPr>
          <w:rStyle w:val="CLLItalic"/>
          <w:lang w:val="uk-UA"/>
        </w:rPr>
        <w:t xml:space="preserve"> (</w:t>
      </w:r>
      <w:r w:rsidR="00916F93" w:rsidRPr="00F0117E">
        <w:rPr>
          <w:rStyle w:val="CLLItalic"/>
          <w:lang w:val="uk-UA"/>
        </w:rPr>
        <w:t>№</w:t>
      </w:r>
      <w:r w:rsidR="00E81B07" w:rsidRPr="00F0117E">
        <w:rPr>
          <w:rStyle w:val="CLLItalic"/>
          <w:lang w:val="uk-UA"/>
        </w:rPr>
        <w:t xml:space="preserve"> </w:t>
      </w:r>
      <w:r w:rsidR="00E81B07" w:rsidRPr="00F0117E">
        <w:rPr>
          <w:rStyle w:val="CLLItalic"/>
          <w:lang w:val="uk-UA"/>
        </w:rPr>
        <w:lastRenderedPageBreak/>
        <w:t xml:space="preserve">2) </w:t>
      </w:r>
      <w:r w:rsidR="00E81B07" w:rsidRPr="00F0117E">
        <w:rPr>
          <w:lang w:val="uk-UA"/>
        </w:rPr>
        <w:t xml:space="preserve">[GC], </w:t>
      </w:r>
      <w:r w:rsidR="00A34C9B" w:rsidRPr="00F0117E">
        <w:rPr>
          <w:lang w:val="uk-UA"/>
        </w:rPr>
        <w:t>№№</w:t>
      </w:r>
      <w:r w:rsidR="00E81B07" w:rsidRPr="00F0117E">
        <w:rPr>
          <w:lang w:val="uk-UA"/>
        </w:rPr>
        <w:t xml:space="preserve"> 40660/08 </w:t>
      </w:r>
      <w:r w:rsidR="00A34C9B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60641/08</w:t>
      </w:r>
      <w:r w:rsidR="00E81B07" w:rsidRPr="00F0117E">
        <w:rPr>
          <w:snapToGrid w:val="0"/>
          <w:szCs w:val="24"/>
          <w:lang w:val="uk-UA"/>
        </w:rPr>
        <w:t xml:space="preserve">, § 95, </w:t>
      </w:r>
      <w:r w:rsidR="00E81B07" w:rsidRPr="00F0117E">
        <w:rPr>
          <w:snapToGrid w:val="0"/>
          <w:lang w:val="uk-UA"/>
        </w:rPr>
        <w:t>ECHR 2012</w:t>
      </w:r>
      <w:r w:rsidR="00E81B07" w:rsidRPr="00F0117E">
        <w:rPr>
          <w:lang w:val="uk-UA"/>
        </w:rPr>
        <w:t xml:space="preserve">). </w:t>
      </w:r>
      <w:r w:rsidR="00A34C9B" w:rsidRPr="00F0117E">
        <w:rPr>
          <w:lang w:val="uk-UA"/>
        </w:rPr>
        <w:t>Обмеження професійного життя фізичної особи</w:t>
      </w:r>
      <w:r w:rsidR="00E81B07" w:rsidRPr="00F0117E">
        <w:rPr>
          <w:lang w:val="uk-UA"/>
        </w:rPr>
        <w:t xml:space="preserve"> </w:t>
      </w:r>
      <w:r w:rsidR="00A34C9B" w:rsidRPr="00F0117E">
        <w:rPr>
          <w:lang w:val="uk-UA"/>
        </w:rPr>
        <w:t>можуть охоплюватися статтею</w:t>
      </w:r>
      <w:r w:rsidR="00E81B07" w:rsidRPr="00F0117E">
        <w:rPr>
          <w:lang w:val="uk-UA"/>
        </w:rPr>
        <w:t xml:space="preserve"> 8</w:t>
      </w:r>
      <w:r w:rsidR="00A34C9B" w:rsidRPr="00F0117E">
        <w:rPr>
          <w:lang w:val="uk-UA"/>
        </w:rPr>
        <w:t>,</w:t>
      </w:r>
      <w:r w:rsidR="00E81B07" w:rsidRPr="00F0117E">
        <w:rPr>
          <w:lang w:val="uk-UA"/>
        </w:rPr>
        <w:t xml:space="preserve"> </w:t>
      </w:r>
      <w:r w:rsidR="00A34C9B" w:rsidRPr="00F0117E">
        <w:rPr>
          <w:lang w:val="uk-UA"/>
        </w:rPr>
        <w:t>якщо вони мають наслідки для способу, в який особа будує соціальну ідентичність</w:t>
      </w:r>
      <w:r w:rsidR="00E81B07" w:rsidRPr="00F0117E">
        <w:rPr>
          <w:lang w:val="uk-UA"/>
        </w:rPr>
        <w:t xml:space="preserve"> </w:t>
      </w:r>
      <w:r w:rsidR="00A34C9B" w:rsidRPr="00F0117E">
        <w:rPr>
          <w:lang w:val="uk-UA"/>
        </w:rPr>
        <w:t xml:space="preserve">шляхом розвитку </w:t>
      </w:r>
      <w:r w:rsidR="00872A4A">
        <w:rPr>
          <w:lang w:val="uk-UA"/>
        </w:rPr>
        <w:t>стосунків</w:t>
      </w:r>
      <w:r w:rsidR="00A34C9B" w:rsidRPr="00F0117E">
        <w:rPr>
          <w:lang w:val="uk-UA"/>
        </w:rPr>
        <w:t xml:space="preserve"> з іншими людьми</w:t>
      </w:r>
      <w:r w:rsidR="00E81B07" w:rsidRPr="00F0117E">
        <w:rPr>
          <w:lang w:val="uk-UA"/>
        </w:rPr>
        <w:t xml:space="preserve">. </w:t>
      </w:r>
      <w:r w:rsidR="00872A4A">
        <w:rPr>
          <w:lang w:val="uk-UA"/>
        </w:rPr>
        <w:t>Стосовно цього</w:t>
      </w:r>
      <w:r w:rsidR="00A34C9B" w:rsidRPr="00F0117E">
        <w:rPr>
          <w:lang w:val="uk-UA"/>
        </w:rPr>
        <w:t xml:space="preserve"> слід зауважити,</w:t>
      </w:r>
      <w:r w:rsidR="00E81B07" w:rsidRPr="00F0117E">
        <w:rPr>
          <w:lang w:val="uk-UA"/>
        </w:rPr>
        <w:t xml:space="preserve"> </w:t>
      </w:r>
      <w:r w:rsidR="00A34C9B" w:rsidRPr="00F0117E">
        <w:rPr>
          <w:lang w:val="uk-UA"/>
        </w:rPr>
        <w:t>що саме в ході робочого життя</w:t>
      </w:r>
      <w:r w:rsidR="00E81B07" w:rsidRPr="00F0117E">
        <w:rPr>
          <w:lang w:val="uk-UA"/>
        </w:rPr>
        <w:t xml:space="preserve"> </w:t>
      </w:r>
      <w:r w:rsidR="00A34C9B" w:rsidRPr="00F0117E">
        <w:rPr>
          <w:lang w:val="uk-UA"/>
        </w:rPr>
        <w:t>більшість осіб мають значну</w:t>
      </w:r>
      <w:r w:rsidR="00E81B07" w:rsidRPr="00F0117E">
        <w:rPr>
          <w:lang w:val="uk-UA"/>
        </w:rPr>
        <w:t xml:space="preserve">, </w:t>
      </w:r>
      <w:r w:rsidR="00A34C9B" w:rsidRPr="00F0117E">
        <w:rPr>
          <w:lang w:val="uk-UA"/>
        </w:rPr>
        <w:t>якщо не найбільшу, можливість розвинути відносини із зовнішнім світом</w:t>
      </w:r>
      <w:r w:rsidR="00E81B07" w:rsidRPr="00F0117E">
        <w:rPr>
          <w:lang w:val="uk-UA"/>
        </w:rPr>
        <w:t xml:space="preserve"> (</w:t>
      </w:r>
      <w:r w:rsidR="00A34C9B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Niemietz</w:t>
      </w:r>
      <w:proofErr w:type="spellEnd"/>
      <w:r w:rsidR="00E81B07" w:rsidRPr="00F0117E">
        <w:rPr>
          <w:lang w:val="uk-UA"/>
        </w:rPr>
        <w:t xml:space="preserve">, </w:t>
      </w:r>
      <w:proofErr w:type="spellStart"/>
      <w:r w:rsidR="00A34C9B" w:rsidRPr="00F0117E">
        <w:rPr>
          <w:lang w:val="uk-UA"/>
        </w:rPr>
        <w:t>цит</w:t>
      </w:r>
      <w:proofErr w:type="spellEnd"/>
      <w:r w:rsidR="00A34C9B" w:rsidRPr="00F0117E">
        <w:rPr>
          <w:lang w:val="uk-UA"/>
        </w:rPr>
        <w:t>. вище</w:t>
      </w:r>
      <w:r w:rsidR="00E81B07" w:rsidRPr="00F0117E">
        <w:rPr>
          <w:lang w:val="uk-UA"/>
        </w:rPr>
        <w:t>, § 29).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72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A34C9B" w:rsidRPr="00F0117E">
        <w:rPr>
          <w:lang w:val="uk-UA"/>
        </w:rPr>
        <w:t>Крім того, стосовно поняття «кореспонденція»</w:t>
      </w:r>
      <w:r w:rsidR="00E81B07" w:rsidRPr="00F0117E">
        <w:rPr>
          <w:lang w:val="uk-UA"/>
        </w:rPr>
        <w:t xml:space="preserve">, </w:t>
      </w:r>
      <w:r w:rsidR="00A34C9B" w:rsidRPr="00F0117E">
        <w:rPr>
          <w:lang w:val="uk-UA"/>
        </w:rPr>
        <w:t>слід зазначити, що у формулюванні статті</w:t>
      </w:r>
      <w:r w:rsidR="00E81B07" w:rsidRPr="00F0117E">
        <w:rPr>
          <w:lang w:val="uk-UA"/>
        </w:rPr>
        <w:t xml:space="preserve"> 8 </w:t>
      </w:r>
      <w:r w:rsidR="00A34C9B" w:rsidRPr="00F0117E">
        <w:rPr>
          <w:lang w:val="uk-UA"/>
        </w:rPr>
        <w:t>це слово не супроводжується жодним прикметником</w:t>
      </w:r>
      <w:r w:rsidR="00E81B07" w:rsidRPr="00F0117E">
        <w:rPr>
          <w:lang w:val="uk-UA"/>
        </w:rPr>
        <w:t xml:space="preserve">, </w:t>
      </w:r>
      <w:r w:rsidR="00A34C9B" w:rsidRPr="00F0117E">
        <w:rPr>
          <w:lang w:val="uk-UA"/>
        </w:rPr>
        <w:t>на відміну від терміна «життя»</w:t>
      </w:r>
      <w:r w:rsidR="00E81B07" w:rsidRPr="00F0117E">
        <w:rPr>
          <w:lang w:val="uk-UA"/>
        </w:rPr>
        <w:t xml:space="preserve">. </w:t>
      </w:r>
      <w:r w:rsidR="00A34C9B" w:rsidRPr="00F0117E">
        <w:rPr>
          <w:lang w:val="uk-UA"/>
        </w:rPr>
        <w:t>Дійсно, Суд вже постановляв,</w:t>
      </w:r>
      <w:r w:rsidR="00E81B07" w:rsidRPr="00F0117E">
        <w:rPr>
          <w:lang w:val="uk-UA"/>
        </w:rPr>
        <w:t xml:space="preserve"> </w:t>
      </w:r>
      <w:r w:rsidR="00A34C9B" w:rsidRPr="00F0117E">
        <w:rPr>
          <w:lang w:val="uk-UA"/>
        </w:rPr>
        <w:t>що у контексті кореспонденції шляхом телефонних дзвінків</w:t>
      </w:r>
      <w:r w:rsidR="00E81B07" w:rsidRPr="00F0117E">
        <w:rPr>
          <w:lang w:val="uk-UA"/>
        </w:rPr>
        <w:t xml:space="preserve"> </w:t>
      </w:r>
      <w:r w:rsidR="00A34C9B" w:rsidRPr="00F0117E">
        <w:rPr>
          <w:lang w:val="uk-UA"/>
        </w:rPr>
        <w:t>такі уточнення не робляться</w:t>
      </w:r>
      <w:r w:rsidR="00E81B07" w:rsidRPr="00F0117E">
        <w:rPr>
          <w:lang w:val="uk-UA"/>
        </w:rPr>
        <w:t xml:space="preserve">. </w:t>
      </w:r>
      <w:r w:rsidR="00A34C9B" w:rsidRPr="00F0117E">
        <w:rPr>
          <w:lang w:val="uk-UA"/>
        </w:rPr>
        <w:t>У низці справ, які стосуються кореспонденції з адвокатом</w:t>
      </w:r>
      <w:r w:rsidR="00E81B07" w:rsidRPr="00F0117E">
        <w:rPr>
          <w:lang w:val="uk-UA"/>
        </w:rPr>
        <w:t xml:space="preserve">, </w:t>
      </w:r>
      <w:r w:rsidR="00A34C9B" w:rsidRPr="00F0117E">
        <w:rPr>
          <w:lang w:val="uk-UA"/>
        </w:rPr>
        <w:t>навіть не передбачалася можливість того, що стаття</w:t>
      </w:r>
      <w:r w:rsidR="00E81B07" w:rsidRPr="00F0117E">
        <w:rPr>
          <w:lang w:val="uk-UA"/>
        </w:rPr>
        <w:t xml:space="preserve"> 8 </w:t>
      </w:r>
      <w:r w:rsidR="00A34C9B" w:rsidRPr="00F0117E">
        <w:rPr>
          <w:lang w:val="uk-UA"/>
        </w:rPr>
        <w:t>може бути незастосовною на підставі того,</w:t>
      </w:r>
      <w:r w:rsidR="00E81B07" w:rsidRPr="00F0117E">
        <w:rPr>
          <w:lang w:val="uk-UA"/>
        </w:rPr>
        <w:t xml:space="preserve"> </w:t>
      </w:r>
      <w:r w:rsidR="00A34C9B" w:rsidRPr="00F0117E">
        <w:rPr>
          <w:lang w:val="uk-UA"/>
        </w:rPr>
        <w:t>що кореспонденція мала професійний характер</w:t>
      </w:r>
      <w:r w:rsidR="00E81B07" w:rsidRPr="00F0117E">
        <w:rPr>
          <w:lang w:val="uk-UA"/>
        </w:rPr>
        <w:t xml:space="preserve"> (</w:t>
      </w:r>
      <w:r w:rsidR="00A34C9B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Niemietz</w:t>
      </w:r>
      <w:proofErr w:type="spellEnd"/>
      <w:r w:rsidR="00E81B07" w:rsidRPr="00F0117E">
        <w:rPr>
          <w:lang w:val="uk-UA"/>
        </w:rPr>
        <w:t xml:space="preserve">, </w:t>
      </w:r>
      <w:proofErr w:type="spellStart"/>
      <w:r w:rsidR="00A34C9B" w:rsidRPr="00F0117E">
        <w:rPr>
          <w:lang w:val="uk-UA"/>
        </w:rPr>
        <w:t>цит</w:t>
      </w:r>
      <w:proofErr w:type="spellEnd"/>
      <w:r w:rsidR="00A34C9B" w:rsidRPr="00F0117E">
        <w:rPr>
          <w:lang w:val="uk-UA"/>
        </w:rPr>
        <w:t>. вище</w:t>
      </w:r>
      <w:r w:rsidR="00E81B07" w:rsidRPr="00F0117E">
        <w:rPr>
          <w:lang w:val="uk-UA"/>
        </w:rPr>
        <w:t xml:space="preserve">, § 32, </w:t>
      </w:r>
      <w:r w:rsidR="00A34C9B" w:rsidRPr="00F0117E">
        <w:rPr>
          <w:lang w:val="uk-UA"/>
        </w:rPr>
        <w:t>з подальшими посиланнями</w:t>
      </w:r>
      <w:r w:rsidR="00E81B07" w:rsidRPr="00F0117E">
        <w:rPr>
          <w:lang w:val="uk-UA"/>
        </w:rPr>
        <w:t xml:space="preserve">). </w:t>
      </w:r>
      <w:r w:rsidR="00A34C9B" w:rsidRPr="00F0117E">
        <w:rPr>
          <w:lang w:val="uk-UA"/>
        </w:rPr>
        <w:t>Крім того, Суд постановляв, що телефонні розмови охоплюються</w:t>
      </w:r>
      <w:r w:rsidR="00E81B07" w:rsidRPr="00F0117E">
        <w:rPr>
          <w:lang w:val="uk-UA"/>
        </w:rPr>
        <w:t xml:space="preserve"> </w:t>
      </w:r>
      <w:r w:rsidR="00A34C9B" w:rsidRPr="00F0117E">
        <w:rPr>
          <w:lang w:val="uk-UA"/>
        </w:rPr>
        <w:t>поняттями «приватне життя» та «кореспонденція»</w:t>
      </w:r>
      <w:r w:rsidR="00E81B07" w:rsidRPr="00F0117E">
        <w:rPr>
          <w:lang w:val="uk-UA"/>
        </w:rPr>
        <w:t xml:space="preserve"> </w:t>
      </w:r>
      <w:r w:rsidR="00A34C9B" w:rsidRPr="00F0117E">
        <w:rPr>
          <w:lang w:val="uk-UA"/>
        </w:rPr>
        <w:t>у розумінні статті</w:t>
      </w:r>
      <w:r w:rsidR="00E81B07" w:rsidRPr="00F0117E">
        <w:rPr>
          <w:lang w:val="uk-UA"/>
        </w:rPr>
        <w:t xml:space="preserve"> 8 (</w:t>
      </w:r>
      <w:r w:rsidR="00A34C9B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Roman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Zakharov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Russia</w:t>
      </w:r>
      <w:proofErr w:type="spellEnd"/>
      <w:r w:rsidR="00E81B07" w:rsidRPr="00F0117E">
        <w:rPr>
          <w:i/>
          <w:lang w:val="uk-UA"/>
        </w:rPr>
        <w:t xml:space="preserve"> </w:t>
      </w:r>
      <w:r w:rsidR="00E81B07" w:rsidRPr="00F0117E">
        <w:rPr>
          <w:lang w:val="uk-UA"/>
        </w:rPr>
        <w:t xml:space="preserve">[GC], </w:t>
      </w:r>
      <w:r w:rsidR="00A34C9B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 47143/06, § 173, ECHR 2015). </w:t>
      </w:r>
      <w:r w:rsidR="00A34C9B" w:rsidRPr="00F0117E">
        <w:rPr>
          <w:lang w:val="uk-UA"/>
        </w:rPr>
        <w:t>У принципі, це також стосується випадків, коли телефонні дзвінки</w:t>
      </w:r>
      <w:r w:rsidR="00E81B07" w:rsidRPr="00F0117E">
        <w:rPr>
          <w:lang w:val="uk-UA"/>
        </w:rPr>
        <w:t xml:space="preserve"> </w:t>
      </w:r>
      <w:r w:rsidR="00A34C9B" w:rsidRPr="00F0117E">
        <w:rPr>
          <w:lang w:val="uk-UA"/>
        </w:rPr>
        <w:t>робляться або отримуються на території бізнесу</w:t>
      </w:r>
      <w:r w:rsidR="00E81B07" w:rsidRPr="00F0117E">
        <w:rPr>
          <w:lang w:val="uk-UA"/>
        </w:rPr>
        <w:t xml:space="preserve"> (</w:t>
      </w:r>
      <w:r w:rsidR="00A34C9B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Halford</w:t>
      </w:r>
      <w:proofErr w:type="spellEnd"/>
      <w:r w:rsidR="00E81B07" w:rsidRPr="00F0117E">
        <w:rPr>
          <w:lang w:val="uk-UA"/>
        </w:rPr>
        <w:t xml:space="preserve">, </w:t>
      </w:r>
      <w:proofErr w:type="spellStart"/>
      <w:r w:rsidR="00A34C9B" w:rsidRPr="00F0117E">
        <w:rPr>
          <w:lang w:val="uk-UA"/>
        </w:rPr>
        <w:t>цит</w:t>
      </w:r>
      <w:proofErr w:type="spellEnd"/>
      <w:r w:rsidR="00A34C9B" w:rsidRPr="00F0117E">
        <w:rPr>
          <w:lang w:val="uk-UA"/>
        </w:rPr>
        <w:t>. вище</w:t>
      </w:r>
      <w:r w:rsidR="00E81B07" w:rsidRPr="00F0117E">
        <w:rPr>
          <w:lang w:val="uk-UA"/>
        </w:rPr>
        <w:t xml:space="preserve">, § 44, </w:t>
      </w:r>
      <w:r w:rsidR="00A34C9B" w:rsidRPr="00F0117E">
        <w:rPr>
          <w:lang w:val="uk-UA"/>
        </w:rPr>
        <w:t>і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Amann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Switzerland</w:t>
      </w:r>
      <w:proofErr w:type="spellEnd"/>
      <w:r w:rsidR="00E81B07" w:rsidRPr="00F0117E">
        <w:rPr>
          <w:lang w:val="uk-UA"/>
        </w:rPr>
        <w:t xml:space="preserve"> [GC], </w:t>
      </w:r>
      <w:r w:rsidR="00A34C9B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 27798/95, § 44, ECHR 2000</w:t>
      </w:r>
      <w:r w:rsidR="00E81B07" w:rsidRPr="00F0117E">
        <w:rPr>
          <w:lang w:val="uk-UA"/>
        </w:rPr>
        <w:noBreakHyphen/>
        <w:t xml:space="preserve">II). </w:t>
      </w:r>
      <w:r w:rsidR="00A34C9B" w:rsidRPr="00F0117E">
        <w:rPr>
          <w:lang w:val="uk-UA"/>
        </w:rPr>
        <w:t>Це також стосується електронних листів, надісланих з робочого місця</w:t>
      </w:r>
      <w:r w:rsidR="00E81B07" w:rsidRPr="00F0117E">
        <w:rPr>
          <w:lang w:val="uk-UA"/>
        </w:rPr>
        <w:t xml:space="preserve">, </w:t>
      </w:r>
      <w:r w:rsidR="00A34C9B" w:rsidRPr="00F0117E">
        <w:rPr>
          <w:lang w:val="uk-UA"/>
        </w:rPr>
        <w:t>які користуються аналогічним захистом відповідно до статті</w:t>
      </w:r>
      <w:r w:rsidR="00E81B07" w:rsidRPr="00F0117E">
        <w:rPr>
          <w:lang w:val="uk-UA"/>
        </w:rPr>
        <w:t xml:space="preserve"> 8, </w:t>
      </w:r>
      <w:r w:rsidR="00A34C9B" w:rsidRPr="00F0117E">
        <w:rPr>
          <w:lang w:val="uk-UA"/>
        </w:rPr>
        <w:t>як і інформація, отримана за допомогою моніторингу</w:t>
      </w:r>
      <w:r w:rsidR="00E81B07" w:rsidRPr="00F0117E">
        <w:rPr>
          <w:lang w:val="uk-UA"/>
        </w:rPr>
        <w:t xml:space="preserve"> </w:t>
      </w:r>
      <w:r w:rsidR="00A34C9B" w:rsidRPr="00F0117E">
        <w:rPr>
          <w:lang w:val="uk-UA"/>
        </w:rPr>
        <w:t xml:space="preserve">користування </w:t>
      </w:r>
      <w:r w:rsidR="00914B5F" w:rsidRPr="00F0117E">
        <w:rPr>
          <w:lang w:val="uk-UA"/>
        </w:rPr>
        <w:t>інтернетом</w:t>
      </w:r>
      <w:r w:rsidR="00E81B07" w:rsidRPr="00F0117E">
        <w:rPr>
          <w:lang w:val="uk-UA"/>
        </w:rPr>
        <w:t xml:space="preserve"> (</w:t>
      </w:r>
      <w:r w:rsidR="00914B5F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Copland</w:t>
      </w:r>
      <w:proofErr w:type="spellEnd"/>
      <w:r w:rsidR="00E81B07" w:rsidRPr="00F0117E">
        <w:rPr>
          <w:lang w:val="uk-UA"/>
        </w:rPr>
        <w:t xml:space="preserve">, </w:t>
      </w:r>
      <w:proofErr w:type="spellStart"/>
      <w:r w:rsidR="00914B5F" w:rsidRPr="00F0117E">
        <w:rPr>
          <w:lang w:val="uk-UA"/>
        </w:rPr>
        <w:t>цит</w:t>
      </w:r>
      <w:proofErr w:type="spellEnd"/>
      <w:r w:rsidR="00914B5F" w:rsidRPr="00F0117E">
        <w:rPr>
          <w:lang w:val="uk-UA"/>
        </w:rPr>
        <w:t>. вище</w:t>
      </w:r>
      <w:r w:rsidR="00E81B07" w:rsidRPr="00F0117E">
        <w:rPr>
          <w:lang w:val="uk-UA"/>
        </w:rPr>
        <w:t xml:space="preserve">, § 41 </w:t>
      </w:r>
      <w:r w:rsidR="00914B5F" w:rsidRPr="00F0117E">
        <w:rPr>
          <w:lang w:val="uk-UA"/>
        </w:rPr>
        <w:t>у кінці</w:t>
      </w:r>
      <w:r w:rsidR="00E81B07" w:rsidRPr="00F0117E">
        <w:rPr>
          <w:lang w:val="uk-UA"/>
        </w:rPr>
        <w:t>).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73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914B5F" w:rsidRPr="00F0117E">
        <w:rPr>
          <w:lang w:val="uk-UA"/>
        </w:rPr>
        <w:t>З прецедентної практики Суду очевидно,</w:t>
      </w:r>
      <w:r w:rsidR="00E81B07" w:rsidRPr="00F0117E">
        <w:rPr>
          <w:lang w:val="uk-UA"/>
        </w:rPr>
        <w:t xml:space="preserve"> </w:t>
      </w:r>
      <w:r w:rsidR="00914B5F" w:rsidRPr="00F0117E">
        <w:rPr>
          <w:lang w:val="uk-UA"/>
        </w:rPr>
        <w:t>що спілкування на території бізнесу,</w:t>
      </w:r>
      <w:r w:rsidR="00E81B07" w:rsidRPr="00F0117E">
        <w:rPr>
          <w:lang w:val="uk-UA"/>
        </w:rPr>
        <w:t xml:space="preserve"> </w:t>
      </w:r>
      <w:r w:rsidR="00914B5F" w:rsidRPr="00F0117E">
        <w:rPr>
          <w:lang w:val="uk-UA"/>
        </w:rPr>
        <w:t>як і спілкування із дому, можуть охоплюватися поняттями</w:t>
      </w:r>
      <w:r w:rsidR="00E81B07" w:rsidRPr="00F0117E">
        <w:rPr>
          <w:lang w:val="uk-UA"/>
        </w:rPr>
        <w:t xml:space="preserve"> </w:t>
      </w:r>
      <w:r w:rsidR="00914B5F" w:rsidRPr="00F0117E">
        <w:rPr>
          <w:lang w:val="uk-UA"/>
        </w:rPr>
        <w:t>«приватне життя» та «кореспонденція»</w:t>
      </w:r>
      <w:r w:rsidR="00E81B07" w:rsidRPr="00F0117E">
        <w:rPr>
          <w:lang w:val="uk-UA"/>
        </w:rPr>
        <w:t xml:space="preserve"> </w:t>
      </w:r>
      <w:r w:rsidR="00914B5F" w:rsidRPr="00F0117E">
        <w:rPr>
          <w:lang w:val="uk-UA"/>
        </w:rPr>
        <w:t>у розумінні статті 8 Конвенції</w:t>
      </w:r>
      <w:r w:rsidR="00E81B07" w:rsidRPr="00F0117E">
        <w:rPr>
          <w:lang w:val="uk-UA"/>
        </w:rPr>
        <w:t xml:space="preserve"> (</w:t>
      </w:r>
      <w:proofErr w:type="spellStart"/>
      <w:r w:rsidR="00E81B07" w:rsidRPr="00F0117E">
        <w:rPr>
          <w:lang w:val="uk-UA"/>
        </w:rPr>
        <w:t>see</w:t>
      </w:r>
      <w:proofErr w:type="spellEnd"/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Halford</w:t>
      </w:r>
      <w:proofErr w:type="spellEnd"/>
      <w:r w:rsidR="00E81B07" w:rsidRPr="00F0117E">
        <w:rPr>
          <w:lang w:val="uk-UA"/>
        </w:rPr>
        <w:t xml:space="preserve">, </w:t>
      </w:r>
      <w:proofErr w:type="spellStart"/>
      <w:r w:rsidR="00B363BE" w:rsidRPr="00F0117E">
        <w:rPr>
          <w:lang w:val="uk-UA"/>
        </w:rPr>
        <w:t>цит</w:t>
      </w:r>
      <w:proofErr w:type="spellEnd"/>
      <w:r w:rsidR="00B363BE" w:rsidRPr="00F0117E">
        <w:rPr>
          <w:lang w:val="uk-UA"/>
        </w:rPr>
        <w:t>. вище</w:t>
      </w:r>
      <w:r w:rsidR="00E81B07" w:rsidRPr="00F0117E">
        <w:rPr>
          <w:lang w:val="uk-UA"/>
        </w:rPr>
        <w:t xml:space="preserve">, § 44; </w:t>
      </w:r>
      <w:r w:rsidR="00B363BE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Copland</w:t>
      </w:r>
      <w:proofErr w:type="spellEnd"/>
      <w:r w:rsidR="00E81B07" w:rsidRPr="00F0117E">
        <w:rPr>
          <w:lang w:val="uk-UA"/>
        </w:rPr>
        <w:t xml:space="preserve">, </w:t>
      </w:r>
      <w:proofErr w:type="spellStart"/>
      <w:r w:rsidR="00B363BE" w:rsidRPr="00F0117E">
        <w:rPr>
          <w:lang w:val="uk-UA"/>
        </w:rPr>
        <w:t>цит</w:t>
      </w:r>
      <w:proofErr w:type="spellEnd"/>
      <w:r w:rsidR="00B363BE" w:rsidRPr="00F0117E">
        <w:rPr>
          <w:lang w:val="uk-UA"/>
        </w:rPr>
        <w:t>. вище</w:t>
      </w:r>
      <w:r w:rsidR="00E81B07" w:rsidRPr="00F0117E">
        <w:rPr>
          <w:lang w:val="uk-UA"/>
        </w:rPr>
        <w:t xml:space="preserve">, § 41). </w:t>
      </w:r>
      <w:r w:rsidR="00B363BE" w:rsidRPr="00F0117E">
        <w:rPr>
          <w:lang w:val="uk-UA"/>
        </w:rPr>
        <w:t>Для того, щоб переконатися,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чи застосовні поняття «приватне життя» і «кореспонденція»</w:t>
      </w:r>
      <w:r w:rsidR="00E81B07" w:rsidRPr="00F0117E">
        <w:rPr>
          <w:lang w:val="uk-UA"/>
        </w:rPr>
        <w:t xml:space="preserve">, </w:t>
      </w:r>
      <w:r w:rsidR="00B363BE" w:rsidRPr="00F0117E">
        <w:rPr>
          <w:lang w:val="uk-UA"/>
        </w:rPr>
        <w:t>Суд декілька разів розглядав,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чи мали особи обґрунтовані очікування того,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що їх приватність буде дотримана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та захищена</w:t>
      </w:r>
      <w:r w:rsidR="00E81B07" w:rsidRPr="00F0117E">
        <w:rPr>
          <w:lang w:val="uk-UA"/>
        </w:rPr>
        <w:t xml:space="preserve"> (</w:t>
      </w:r>
      <w:r w:rsidR="00B363BE" w:rsidRPr="00F0117E">
        <w:rPr>
          <w:lang w:val="uk-UA"/>
        </w:rPr>
        <w:t xml:space="preserve">там </w:t>
      </w:r>
      <w:r w:rsidR="00872A4A">
        <w:rPr>
          <w:lang w:val="uk-UA"/>
        </w:rPr>
        <w:t>само</w:t>
      </w:r>
      <w:r w:rsidR="00B363BE" w:rsidRPr="00F0117E">
        <w:rPr>
          <w:lang w:val="uk-UA"/>
        </w:rPr>
        <w:t>, і в тому, що стосується «приватного життя», див. також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Köpke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Germany</w:t>
      </w:r>
      <w:proofErr w:type="spellEnd"/>
      <w:r w:rsidR="00E81B07" w:rsidRPr="00F0117E">
        <w:rPr>
          <w:i/>
          <w:lang w:val="uk-UA"/>
        </w:rPr>
        <w:t xml:space="preserve"> </w:t>
      </w:r>
      <w:r w:rsidR="00E81B07" w:rsidRPr="00F0117E">
        <w:rPr>
          <w:lang w:val="uk-UA"/>
        </w:rPr>
        <w:t>(</w:t>
      </w:r>
      <w:proofErr w:type="spellStart"/>
      <w:r w:rsidR="00E81B07" w:rsidRPr="00F0117E">
        <w:rPr>
          <w:lang w:val="uk-UA"/>
        </w:rPr>
        <w:t>dec</w:t>
      </w:r>
      <w:proofErr w:type="spellEnd"/>
      <w:r w:rsidR="00E81B07" w:rsidRPr="00F0117E">
        <w:rPr>
          <w:lang w:val="uk-UA"/>
        </w:rPr>
        <w:t xml:space="preserve">.), </w:t>
      </w:r>
      <w:r w:rsidR="00B363BE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 420/07, 5 </w:t>
      </w:r>
      <w:r w:rsidR="00B363BE" w:rsidRPr="00F0117E">
        <w:rPr>
          <w:lang w:val="uk-UA"/>
        </w:rPr>
        <w:t>жовтня</w:t>
      </w:r>
      <w:r w:rsidR="00E81B07" w:rsidRPr="00F0117E">
        <w:rPr>
          <w:lang w:val="uk-UA"/>
        </w:rPr>
        <w:t xml:space="preserve"> 2010). </w:t>
      </w:r>
      <w:r w:rsidR="00B363BE" w:rsidRPr="00F0117E">
        <w:rPr>
          <w:lang w:val="uk-UA"/>
        </w:rPr>
        <w:t>У цьому контексті Суд заявляв,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що обґрунтоване очікування приватності є значним,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хоча і не обов’язково вирішальним чинником</w:t>
      </w:r>
      <w:r w:rsidR="00E81B07" w:rsidRPr="00F0117E">
        <w:rPr>
          <w:lang w:val="uk-UA"/>
        </w:rPr>
        <w:t xml:space="preserve"> (</w:t>
      </w:r>
      <w:r w:rsidR="00B363BE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Köpke</w:t>
      </w:r>
      <w:proofErr w:type="spellEnd"/>
      <w:r w:rsidR="00E81B07" w:rsidRPr="00F0117E">
        <w:rPr>
          <w:lang w:val="uk-UA"/>
        </w:rPr>
        <w:t xml:space="preserve">, </w:t>
      </w:r>
      <w:proofErr w:type="spellStart"/>
      <w:r w:rsidR="00B363BE" w:rsidRPr="00F0117E">
        <w:rPr>
          <w:lang w:val="uk-UA"/>
        </w:rPr>
        <w:t>цит</w:t>
      </w:r>
      <w:proofErr w:type="spellEnd"/>
      <w:r w:rsidR="00B363BE" w:rsidRPr="00F0117E">
        <w:rPr>
          <w:lang w:val="uk-UA"/>
        </w:rPr>
        <w:t>. вище</w:t>
      </w:r>
      <w:r w:rsidR="00E81B07" w:rsidRPr="00F0117E">
        <w:rPr>
          <w:lang w:val="uk-UA"/>
        </w:rPr>
        <w:t>).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74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363BE" w:rsidRPr="00F0117E">
        <w:rPr>
          <w:lang w:val="uk-UA"/>
        </w:rPr>
        <w:t>Застосовуючи ці принципи у даній справі</w:t>
      </w:r>
      <w:r w:rsidR="00E81B07" w:rsidRPr="00F0117E">
        <w:rPr>
          <w:lang w:val="uk-UA"/>
        </w:rPr>
        <w:t xml:space="preserve">, </w:t>
      </w:r>
      <w:r w:rsidR="00641385" w:rsidRPr="00F0117E">
        <w:rPr>
          <w:lang w:val="uk-UA"/>
        </w:rPr>
        <w:t>Суд,</w:t>
      </w:r>
      <w:r w:rsidR="00B363BE" w:rsidRPr="00F0117E">
        <w:rPr>
          <w:lang w:val="uk-UA"/>
        </w:rPr>
        <w:t xml:space="preserve"> </w:t>
      </w:r>
      <w:r w:rsidR="00641385" w:rsidRPr="00F0117E">
        <w:rPr>
          <w:lang w:val="uk-UA"/>
        </w:rPr>
        <w:t>у першу чергу,</w:t>
      </w:r>
      <w:r w:rsidR="00B363BE" w:rsidRPr="00F0117E">
        <w:rPr>
          <w:lang w:val="uk-UA"/>
        </w:rPr>
        <w:t xml:space="preserve"> зауважує,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що відповідний тип сервісу миттєвих інтернет-повідомлень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є усього лише однією з форм зв’язку,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які дозволяють фізичним особам вести приватне соціальне життя</w:t>
      </w:r>
      <w:r w:rsidR="00E81B07" w:rsidRPr="00F0117E">
        <w:rPr>
          <w:lang w:val="uk-UA"/>
        </w:rPr>
        <w:t xml:space="preserve">. </w:t>
      </w:r>
      <w:r w:rsidR="00B363BE" w:rsidRPr="00F0117E">
        <w:rPr>
          <w:lang w:val="uk-UA"/>
        </w:rPr>
        <w:t>У той же час, відправка та отримання повідомлень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охоплюються поняттям «кореспонденція»</w:t>
      </w:r>
      <w:r w:rsidR="00E81B07" w:rsidRPr="00F0117E">
        <w:rPr>
          <w:lang w:val="uk-UA"/>
        </w:rPr>
        <w:t xml:space="preserve">, </w:t>
      </w:r>
      <w:r w:rsidR="00B363BE" w:rsidRPr="00F0117E">
        <w:rPr>
          <w:lang w:val="uk-UA"/>
        </w:rPr>
        <w:t>навіть якщо вони надсилаються з комп’ютера працівника</w:t>
      </w:r>
      <w:r w:rsidR="00E81B07" w:rsidRPr="00F0117E">
        <w:rPr>
          <w:lang w:val="uk-UA"/>
        </w:rPr>
        <w:t xml:space="preserve">. </w:t>
      </w:r>
      <w:r w:rsidR="00B363BE" w:rsidRPr="00F0117E">
        <w:rPr>
          <w:lang w:val="uk-UA"/>
        </w:rPr>
        <w:t xml:space="preserve">Однак, Суд зазначає, що </w:t>
      </w:r>
      <w:r w:rsidR="00B363BE" w:rsidRPr="00F0117E">
        <w:rPr>
          <w:lang w:val="uk-UA"/>
        </w:rPr>
        <w:lastRenderedPageBreak/>
        <w:t>роботодавець заявника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указав йому та іншим працівникам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утримуватися від будь-якої особистої діяльності на робочому місці</w:t>
      </w:r>
      <w:r w:rsidR="00E81B07" w:rsidRPr="00F0117E">
        <w:rPr>
          <w:lang w:val="uk-UA"/>
        </w:rPr>
        <w:t xml:space="preserve">. </w:t>
      </w:r>
      <w:r w:rsidR="00B363BE" w:rsidRPr="00F0117E">
        <w:rPr>
          <w:lang w:val="uk-UA"/>
        </w:rPr>
        <w:t>Ця вимога з боку роботодавця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відображалася у вигляді заходів, до яких входила заборона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на використання ресурсів компанії для особистих цілей</w:t>
      </w:r>
      <w:r w:rsidR="00E81B07" w:rsidRPr="00F0117E">
        <w:rPr>
          <w:lang w:val="uk-UA"/>
        </w:rPr>
        <w:t xml:space="preserve"> (</w:t>
      </w:r>
      <w:r w:rsidR="00B363BE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ROI \h  \* MERGEFORMAT ">
        <w:r w:rsidR="008B2B31" w:rsidRPr="00F0117E">
          <w:rPr>
            <w:lang w:val="uk-UA"/>
          </w:rPr>
          <w:t>12</w:t>
        </w:r>
      </w:fldSimple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вище</w:t>
      </w:r>
      <w:r w:rsidR="00E81B07" w:rsidRPr="00F0117E">
        <w:rPr>
          <w:lang w:val="uk-UA"/>
        </w:rPr>
        <w:t>).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75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363BE" w:rsidRPr="00F0117E">
        <w:rPr>
          <w:lang w:val="uk-UA"/>
        </w:rPr>
        <w:t>Суд також зазначає, що з метою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забезпечення виконання цієї вимоги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роботодавець встановив систему моніторингу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користування інтернетом для працівників</w:t>
      </w:r>
      <w:r w:rsidR="00E81B07" w:rsidRPr="00F0117E">
        <w:rPr>
          <w:lang w:val="uk-UA"/>
        </w:rPr>
        <w:t xml:space="preserve"> (</w:t>
      </w:r>
      <w:r w:rsidR="00B363BE" w:rsidRPr="00F0117E">
        <w:rPr>
          <w:lang w:val="uk-UA"/>
        </w:rPr>
        <w:t>див. пункти</w:t>
      </w:r>
      <w:r w:rsidR="00E81B07" w:rsidRPr="00F0117E">
        <w:rPr>
          <w:lang w:val="uk-UA"/>
        </w:rPr>
        <w:t xml:space="preserve"> </w:t>
      </w:r>
      <w:fldSimple w:instr=" REF recording_messages \h  \* MERGEFORMAT ">
        <w:r w:rsidR="008B2B31" w:rsidRPr="00F0117E">
          <w:rPr>
            <w:lang w:val="uk-UA"/>
          </w:rPr>
          <w:t>17</w:t>
        </w:r>
      </w:fldSimple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</w:t>
      </w:r>
      <w:fldSimple w:instr=" REF prima_convocare_1630 \h  \* MERGEFORMAT ">
        <w:r w:rsidR="008B2B31" w:rsidRPr="00F0117E">
          <w:rPr>
            <w:lang w:val="uk-UA"/>
          </w:rPr>
          <w:t>18</w:t>
        </w:r>
      </w:fldSimple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). </w:t>
      </w:r>
      <w:r w:rsidR="00B363BE" w:rsidRPr="00F0117E">
        <w:rPr>
          <w:lang w:val="uk-UA"/>
        </w:rPr>
        <w:t>Документи у матеріалах справи</w:t>
      </w:r>
      <w:r w:rsidR="00E81B07" w:rsidRPr="00F0117E">
        <w:rPr>
          <w:lang w:val="uk-UA"/>
        </w:rPr>
        <w:t xml:space="preserve">, </w:t>
      </w:r>
      <w:r w:rsidR="00B363BE" w:rsidRPr="00F0117E">
        <w:rPr>
          <w:lang w:val="uk-UA"/>
        </w:rPr>
        <w:t>зокрема, ті, що стосуються дисциплінарних проваджень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проти заявника</w:t>
      </w:r>
      <w:r w:rsidR="00E81B07" w:rsidRPr="00F0117E">
        <w:rPr>
          <w:lang w:val="uk-UA"/>
        </w:rPr>
        <w:t xml:space="preserve">, </w:t>
      </w:r>
      <w:r w:rsidR="00B363BE" w:rsidRPr="00F0117E">
        <w:rPr>
          <w:lang w:val="uk-UA"/>
        </w:rPr>
        <w:t>вказують на те, що упродовж моніторингу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записувалися та зберігалися як направлення, так і зміст повідомлень заявника</w:t>
      </w:r>
      <w:r w:rsidR="00E81B07" w:rsidRPr="00F0117E">
        <w:rPr>
          <w:lang w:val="uk-UA"/>
        </w:rPr>
        <w:t xml:space="preserve"> (</w:t>
      </w:r>
      <w:r w:rsidR="00B363BE" w:rsidRPr="00F0117E">
        <w:rPr>
          <w:lang w:val="uk-UA"/>
        </w:rPr>
        <w:t>див. пункти</w:t>
      </w:r>
      <w:r w:rsidR="00E81B07" w:rsidRPr="00F0117E">
        <w:rPr>
          <w:lang w:val="uk-UA"/>
        </w:rPr>
        <w:t xml:space="preserve"> </w:t>
      </w:r>
      <w:fldSimple w:instr=" REF prima_convocare_1630 \h  \* MERGEFORMAT ">
        <w:r w:rsidR="008B2B31" w:rsidRPr="00F0117E">
          <w:rPr>
            <w:lang w:val="uk-UA"/>
          </w:rPr>
          <w:t>18</w:t>
        </w:r>
      </w:fldSimple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</w:t>
      </w:r>
      <w:fldSimple w:instr=" REF a_doua_convocare_1720 \h  \* MERGEFORMAT ">
        <w:r w:rsidR="008B2B31" w:rsidRPr="00F0117E">
          <w:rPr>
            <w:lang w:val="uk-UA"/>
          </w:rPr>
          <w:t>20</w:t>
        </w:r>
      </w:fldSimple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вище</w:t>
      </w:r>
      <w:r w:rsidR="00E81B07" w:rsidRPr="00F0117E">
        <w:rPr>
          <w:lang w:val="uk-UA"/>
        </w:rPr>
        <w:t>).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76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363BE" w:rsidRPr="00F0117E">
        <w:rPr>
          <w:lang w:val="uk-UA"/>
        </w:rPr>
        <w:t>Крім того, Суд зауважує, що незважаючи на цю вимогу роботодавця</w:t>
      </w:r>
      <w:r w:rsidR="00E81B07" w:rsidRPr="00F0117E">
        <w:rPr>
          <w:lang w:val="uk-UA"/>
        </w:rPr>
        <w:t xml:space="preserve">, </w:t>
      </w:r>
      <w:r w:rsidR="00B363BE" w:rsidRPr="00F0117E">
        <w:rPr>
          <w:lang w:val="uk-UA"/>
        </w:rPr>
        <w:t xml:space="preserve">заявник обмінювався повідомленнями </w:t>
      </w:r>
      <w:r w:rsidR="008D3B9A" w:rsidRPr="00F0117E">
        <w:rPr>
          <w:lang w:val="uk-UA"/>
        </w:rPr>
        <w:t>особистого</w:t>
      </w:r>
      <w:r w:rsidR="00B363BE" w:rsidRPr="00F0117E">
        <w:rPr>
          <w:lang w:val="uk-UA"/>
        </w:rPr>
        <w:t xml:space="preserve"> характеру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з нареченою та братом</w:t>
      </w:r>
      <w:r w:rsidR="00E81B07" w:rsidRPr="00F0117E">
        <w:rPr>
          <w:lang w:val="uk-UA"/>
        </w:rPr>
        <w:t xml:space="preserve"> (</w:t>
      </w:r>
      <w:r w:rsidR="00B363BE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content_messages \h  \* MERGEFORMAT ">
        <w:r w:rsidR="008B2B31" w:rsidRPr="00F0117E">
          <w:rPr>
            <w:lang w:val="uk-UA"/>
          </w:rPr>
          <w:t>21</w:t>
        </w:r>
      </w:fldSimple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). </w:t>
      </w:r>
      <w:r w:rsidR="00B363BE" w:rsidRPr="00F0117E">
        <w:rPr>
          <w:lang w:val="uk-UA"/>
        </w:rPr>
        <w:t>Деякі з цих повідомлень мали інтимний характер</w:t>
      </w:r>
      <w:r w:rsidR="00E81B07" w:rsidRPr="00F0117E">
        <w:rPr>
          <w:lang w:val="uk-UA"/>
        </w:rPr>
        <w:t xml:space="preserve"> (</w:t>
      </w:r>
      <w:r w:rsidR="00B363BE" w:rsidRPr="00F0117E">
        <w:rPr>
          <w:lang w:val="uk-UA"/>
        </w:rPr>
        <w:t>там же</w:t>
      </w:r>
      <w:r w:rsidR="00E81B07" w:rsidRPr="00F0117E">
        <w:rPr>
          <w:lang w:val="uk-UA"/>
        </w:rPr>
        <w:t>).</w:t>
      </w:r>
    </w:p>
    <w:p w:rsidR="00E36F4C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77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363BE" w:rsidRPr="00F0117E">
        <w:rPr>
          <w:lang w:val="uk-UA"/>
        </w:rPr>
        <w:t>Суд вважає, що з матеріалів справи очевидно,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що заявник дійсно був проінформований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 xml:space="preserve">про заборону </w:t>
      </w:r>
      <w:r w:rsidR="00151636" w:rsidRPr="00F0117E">
        <w:rPr>
          <w:lang w:val="uk-UA"/>
        </w:rPr>
        <w:t>користування інтернетом в особистих цілях</w:t>
      </w:r>
      <w:r w:rsidR="00B363BE" w:rsidRPr="00F0117E">
        <w:rPr>
          <w:lang w:val="uk-UA"/>
        </w:rPr>
        <w:t>,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наведену у внутрішніх розпорядженнях роботодавця</w:t>
      </w:r>
      <w:r w:rsidR="00E81B07" w:rsidRPr="00F0117E">
        <w:rPr>
          <w:lang w:val="uk-UA"/>
        </w:rPr>
        <w:t xml:space="preserve"> (</w:t>
      </w:r>
      <w:r w:rsidR="00B363BE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R_ia_cunostinta_ROI \h  \* MERGEFORMAT ">
        <w:r w:rsidR="008B2B31" w:rsidRPr="00F0117E">
          <w:rPr>
            <w:lang w:val="uk-UA"/>
          </w:rPr>
          <w:t>14</w:t>
        </w:r>
      </w:fldSimple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). </w:t>
      </w:r>
      <w:r w:rsidR="00B363BE" w:rsidRPr="00F0117E">
        <w:rPr>
          <w:lang w:val="uk-UA"/>
        </w:rPr>
        <w:t>Однак, не очевидно, що він був проінформований до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початку моніторингу своїх повідомлень про те,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що такий моніторинг матиме місце</w:t>
      </w:r>
      <w:r w:rsidR="00E81B07" w:rsidRPr="00F0117E">
        <w:rPr>
          <w:lang w:val="uk-UA"/>
        </w:rPr>
        <w:t xml:space="preserve">. </w:t>
      </w:r>
      <w:r w:rsidR="00B363BE" w:rsidRPr="00F0117E">
        <w:rPr>
          <w:lang w:val="uk-UA"/>
        </w:rPr>
        <w:t>Так, Уряд стверджував, що заявник ознайомився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з інформаційним повідомленням роботодавця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у невстановлений день з</w:t>
      </w:r>
      <w:r w:rsidR="00E81B07" w:rsidRPr="00F0117E">
        <w:rPr>
          <w:lang w:val="uk-UA"/>
        </w:rPr>
        <w:t xml:space="preserve"> 3 </w:t>
      </w:r>
      <w:r w:rsidR="00B363BE" w:rsidRPr="00F0117E">
        <w:rPr>
          <w:lang w:val="uk-UA"/>
        </w:rPr>
        <w:t>до</w:t>
      </w:r>
      <w:r w:rsidR="00E81B07" w:rsidRPr="00F0117E">
        <w:rPr>
          <w:lang w:val="uk-UA"/>
        </w:rPr>
        <w:t xml:space="preserve"> 13 </w:t>
      </w:r>
      <w:r w:rsidR="00B363BE" w:rsidRPr="00F0117E">
        <w:rPr>
          <w:lang w:val="uk-UA"/>
        </w:rPr>
        <w:t>липня</w:t>
      </w:r>
      <w:r w:rsidR="00E81B07" w:rsidRPr="00F0117E">
        <w:rPr>
          <w:lang w:val="uk-UA"/>
        </w:rPr>
        <w:t xml:space="preserve"> 2007</w:t>
      </w:r>
      <w:r w:rsidR="00B363BE" w:rsidRPr="00F0117E">
        <w:rPr>
          <w:lang w:val="uk-UA"/>
        </w:rPr>
        <w:t xml:space="preserve"> року</w:t>
      </w:r>
      <w:r w:rsidR="00E81B07" w:rsidRPr="00F0117E">
        <w:rPr>
          <w:lang w:val="uk-UA"/>
        </w:rPr>
        <w:t xml:space="preserve"> (</w:t>
      </w:r>
      <w:r w:rsidR="00B363BE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R_ia_cunostinta_nota_informativa \h  \* MERGEFORMAT ">
        <w:r w:rsidR="008B2B31" w:rsidRPr="00F0117E">
          <w:rPr>
            <w:lang w:val="uk-UA"/>
          </w:rPr>
          <w:t>16</w:t>
        </w:r>
      </w:fldSimple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). </w:t>
      </w:r>
      <w:r w:rsidR="00B363BE" w:rsidRPr="00F0117E">
        <w:rPr>
          <w:lang w:val="uk-UA"/>
        </w:rPr>
        <w:t>Однак, національні суди не уточнили,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чи був заявник проінформований про моніторинг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до дати його початку</w:t>
      </w:r>
      <w:r w:rsidR="00E81B07" w:rsidRPr="00F0117E">
        <w:rPr>
          <w:lang w:val="uk-UA"/>
        </w:rPr>
        <w:t xml:space="preserve">, </w:t>
      </w:r>
      <w:r w:rsidR="00B363BE" w:rsidRPr="00F0117E">
        <w:rPr>
          <w:lang w:val="uk-UA"/>
        </w:rPr>
        <w:t>беручи до уваги, що заявник записував переговори у режимі реального часу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з</w:t>
      </w:r>
      <w:r w:rsidR="00E81B07" w:rsidRPr="00F0117E">
        <w:rPr>
          <w:lang w:val="uk-UA"/>
        </w:rPr>
        <w:t xml:space="preserve"> 5 </w:t>
      </w:r>
      <w:r w:rsidR="00B363BE" w:rsidRPr="00F0117E">
        <w:rPr>
          <w:lang w:val="uk-UA"/>
        </w:rPr>
        <w:t>до</w:t>
      </w:r>
      <w:r w:rsidR="00E81B07" w:rsidRPr="00F0117E">
        <w:rPr>
          <w:lang w:val="uk-UA"/>
        </w:rPr>
        <w:t xml:space="preserve"> 13 </w:t>
      </w:r>
      <w:r w:rsidR="00B363BE" w:rsidRPr="00F0117E">
        <w:rPr>
          <w:lang w:val="uk-UA"/>
        </w:rPr>
        <w:t>липня</w:t>
      </w:r>
      <w:r w:rsidR="00E81B07" w:rsidRPr="00F0117E">
        <w:rPr>
          <w:lang w:val="uk-UA"/>
        </w:rPr>
        <w:t xml:space="preserve"> 2007</w:t>
      </w:r>
      <w:r w:rsidR="00B363BE" w:rsidRPr="00F0117E">
        <w:rPr>
          <w:lang w:val="uk-UA"/>
        </w:rPr>
        <w:t xml:space="preserve"> року</w:t>
      </w:r>
      <w:r w:rsidR="00E81B07" w:rsidRPr="00F0117E">
        <w:rPr>
          <w:lang w:val="uk-UA"/>
        </w:rPr>
        <w:t xml:space="preserve"> (</w:t>
      </w:r>
      <w:r w:rsidR="00B363BE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recording_messages \h  \* MERGEFORMAT ">
        <w:r w:rsidR="008B2B31" w:rsidRPr="00F0117E">
          <w:rPr>
            <w:lang w:val="uk-UA"/>
          </w:rPr>
          <w:t>17</w:t>
        </w:r>
      </w:fldSimple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вище</w:t>
      </w:r>
      <w:r w:rsidR="00E81B07" w:rsidRPr="00F0117E">
        <w:rPr>
          <w:lang w:val="uk-UA"/>
        </w:rPr>
        <w:t>).</w:t>
      </w:r>
    </w:p>
    <w:bookmarkStart w:id="31" w:name="incertitude_info_étendue_surveillance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78</w:t>
      </w:r>
      <w:r w:rsidRPr="00F0117E">
        <w:rPr>
          <w:lang w:val="uk-UA"/>
        </w:rPr>
        <w:fldChar w:fldCharType="end"/>
      </w:r>
      <w:bookmarkEnd w:id="31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363BE" w:rsidRPr="00F0117E">
        <w:rPr>
          <w:lang w:val="uk-UA"/>
        </w:rPr>
        <w:t>У будь-якому випадку, не видається, що заявник був проінформований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заздалегідь про обсяг та характер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моніторингової діяльності його роботодавця</w:t>
      </w:r>
      <w:r w:rsidR="00E81B07" w:rsidRPr="00F0117E">
        <w:rPr>
          <w:lang w:val="uk-UA"/>
        </w:rPr>
        <w:t xml:space="preserve">, </w:t>
      </w:r>
      <w:r w:rsidR="00B363BE" w:rsidRPr="00F0117E">
        <w:rPr>
          <w:lang w:val="uk-UA"/>
        </w:rPr>
        <w:t>або про можливість того, що його роботодавець міг мати доступ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до змісту його повідомлень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79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363BE" w:rsidRPr="00F0117E">
        <w:rPr>
          <w:lang w:val="uk-UA"/>
        </w:rPr>
        <w:t>Суд також приймає до уваги аргумент заявника про те,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 xml:space="preserve">що він сам створив відповідний </w:t>
      </w:r>
      <w:proofErr w:type="spellStart"/>
      <w:r w:rsidR="00B363BE" w:rsidRPr="00F0117E">
        <w:rPr>
          <w:lang w:val="uk-UA"/>
        </w:rPr>
        <w:t>акаунт</w:t>
      </w:r>
      <w:proofErr w:type="spellEnd"/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 </w:t>
      </w:r>
      <w:r w:rsidR="00B363BE" w:rsidRPr="00F0117E">
        <w:rPr>
          <w:lang w:val="uk-UA"/>
        </w:rPr>
        <w:t>та був єдиною особою, яка знала пароль</w:t>
      </w:r>
      <w:r w:rsidR="00E81B07" w:rsidRPr="00F0117E">
        <w:rPr>
          <w:lang w:val="uk-UA"/>
        </w:rPr>
        <w:t xml:space="preserve"> (</w:t>
      </w:r>
      <w:r w:rsidR="00B363BE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obs_R_applicab8 \h  \* MERGEFORMAT ">
        <w:r w:rsidR="008B2B31" w:rsidRPr="00F0117E">
          <w:rPr>
            <w:lang w:val="uk-UA"/>
          </w:rPr>
          <w:t>68</w:t>
        </w:r>
      </w:fldSimple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). </w:t>
      </w:r>
      <w:r w:rsidR="00B363BE" w:rsidRPr="00F0117E">
        <w:rPr>
          <w:lang w:val="uk-UA"/>
        </w:rPr>
        <w:t>Крім того, Суд зауважує, що матеріали справи вказують на те,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 xml:space="preserve">що роботодавець також мав доступ до особистого </w:t>
      </w:r>
      <w:proofErr w:type="spellStart"/>
      <w:r w:rsidR="00B363BE" w:rsidRPr="00F0117E">
        <w:rPr>
          <w:lang w:val="uk-UA"/>
        </w:rPr>
        <w:t>акаунту</w:t>
      </w:r>
      <w:proofErr w:type="spellEnd"/>
      <w:r w:rsidR="00B363BE" w:rsidRPr="00F0117E">
        <w:rPr>
          <w:lang w:val="uk-UA"/>
        </w:rPr>
        <w:t xml:space="preserve"> заявника у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 (</w:t>
      </w:r>
      <w:r w:rsidR="00B363BE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content_messages \h  \* MERGEFORMAT ">
        <w:r w:rsidR="008B2B31" w:rsidRPr="00F0117E">
          <w:rPr>
            <w:lang w:val="uk-UA"/>
          </w:rPr>
          <w:t>21</w:t>
        </w:r>
      </w:fldSimple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). </w:t>
      </w:r>
      <w:r w:rsidR="00B363BE" w:rsidRPr="00F0117E">
        <w:rPr>
          <w:lang w:val="uk-UA"/>
        </w:rPr>
        <w:t xml:space="preserve">У будь-якому випадку, заявник створив відповідний </w:t>
      </w:r>
      <w:proofErr w:type="spellStart"/>
      <w:r w:rsidR="00B363BE" w:rsidRPr="00F0117E">
        <w:rPr>
          <w:lang w:val="uk-UA"/>
        </w:rPr>
        <w:t>акаунт</w:t>
      </w:r>
      <w:proofErr w:type="spellEnd"/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 </w:t>
      </w:r>
      <w:r w:rsidR="00B363BE" w:rsidRPr="00F0117E">
        <w:rPr>
          <w:lang w:val="uk-UA"/>
        </w:rPr>
        <w:t>за вказівками роботодавця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для відповіді на запити клієнтів</w:t>
      </w:r>
      <w:r w:rsidR="00E81B07" w:rsidRPr="00F0117E">
        <w:rPr>
          <w:lang w:val="uk-UA"/>
        </w:rPr>
        <w:t xml:space="preserve"> (</w:t>
      </w:r>
      <w:r w:rsidR="00B363BE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account_setup \h  \* MERGEFORMAT ">
        <w:r w:rsidR="008B2B31" w:rsidRPr="00F0117E">
          <w:rPr>
            <w:lang w:val="uk-UA"/>
          </w:rPr>
          <w:t>11</w:t>
        </w:r>
      </w:fldSimple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), </w:t>
      </w:r>
      <w:r w:rsidR="00B363BE" w:rsidRPr="00F0117E">
        <w:rPr>
          <w:lang w:val="uk-UA"/>
        </w:rPr>
        <w:t>і роботодавець мав доступ до нього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80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363BE" w:rsidRPr="00F0117E">
        <w:rPr>
          <w:lang w:val="uk-UA"/>
        </w:rPr>
        <w:t>Залишається питання про те, чи залишили розпорядження роботодавця заявника з обґрунтованим очікуванням приватності, і якщо так – в якій мірі</w:t>
      </w:r>
      <w:r w:rsidR="00E81B07" w:rsidRPr="00F0117E">
        <w:rPr>
          <w:lang w:val="uk-UA"/>
        </w:rPr>
        <w:t xml:space="preserve">. </w:t>
      </w:r>
      <w:r w:rsidR="00B363BE" w:rsidRPr="00F0117E">
        <w:rPr>
          <w:lang w:val="uk-UA"/>
        </w:rPr>
        <w:t xml:space="preserve">У будь-якому випадку, вказівки роботодавця не </w:t>
      </w:r>
      <w:r w:rsidR="00B363BE" w:rsidRPr="00F0117E">
        <w:rPr>
          <w:lang w:val="uk-UA"/>
        </w:rPr>
        <w:lastRenderedPageBreak/>
        <w:t>можуть звести приватне соціальне життя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на робочому місці до нуля</w:t>
      </w:r>
      <w:r w:rsidR="00E81B07" w:rsidRPr="00F0117E">
        <w:rPr>
          <w:lang w:val="uk-UA"/>
        </w:rPr>
        <w:t xml:space="preserve">. </w:t>
      </w:r>
      <w:r w:rsidR="00B363BE" w:rsidRPr="00F0117E">
        <w:rPr>
          <w:lang w:val="uk-UA"/>
        </w:rPr>
        <w:t>Повага до приватного життя та приватності кореспонденції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продовжує існувати</w:t>
      </w:r>
      <w:r w:rsidR="00E81B07" w:rsidRPr="00F0117E">
        <w:rPr>
          <w:lang w:val="uk-UA"/>
        </w:rPr>
        <w:t xml:space="preserve">, </w:t>
      </w:r>
      <w:r w:rsidR="00B363BE" w:rsidRPr="00F0117E">
        <w:rPr>
          <w:lang w:val="uk-UA"/>
        </w:rPr>
        <w:t>навіть якщо можуть існувати необхідні обмеження</w:t>
      </w:r>
      <w:r w:rsidR="00E81B07" w:rsidRPr="00F0117E">
        <w:rPr>
          <w:lang w:val="uk-UA"/>
        </w:rPr>
        <w:t>.</w:t>
      </w:r>
    </w:p>
    <w:bookmarkStart w:id="32" w:name="applicable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81</w:t>
      </w:r>
      <w:r w:rsidRPr="00F0117E">
        <w:rPr>
          <w:lang w:val="uk-UA"/>
        </w:rPr>
        <w:fldChar w:fldCharType="end"/>
      </w:r>
      <w:bookmarkEnd w:id="32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363BE" w:rsidRPr="00F0117E">
        <w:rPr>
          <w:lang w:val="uk-UA"/>
        </w:rPr>
        <w:t>У світлі усіх наведених вище міркувань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Суд робить висновок про те, що спілкування заявника на робочому місці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охоплювалося концепціями</w:t>
      </w:r>
      <w:r w:rsidR="00E81B07" w:rsidRPr="00F0117E">
        <w:rPr>
          <w:lang w:val="uk-UA"/>
        </w:rPr>
        <w:t xml:space="preserve"> </w:t>
      </w:r>
      <w:r w:rsidR="00B363BE" w:rsidRPr="00F0117E">
        <w:rPr>
          <w:lang w:val="uk-UA"/>
        </w:rPr>
        <w:t>«приватне життя» та «кореспонденція»</w:t>
      </w:r>
      <w:r w:rsidR="00E81B07" w:rsidRPr="00F0117E">
        <w:rPr>
          <w:lang w:val="uk-UA"/>
        </w:rPr>
        <w:t xml:space="preserve">. </w:t>
      </w:r>
      <w:r w:rsidR="00B363BE" w:rsidRPr="00F0117E">
        <w:rPr>
          <w:lang w:val="uk-UA"/>
        </w:rPr>
        <w:t>Відповідно, за обставин даної справи</w:t>
      </w:r>
      <w:r w:rsidR="00E81B07" w:rsidRPr="00F0117E">
        <w:rPr>
          <w:lang w:val="uk-UA"/>
        </w:rPr>
        <w:t xml:space="preserve">, </w:t>
      </w:r>
      <w:r w:rsidR="00B363BE" w:rsidRPr="00F0117E">
        <w:rPr>
          <w:lang w:val="uk-UA"/>
        </w:rPr>
        <w:t>стаття 8 Конвенції є застосовною</w:t>
      </w:r>
      <w:r w:rsidR="00E81B07" w:rsidRPr="00F0117E">
        <w:rPr>
          <w:lang w:val="uk-UA"/>
        </w:rPr>
        <w:t>.</w:t>
      </w:r>
    </w:p>
    <w:p w:rsidR="00E81B07" w:rsidRPr="00F0117E" w:rsidRDefault="00E81B07" w:rsidP="008B2B31">
      <w:pPr>
        <w:pStyle w:val="ECHRHeading2"/>
        <w:rPr>
          <w:lang w:val="uk-UA"/>
        </w:rPr>
      </w:pPr>
      <w:r w:rsidRPr="00F0117E">
        <w:rPr>
          <w:lang w:val="uk-UA"/>
        </w:rPr>
        <w:t>D.</w:t>
      </w:r>
      <w:r w:rsidR="00FA6D4F" w:rsidRPr="00F0117E">
        <w:rPr>
          <w:lang w:val="uk-UA"/>
        </w:rPr>
        <w:t xml:space="preserve"> </w:t>
      </w:r>
      <w:r w:rsidR="00355CB9" w:rsidRPr="00F0117E">
        <w:rPr>
          <w:lang w:val="uk-UA"/>
        </w:rPr>
        <w:t>Дотримання статті 8 Конвенції</w:t>
      </w:r>
    </w:p>
    <w:p w:rsidR="00E81B07" w:rsidRPr="00F0117E" w:rsidRDefault="00E81B07" w:rsidP="008B2B31">
      <w:pPr>
        <w:pStyle w:val="ECHRHeading3"/>
        <w:rPr>
          <w:lang w:val="uk-UA"/>
        </w:rPr>
      </w:pPr>
      <w:r w:rsidRPr="00F0117E">
        <w:rPr>
          <w:lang w:val="uk-UA"/>
        </w:rPr>
        <w:t>1.</w:t>
      </w:r>
      <w:r w:rsidR="00FA6D4F" w:rsidRPr="00F0117E">
        <w:rPr>
          <w:lang w:val="uk-UA"/>
        </w:rPr>
        <w:t xml:space="preserve"> </w:t>
      </w:r>
      <w:r w:rsidR="00355CB9" w:rsidRPr="00F0117E">
        <w:rPr>
          <w:lang w:val="uk-UA"/>
        </w:rPr>
        <w:t>Доводи сторін та зауваження третьої сторони</w:t>
      </w:r>
    </w:p>
    <w:p w:rsidR="00E81B07" w:rsidRPr="00F0117E" w:rsidRDefault="00E81B07" w:rsidP="008B2B31">
      <w:pPr>
        <w:pStyle w:val="ECHRHeading4"/>
        <w:rPr>
          <w:lang w:val="uk-UA"/>
        </w:rPr>
      </w:pPr>
      <w:r w:rsidRPr="00F0117E">
        <w:rPr>
          <w:lang w:val="uk-UA"/>
        </w:rPr>
        <w:t>(a)</w:t>
      </w:r>
      <w:r w:rsidR="00FA6D4F" w:rsidRPr="00F0117E">
        <w:rPr>
          <w:lang w:val="uk-UA"/>
        </w:rPr>
        <w:t xml:space="preserve"> </w:t>
      </w:r>
      <w:r w:rsidR="00355CB9" w:rsidRPr="00F0117E">
        <w:rPr>
          <w:lang w:val="uk-UA"/>
        </w:rPr>
        <w:t>Заявник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82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355CB9" w:rsidRPr="00F0117E">
        <w:rPr>
          <w:lang w:val="uk-UA"/>
        </w:rPr>
        <w:t>У своїх письмових зауваженнях у Великій Палаті</w:t>
      </w:r>
      <w:r w:rsidR="00E81B07" w:rsidRPr="00F0117E">
        <w:rPr>
          <w:lang w:val="uk-UA"/>
        </w:rPr>
        <w:t xml:space="preserve"> </w:t>
      </w:r>
      <w:r w:rsidR="00355CB9" w:rsidRPr="00F0117E">
        <w:rPr>
          <w:lang w:val="uk-UA"/>
        </w:rPr>
        <w:t>заявник стверджував, що Палата не звернула достатню увагу</w:t>
      </w:r>
      <w:r w:rsidR="00E81B07" w:rsidRPr="00F0117E">
        <w:rPr>
          <w:lang w:val="uk-UA"/>
        </w:rPr>
        <w:t xml:space="preserve"> </w:t>
      </w:r>
      <w:r w:rsidR="00355CB9" w:rsidRPr="00F0117E">
        <w:rPr>
          <w:lang w:val="uk-UA"/>
        </w:rPr>
        <w:t>на певні фактичні аспекти справи</w:t>
      </w:r>
      <w:r w:rsidR="00E81B07" w:rsidRPr="00F0117E">
        <w:rPr>
          <w:lang w:val="uk-UA"/>
        </w:rPr>
        <w:t xml:space="preserve">. </w:t>
      </w:r>
      <w:r w:rsidR="00355CB9" w:rsidRPr="00F0117E">
        <w:rPr>
          <w:lang w:val="uk-UA"/>
        </w:rPr>
        <w:t>По-перше, він підкреслив конкретні особливості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Messenger, </w:t>
      </w:r>
      <w:r w:rsidR="00355CB9" w:rsidRPr="00F0117E">
        <w:rPr>
          <w:lang w:val="uk-UA"/>
        </w:rPr>
        <w:t xml:space="preserve">який був призначений для </w:t>
      </w:r>
      <w:r w:rsidR="00151636" w:rsidRPr="00F0117E">
        <w:rPr>
          <w:lang w:val="uk-UA"/>
        </w:rPr>
        <w:t>особистого</w:t>
      </w:r>
      <w:r w:rsidR="00355CB9" w:rsidRPr="00F0117E">
        <w:rPr>
          <w:lang w:val="uk-UA"/>
        </w:rPr>
        <w:t xml:space="preserve"> використання</w:t>
      </w:r>
      <w:r w:rsidR="00E81B07" w:rsidRPr="00F0117E">
        <w:rPr>
          <w:lang w:val="uk-UA"/>
        </w:rPr>
        <w:t xml:space="preserve">. </w:t>
      </w:r>
      <w:r w:rsidR="00355CB9" w:rsidRPr="00F0117E">
        <w:rPr>
          <w:lang w:val="uk-UA"/>
        </w:rPr>
        <w:t>Рішення його роботодавця щодо використання цього інструменту</w:t>
      </w:r>
      <w:r w:rsidR="00E81B07" w:rsidRPr="00F0117E">
        <w:rPr>
          <w:lang w:val="uk-UA"/>
        </w:rPr>
        <w:t xml:space="preserve"> </w:t>
      </w:r>
      <w:r w:rsidR="00355CB9" w:rsidRPr="00F0117E">
        <w:rPr>
          <w:lang w:val="uk-UA"/>
        </w:rPr>
        <w:t>у робочому контексті не міняє той факт,</w:t>
      </w:r>
      <w:r w:rsidR="00E81B07" w:rsidRPr="00F0117E">
        <w:rPr>
          <w:lang w:val="uk-UA"/>
        </w:rPr>
        <w:t xml:space="preserve"> </w:t>
      </w:r>
      <w:r w:rsidR="00355CB9" w:rsidRPr="00F0117E">
        <w:rPr>
          <w:lang w:val="uk-UA"/>
        </w:rPr>
        <w:t>що він у першу чергу призначався для особистих цілей</w:t>
      </w:r>
      <w:r w:rsidR="00E81B07" w:rsidRPr="00F0117E">
        <w:rPr>
          <w:lang w:val="uk-UA"/>
        </w:rPr>
        <w:t xml:space="preserve">. </w:t>
      </w:r>
      <w:r w:rsidR="00355CB9" w:rsidRPr="00F0117E">
        <w:rPr>
          <w:lang w:val="uk-UA"/>
        </w:rPr>
        <w:t xml:space="preserve">Тому заявник вважав себе єдиним власником </w:t>
      </w:r>
      <w:proofErr w:type="spellStart"/>
      <w:r w:rsidR="00355CB9" w:rsidRPr="00F0117E">
        <w:rPr>
          <w:lang w:val="uk-UA"/>
        </w:rPr>
        <w:t>акаунту</w:t>
      </w:r>
      <w:proofErr w:type="spellEnd"/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</w:t>
      </w:r>
      <w:r w:rsidR="00355CB9" w:rsidRPr="00F0117E">
        <w:rPr>
          <w:lang w:val="uk-UA"/>
        </w:rPr>
        <w:t>,</w:t>
      </w:r>
      <w:r w:rsidR="00E81B07" w:rsidRPr="00F0117E">
        <w:rPr>
          <w:lang w:val="uk-UA"/>
        </w:rPr>
        <w:t xml:space="preserve"> </w:t>
      </w:r>
      <w:r w:rsidR="00355CB9" w:rsidRPr="00F0117E">
        <w:rPr>
          <w:lang w:val="uk-UA"/>
        </w:rPr>
        <w:t>який він завів за запитом роботодавця</w:t>
      </w:r>
      <w:r w:rsidR="00E81B07" w:rsidRPr="00F0117E">
        <w:rPr>
          <w:lang w:val="uk-UA"/>
        </w:rPr>
        <w:t>.</w:t>
      </w:r>
    </w:p>
    <w:bookmarkStart w:id="33" w:name="obs_R_nu_ar_fi_folosit_dc_ar_fi_stiut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83</w:t>
      </w:r>
      <w:r w:rsidRPr="00F0117E">
        <w:rPr>
          <w:lang w:val="uk-UA"/>
        </w:rPr>
        <w:fldChar w:fldCharType="end"/>
      </w:r>
      <w:bookmarkEnd w:id="33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355CB9" w:rsidRPr="00F0117E">
        <w:rPr>
          <w:lang w:val="uk-UA"/>
        </w:rPr>
        <w:t>По-друге, заявник стверджував, що його роботодавець</w:t>
      </w:r>
      <w:r w:rsidR="00E81B07" w:rsidRPr="00F0117E">
        <w:rPr>
          <w:lang w:val="uk-UA"/>
        </w:rPr>
        <w:t xml:space="preserve"> </w:t>
      </w:r>
      <w:r w:rsidR="00355CB9" w:rsidRPr="00F0117E">
        <w:rPr>
          <w:lang w:val="uk-UA"/>
        </w:rPr>
        <w:t>не ввів жодну політику користування інтернетом</w:t>
      </w:r>
      <w:r w:rsidR="00E81B07" w:rsidRPr="00F0117E">
        <w:rPr>
          <w:lang w:val="uk-UA"/>
        </w:rPr>
        <w:t xml:space="preserve">. </w:t>
      </w:r>
      <w:r w:rsidR="00355CB9" w:rsidRPr="00F0117E">
        <w:rPr>
          <w:lang w:val="uk-UA"/>
        </w:rPr>
        <w:t>Він не отримав жодного попередження про можливість того,</w:t>
      </w:r>
      <w:r w:rsidR="00E81B07" w:rsidRPr="00F0117E">
        <w:rPr>
          <w:lang w:val="uk-UA"/>
        </w:rPr>
        <w:t xml:space="preserve"> </w:t>
      </w:r>
      <w:r w:rsidR="00355CB9" w:rsidRPr="00F0117E">
        <w:rPr>
          <w:lang w:val="uk-UA"/>
        </w:rPr>
        <w:t xml:space="preserve">що його повідомлення можуть </w:t>
      </w:r>
      <w:proofErr w:type="spellStart"/>
      <w:r w:rsidR="00355CB9" w:rsidRPr="00F0117E">
        <w:rPr>
          <w:lang w:val="uk-UA"/>
        </w:rPr>
        <w:t>моніторитися</w:t>
      </w:r>
      <w:proofErr w:type="spellEnd"/>
      <w:r w:rsidR="00355CB9" w:rsidRPr="00F0117E">
        <w:rPr>
          <w:lang w:val="uk-UA"/>
        </w:rPr>
        <w:t xml:space="preserve"> або бути прочитаними</w:t>
      </w:r>
      <w:r w:rsidR="00E81B07" w:rsidRPr="00F0117E">
        <w:rPr>
          <w:lang w:val="uk-UA"/>
        </w:rPr>
        <w:t xml:space="preserve">; </w:t>
      </w:r>
      <w:r w:rsidR="00355CB9" w:rsidRPr="00F0117E">
        <w:rPr>
          <w:lang w:val="uk-UA"/>
        </w:rPr>
        <w:t>він також не давав згоди у цьому відношенні</w:t>
      </w:r>
      <w:r w:rsidR="00E81B07" w:rsidRPr="00F0117E">
        <w:rPr>
          <w:lang w:val="uk-UA"/>
        </w:rPr>
        <w:t xml:space="preserve">. </w:t>
      </w:r>
      <w:r w:rsidR="00355CB9" w:rsidRPr="00F0117E">
        <w:rPr>
          <w:lang w:val="uk-UA"/>
        </w:rPr>
        <w:t>Якщо б така політика існувала</w:t>
      </w:r>
      <w:r w:rsidR="00E81B07" w:rsidRPr="00F0117E">
        <w:rPr>
          <w:lang w:val="uk-UA"/>
        </w:rPr>
        <w:t xml:space="preserve"> </w:t>
      </w:r>
      <w:r w:rsidR="00355CB9" w:rsidRPr="00F0117E">
        <w:rPr>
          <w:lang w:val="uk-UA"/>
        </w:rPr>
        <w:t>і він був проінформований про неї, він би утримався</w:t>
      </w:r>
      <w:r w:rsidR="00E81B07" w:rsidRPr="00F0117E">
        <w:rPr>
          <w:lang w:val="uk-UA"/>
        </w:rPr>
        <w:t xml:space="preserve"> </w:t>
      </w:r>
      <w:r w:rsidR="00355CB9" w:rsidRPr="00F0117E">
        <w:rPr>
          <w:lang w:val="uk-UA"/>
        </w:rPr>
        <w:t>від розкриття певних аспектів свого приватного життя в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84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355CB9" w:rsidRPr="00F0117E">
        <w:rPr>
          <w:lang w:val="uk-UA"/>
        </w:rPr>
        <w:t>По-третє, заявник стверджував, що слід проводити різницю</w:t>
      </w:r>
      <w:r w:rsidR="00E81B07" w:rsidRPr="00F0117E">
        <w:rPr>
          <w:lang w:val="uk-UA"/>
        </w:rPr>
        <w:t xml:space="preserve"> </w:t>
      </w:r>
      <w:r w:rsidR="00355CB9" w:rsidRPr="00F0117E">
        <w:rPr>
          <w:lang w:val="uk-UA"/>
        </w:rPr>
        <w:t xml:space="preserve">між </w:t>
      </w:r>
      <w:r w:rsidR="00151636" w:rsidRPr="00F0117E">
        <w:rPr>
          <w:lang w:val="uk-UA"/>
        </w:rPr>
        <w:t>користуванням інтернетом в особистих цілях</w:t>
      </w:r>
      <w:r w:rsidR="00355CB9" w:rsidRPr="00F0117E">
        <w:rPr>
          <w:lang w:val="uk-UA"/>
        </w:rPr>
        <w:t xml:space="preserve"> з метою отримання прибутку</w:t>
      </w:r>
      <w:r w:rsidR="00E81B07" w:rsidRPr="00F0117E">
        <w:rPr>
          <w:lang w:val="uk-UA"/>
        </w:rPr>
        <w:t xml:space="preserve"> </w:t>
      </w:r>
      <w:r w:rsidR="00355CB9" w:rsidRPr="00F0117E">
        <w:rPr>
          <w:lang w:val="uk-UA"/>
        </w:rPr>
        <w:t>і «невеликою нешкідливою приватною розмовою»,</w:t>
      </w:r>
      <w:r w:rsidR="00E81B07" w:rsidRPr="00F0117E">
        <w:rPr>
          <w:lang w:val="uk-UA"/>
        </w:rPr>
        <w:t xml:space="preserve"> </w:t>
      </w:r>
      <w:r w:rsidR="00355CB9" w:rsidRPr="00F0117E">
        <w:rPr>
          <w:lang w:val="uk-UA"/>
        </w:rPr>
        <w:t>метою якої не було отримання прибутку</w:t>
      </w:r>
      <w:r w:rsidR="00E81B07" w:rsidRPr="00F0117E">
        <w:rPr>
          <w:lang w:val="uk-UA"/>
        </w:rPr>
        <w:t xml:space="preserve"> </w:t>
      </w:r>
      <w:r w:rsidR="00355CB9" w:rsidRPr="00F0117E">
        <w:rPr>
          <w:lang w:val="uk-UA"/>
        </w:rPr>
        <w:t>і яка не заподіяла шкоди роботодавцю</w:t>
      </w:r>
      <w:r w:rsidR="00E81B07" w:rsidRPr="00F0117E">
        <w:rPr>
          <w:lang w:val="uk-UA"/>
        </w:rPr>
        <w:t xml:space="preserve">; </w:t>
      </w:r>
      <w:r w:rsidR="00355CB9" w:rsidRPr="00F0117E">
        <w:rPr>
          <w:lang w:val="uk-UA"/>
        </w:rPr>
        <w:t xml:space="preserve">у зв’язку </w:t>
      </w:r>
      <w:r w:rsidR="00E97EDD">
        <w:rPr>
          <w:lang w:val="uk-UA"/>
        </w:rPr>
        <w:t xml:space="preserve">з цим </w:t>
      </w:r>
      <w:r w:rsidR="00355CB9" w:rsidRPr="00F0117E">
        <w:rPr>
          <w:lang w:val="uk-UA"/>
        </w:rPr>
        <w:t>заявник зазначив, що протягом дисциплінарних проваджень проти нього</w:t>
      </w:r>
      <w:r w:rsidR="00E81B07" w:rsidRPr="00F0117E">
        <w:rPr>
          <w:lang w:val="uk-UA"/>
        </w:rPr>
        <w:t xml:space="preserve"> </w:t>
      </w:r>
      <w:r w:rsidR="00355CB9" w:rsidRPr="00F0117E">
        <w:rPr>
          <w:lang w:val="uk-UA"/>
        </w:rPr>
        <w:t>роботодавець не обвинувачував його у завданні шкоди компанії</w:t>
      </w:r>
      <w:r w:rsidR="00E81B07" w:rsidRPr="00F0117E">
        <w:rPr>
          <w:lang w:val="uk-UA"/>
        </w:rPr>
        <w:t xml:space="preserve">. </w:t>
      </w:r>
      <w:r w:rsidR="00355CB9" w:rsidRPr="00F0117E">
        <w:rPr>
          <w:lang w:val="uk-UA"/>
        </w:rPr>
        <w:t>Заявник підкреслив розвиток інформаційних та комунікаційних технологій</w:t>
      </w:r>
      <w:r w:rsidR="00E81B07" w:rsidRPr="00F0117E">
        <w:rPr>
          <w:lang w:val="uk-UA"/>
        </w:rPr>
        <w:t xml:space="preserve">, </w:t>
      </w:r>
      <w:r w:rsidR="00355CB9" w:rsidRPr="00F0117E">
        <w:rPr>
          <w:lang w:val="uk-UA"/>
        </w:rPr>
        <w:t>а також соціальних звичок та звичаїв, пов’язаних з їх використанням</w:t>
      </w:r>
      <w:r w:rsidR="00E81B07" w:rsidRPr="00F0117E">
        <w:rPr>
          <w:lang w:val="uk-UA"/>
        </w:rPr>
        <w:t xml:space="preserve">. </w:t>
      </w:r>
      <w:r w:rsidR="00355CB9" w:rsidRPr="00F0117E">
        <w:rPr>
          <w:lang w:val="uk-UA"/>
        </w:rPr>
        <w:t>Він стверджував, що сучасні робочі умови</w:t>
      </w:r>
      <w:r w:rsidR="00E81B07" w:rsidRPr="00F0117E">
        <w:rPr>
          <w:lang w:val="uk-UA"/>
        </w:rPr>
        <w:t xml:space="preserve"> </w:t>
      </w:r>
      <w:r w:rsidR="00355CB9" w:rsidRPr="00F0117E">
        <w:rPr>
          <w:lang w:val="uk-UA"/>
        </w:rPr>
        <w:t>роблять неможливим проведення чіткої розмежувальної лінії</w:t>
      </w:r>
      <w:r w:rsidR="00E81B07" w:rsidRPr="00F0117E">
        <w:rPr>
          <w:lang w:val="uk-UA"/>
        </w:rPr>
        <w:t xml:space="preserve"> </w:t>
      </w:r>
      <w:r w:rsidR="00355CB9" w:rsidRPr="00F0117E">
        <w:rPr>
          <w:lang w:val="uk-UA"/>
        </w:rPr>
        <w:t>між приватним та професійним життям</w:t>
      </w:r>
      <w:r w:rsidR="00E81B07" w:rsidRPr="00F0117E">
        <w:rPr>
          <w:lang w:val="uk-UA"/>
        </w:rPr>
        <w:t xml:space="preserve">, </w:t>
      </w:r>
      <w:r w:rsidR="00355CB9" w:rsidRPr="00F0117E">
        <w:rPr>
          <w:lang w:val="uk-UA"/>
        </w:rPr>
        <w:t>і поставив під сумнів законність будь-якої політики керівництва,</w:t>
      </w:r>
      <w:r w:rsidR="00E81B07" w:rsidRPr="00F0117E">
        <w:rPr>
          <w:lang w:val="uk-UA"/>
        </w:rPr>
        <w:t xml:space="preserve"> </w:t>
      </w:r>
      <w:r w:rsidR="00355CB9" w:rsidRPr="00F0117E">
        <w:rPr>
          <w:lang w:val="uk-UA"/>
        </w:rPr>
        <w:t>яка б забороняла користування інтернетом та будь-якими приладами в особистих цілях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lastRenderedPageBreak/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85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8A5888" w:rsidRPr="00F0117E">
        <w:rPr>
          <w:lang w:val="uk-UA"/>
        </w:rPr>
        <w:t>З юридичної точки зору заявник стверджував,</w:t>
      </w:r>
      <w:r w:rsidR="00E81B07" w:rsidRPr="00F0117E">
        <w:rPr>
          <w:lang w:val="uk-UA"/>
        </w:rPr>
        <w:t xml:space="preserve"> </w:t>
      </w:r>
      <w:r w:rsidR="008A5888" w:rsidRPr="00F0117E">
        <w:rPr>
          <w:lang w:val="uk-UA"/>
        </w:rPr>
        <w:t>що держава Румунія не виконала своє позитивне зобов’язання</w:t>
      </w:r>
      <w:r w:rsidR="00E81B07" w:rsidRPr="00F0117E">
        <w:rPr>
          <w:lang w:val="uk-UA"/>
        </w:rPr>
        <w:t xml:space="preserve"> </w:t>
      </w:r>
      <w:r w:rsidR="008A5888" w:rsidRPr="00F0117E">
        <w:rPr>
          <w:lang w:val="uk-UA"/>
        </w:rPr>
        <w:t>за статтею 8 Конвенції</w:t>
      </w:r>
      <w:r w:rsidR="00E81B07" w:rsidRPr="00F0117E">
        <w:rPr>
          <w:lang w:val="uk-UA"/>
        </w:rPr>
        <w:t xml:space="preserve">. </w:t>
      </w:r>
      <w:r w:rsidR="008A5888" w:rsidRPr="00F0117E">
        <w:rPr>
          <w:lang w:val="uk-UA"/>
        </w:rPr>
        <w:t>Більш конкретно, національні суди не скасували його звільнення,</w:t>
      </w:r>
      <w:r w:rsidR="00E81B07" w:rsidRPr="00F0117E">
        <w:rPr>
          <w:lang w:val="uk-UA"/>
        </w:rPr>
        <w:t xml:space="preserve"> </w:t>
      </w:r>
      <w:r w:rsidR="008A5888" w:rsidRPr="00F0117E">
        <w:rPr>
          <w:lang w:val="uk-UA"/>
        </w:rPr>
        <w:t>хоча й визнали, що мало місце порушення його права</w:t>
      </w:r>
      <w:r w:rsidR="00E81B07" w:rsidRPr="00F0117E">
        <w:rPr>
          <w:lang w:val="uk-UA"/>
        </w:rPr>
        <w:t xml:space="preserve"> </w:t>
      </w:r>
      <w:r w:rsidR="008A5888" w:rsidRPr="00F0117E">
        <w:rPr>
          <w:lang w:val="uk-UA"/>
        </w:rPr>
        <w:t>на повагу до приватного спілкування</w:t>
      </w:r>
      <w:r w:rsidR="00E81B07" w:rsidRPr="00F0117E">
        <w:rPr>
          <w:lang w:val="uk-UA"/>
        </w:rPr>
        <w:t>.</w:t>
      </w:r>
    </w:p>
    <w:p w:rsidR="00E36F4C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86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C06F39" w:rsidRPr="00F0117E">
        <w:rPr>
          <w:lang w:val="uk-UA"/>
        </w:rPr>
        <w:t>По-перше, заявник стверджував, що Палата</w:t>
      </w:r>
      <w:r w:rsidR="00E81B07" w:rsidRPr="00F0117E">
        <w:rPr>
          <w:lang w:val="uk-UA"/>
        </w:rPr>
        <w:t xml:space="preserve"> </w:t>
      </w:r>
      <w:r w:rsidR="00C06F39" w:rsidRPr="00F0117E">
        <w:rPr>
          <w:lang w:val="uk-UA"/>
        </w:rPr>
        <w:t>неправильно відрізнила дану справу від справи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Copland</w:t>
      </w:r>
      <w:proofErr w:type="spellEnd"/>
      <w:r w:rsidR="00E81B07" w:rsidRPr="00F0117E">
        <w:rPr>
          <w:i/>
          <w:lang w:val="uk-UA"/>
        </w:rPr>
        <w:t xml:space="preserve"> </w:t>
      </w:r>
      <w:r w:rsidR="00E81B07" w:rsidRPr="00F0117E">
        <w:rPr>
          <w:lang w:val="uk-UA"/>
        </w:rPr>
        <w:t>(</w:t>
      </w:r>
      <w:proofErr w:type="spellStart"/>
      <w:r w:rsidR="00C06F39" w:rsidRPr="00F0117E">
        <w:rPr>
          <w:lang w:val="uk-UA"/>
        </w:rPr>
        <w:t>цит</w:t>
      </w:r>
      <w:proofErr w:type="spellEnd"/>
      <w:r w:rsidR="00C06F39" w:rsidRPr="00F0117E">
        <w:rPr>
          <w:lang w:val="uk-UA"/>
        </w:rPr>
        <w:t>. вище</w:t>
      </w:r>
      <w:r w:rsidR="00E81B07" w:rsidRPr="00F0117E">
        <w:rPr>
          <w:lang w:val="uk-UA"/>
        </w:rPr>
        <w:t xml:space="preserve">, § 42). </w:t>
      </w:r>
      <w:r w:rsidR="00C06F39" w:rsidRPr="00F0117E">
        <w:rPr>
          <w:lang w:val="uk-UA"/>
        </w:rPr>
        <w:t>На його думку, рішучим чинником</w:t>
      </w:r>
      <w:r w:rsidR="00E81B07" w:rsidRPr="00F0117E">
        <w:rPr>
          <w:lang w:val="uk-UA"/>
        </w:rPr>
        <w:t xml:space="preserve"> </w:t>
      </w:r>
      <w:r w:rsidR="00C06F39" w:rsidRPr="00F0117E">
        <w:rPr>
          <w:lang w:val="uk-UA"/>
        </w:rPr>
        <w:t>при аналізі справи було не те,</w:t>
      </w:r>
      <w:r w:rsidR="00E81B07" w:rsidRPr="00F0117E">
        <w:rPr>
          <w:lang w:val="uk-UA"/>
        </w:rPr>
        <w:t xml:space="preserve"> </w:t>
      </w:r>
      <w:r w:rsidR="00C06F39" w:rsidRPr="00F0117E">
        <w:rPr>
          <w:lang w:val="uk-UA"/>
        </w:rPr>
        <w:t xml:space="preserve">чи дозволяв роботодавець </w:t>
      </w:r>
      <w:r w:rsidR="001F4641" w:rsidRPr="00F0117E">
        <w:rPr>
          <w:lang w:val="uk-UA"/>
        </w:rPr>
        <w:t>користування інтернетом в особистих цілях</w:t>
      </w:r>
      <w:r w:rsidR="00E81B07" w:rsidRPr="00F0117E">
        <w:rPr>
          <w:lang w:val="uk-UA"/>
        </w:rPr>
        <w:t xml:space="preserve">, </w:t>
      </w:r>
      <w:r w:rsidR="00C06F39" w:rsidRPr="00F0117E">
        <w:rPr>
          <w:lang w:val="uk-UA"/>
        </w:rPr>
        <w:t>а той факт, що роботодавець не попередив</w:t>
      </w:r>
      <w:r w:rsidR="00E81B07" w:rsidRPr="00F0117E">
        <w:rPr>
          <w:lang w:val="uk-UA"/>
        </w:rPr>
        <w:t xml:space="preserve"> </w:t>
      </w:r>
      <w:r w:rsidR="00C06F39" w:rsidRPr="00F0117E">
        <w:rPr>
          <w:lang w:val="uk-UA"/>
        </w:rPr>
        <w:t>працівника про те, що його розмови можуть підлягати моніторингу</w:t>
      </w:r>
      <w:r w:rsidR="00E81B07" w:rsidRPr="00F0117E">
        <w:rPr>
          <w:lang w:val="uk-UA"/>
        </w:rPr>
        <w:t xml:space="preserve">. </w:t>
      </w:r>
      <w:r w:rsidR="00C06F39" w:rsidRPr="00F0117E">
        <w:rPr>
          <w:lang w:val="uk-UA"/>
        </w:rPr>
        <w:t>У цьому зв’язку заявник стверджував, що його роботодавець</w:t>
      </w:r>
      <w:r w:rsidR="00E81B07" w:rsidRPr="00F0117E">
        <w:rPr>
          <w:lang w:val="uk-UA"/>
        </w:rPr>
        <w:t xml:space="preserve"> </w:t>
      </w:r>
      <w:r w:rsidR="00C06F39" w:rsidRPr="00F0117E">
        <w:rPr>
          <w:lang w:val="uk-UA"/>
        </w:rPr>
        <w:t>спочатку помістив його під спостереження,</w:t>
      </w:r>
      <w:r w:rsidR="00E81B07" w:rsidRPr="00F0117E">
        <w:rPr>
          <w:lang w:val="uk-UA"/>
        </w:rPr>
        <w:t xml:space="preserve"> </w:t>
      </w:r>
      <w:r w:rsidR="00C06F39" w:rsidRPr="00F0117E">
        <w:rPr>
          <w:lang w:val="uk-UA"/>
        </w:rPr>
        <w:t>і лише після цього дав йому можливість</w:t>
      </w:r>
      <w:r w:rsidR="00E81B07" w:rsidRPr="00F0117E">
        <w:rPr>
          <w:lang w:val="uk-UA"/>
        </w:rPr>
        <w:t xml:space="preserve"> </w:t>
      </w:r>
      <w:r w:rsidR="00C06F39" w:rsidRPr="00F0117E">
        <w:rPr>
          <w:lang w:val="uk-UA"/>
        </w:rPr>
        <w:t>вказати, чи були його розмови приватними або пов’язаними з роботою</w:t>
      </w:r>
      <w:r w:rsidR="00E81B07" w:rsidRPr="00F0117E">
        <w:rPr>
          <w:lang w:val="uk-UA"/>
        </w:rPr>
        <w:t xml:space="preserve">. </w:t>
      </w:r>
      <w:r w:rsidR="00C06F39" w:rsidRPr="00F0117E">
        <w:rPr>
          <w:lang w:val="uk-UA"/>
        </w:rPr>
        <w:t xml:space="preserve">Суд повинен був розглянути, чи давала заборона на </w:t>
      </w:r>
      <w:r w:rsidR="005101B0" w:rsidRPr="00F0117E">
        <w:rPr>
          <w:lang w:val="uk-UA"/>
        </w:rPr>
        <w:t>користування інтернетом в особистих цілях</w:t>
      </w:r>
      <w:r w:rsidR="00E81B07" w:rsidRPr="00F0117E">
        <w:rPr>
          <w:lang w:val="uk-UA"/>
        </w:rPr>
        <w:t xml:space="preserve"> </w:t>
      </w:r>
      <w:r w:rsidR="00C06F39" w:rsidRPr="00F0117E">
        <w:rPr>
          <w:lang w:val="uk-UA"/>
        </w:rPr>
        <w:t xml:space="preserve">роботодавцю право </w:t>
      </w:r>
      <w:proofErr w:type="spellStart"/>
      <w:r w:rsidR="00C06F39" w:rsidRPr="00F0117E">
        <w:rPr>
          <w:lang w:val="uk-UA"/>
        </w:rPr>
        <w:t>моніторити</w:t>
      </w:r>
      <w:proofErr w:type="spellEnd"/>
      <w:r w:rsidR="00C06F39" w:rsidRPr="00F0117E">
        <w:rPr>
          <w:lang w:val="uk-UA"/>
        </w:rPr>
        <w:t xml:space="preserve"> працівників</w:t>
      </w:r>
      <w:r w:rsidR="00E81B07" w:rsidRPr="00F0117E">
        <w:rPr>
          <w:lang w:val="uk-UA"/>
        </w:rPr>
        <w:t xml:space="preserve">, </w:t>
      </w:r>
      <w:r w:rsidR="00C06F39" w:rsidRPr="00F0117E">
        <w:rPr>
          <w:lang w:val="uk-UA"/>
        </w:rPr>
        <w:t>і чи повинен був роботодавець надавати підстави для такого моніторингу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87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218D2" w:rsidRPr="00F0117E">
        <w:rPr>
          <w:lang w:val="uk-UA"/>
        </w:rPr>
        <w:t>По-друге, заявник стверджував,</w:t>
      </w:r>
      <w:r w:rsidR="00E81B07" w:rsidRPr="00F0117E">
        <w:rPr>
          <w:lang w:val="uk-UA"/>
        </w:rPr>
        <w:t xml:space="preserve"> </w:t>
      </w:r>
      <w:r w:rsidR="00B218D2" w:rsidRPr="00F0117E">
        <w:rPr>
          <w:lang w:val="uk-UA"/>
        </w:rPr>
        <w:t xml:space="preserve">що аналіз Палати </w:t>
      </w:r>
      <w:r w:rsidR="00FC34C7">
        <w:rPr>
          <w:lang w:val="uk-UA"/>
        </w:rPr>
        <w:t xml:space="preserve">стосовно </w:t>
      </w:r>
      <w:r w:rsidR="00B218D2" w:rsidRPr="00F0117E">
        <w:rPr>
          <w:lang w:val="uk-UA"/>
        </w:rPr>
        <w:t>другого пункту</w:t>
      </w:r>
      <w:r w:rsidR="00E81B07" w:rsidRPr="00F0117E">
        <w:rPr>
          <w:lang w:val="uk-UA"/>
        </w:rPr>
        <w:t xml:space="preserve"> </w:t>
      </w:r>
      <w:r w:rsidR="00B218D2" w:rsidRPr="00F0117E">
        <w:rPr>
          <w:lang w:val="uk-UA"/>
        </w:rPr>
        <w:t>статті</w:t>
      </w:r>
      <w:r w:rsidR="00E81B07" w:rsidRPr="00F0117E">
        <w:rPr>
          <w:lang w:val="uk-UA"/>
        </w:rPr>
        <w:t xml:space="preserve"> 8 </w:t>
      </w:r>
      <w:r w:rsidR="00D527E3" w:rsidRPr="00F0117E">
        <w:rPr>
          <w:lang w:val="uk-UA"/>
        </w:rPr>
        <w:t>не відповідав прецедент</w:t>
      </w:r>
      <w:r w:rsidR="00B218D2" w:rsidRPr="00F0117E">
        <w:rPr>
          <w:lang w:val="uk-UA"/>
        </w:rPr>
        <w:t>ній практиці Суду</w:t>
      </w:r>
      <w:r w:rsidR="00E81B07" w:rsidRPr="00F0117E">
        <w:rPr>
          <w:lang w:val="uk-UA"/>
        </w:rPr>
        <w:t xml:space="preserve"> </w:t>
      </w:r>
      <w:r w:rsidR="00B218D2" w:rsidRPr="00F0117E">
        <w:rPr>
          <w:lang w:val="uk-UA"/>
        </w:rPr>
        <w:t>у тому, що він не прагнув переконатися в тому,</w:t>
      </w:r>
      <w:r w:rsidR="00E81B07" w:rsidRPr="00F0117E">
        <w:rPr>
          <w:lang w:val="uk-UA"/>
        </w:rPr>
        <w:t xml:space="preserve"> </w:t>
      </w:r>
      <w:r w:rsidR="00B218D2" w:rsidRPr="00F0117E">
        <w:rPr>
          <w:lang w:val="uk-UA"/>
        </w:rPr>
        <w:t>чи відповідало закону втручання у право заявника на повагу</w:t>
      </w:r>
      <w:r w:rsidR="00E81B07" w:rsidRPr="00F0117E">
        <w:rPr>
          <w:lang w:val="uk-UA"/>
        </w:rPr>
        <w:t xml:space="preserve"> </w:t>
      </w:r>
      <w:r w:rsidR="00B218D2" w:rsidRPr="00F0117E">
        <w:rPr>
          <w:lang w:val="uk-UA"/>
        </w:rPr>
        <w:t>до його приватного життя та кореспонденції</w:t>
      </w:r>
      <w:r w:rsidR="00E81B07" w:rsidRPr="00F0117E">
        <w:rPr>
          <w:lang w:val="uk-UA"/>
        </w:rPr>
        <w:t xml:space="preserve">, </w:t>
      </w:r>
      <w:r w:rsidR="00B218D2" w:rsidRPr="00F0117E">
        <w:rPr>
          <w:lang w:val="uk-UA"/>
        </w:rPr>
        <w:t>чи переслідувало воно законну мету і чи було необхідним у демократичному суспільстві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88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100B4" w:rsidRPr="00F0117E">
        <w:rPr>
          <w:lang w:val="uk-UA"/>
        </w:rPr>
        <w:t>Що стосується юрисдикції трудових судів</w:t>
      </w:r>
      <w:r w:rsidR="00E81B07" w:rsidRPr="00F0117E">
        <w:rPr>
          <w:lang w:val="uk-UA"/>
        </w:rPr>
        <w:t xml:space="preserve">, </w:t>
      </w:r>
      <w:r w:rsidR="00B100B4" w:rsidRPr="00F0117E">
        <w:rPr>
          <w:lang w:val="uk-UA"/>
        </w:rPr>
        <w:t>заявник стверджував, що вони мали компетенцію</w:t>
      </w:r>
      <w:r w:rsidR="00E81B07" w:rsidRPr="00F0117E">
        <w:rPr>
          <w:lang w:val="uk-UA"/>
        </w:rPr>
        <w:t xml:space="preserve"> </w:t>
      </w:r>
      <w:r w:rsidR="00B100B4" w:rsidRPr="00F0117E">
        <w:rPr>
          <w:lang w:val="uk-UA"/>
        </w:rPr>
        <w:t>для проведення повного огляду законності</w:t>
      </w:r>
      <w:r w:rsidR="00E81B07" w:rsidRPr="00F0117E">
        <w:rPr>
          <w:lang w:val="uk-UA"/>
        </w:rPr>
        <w:t xml:space="preserve"> </w:t>
      </w:r>
      <w:r w:rsidR="00B100B4" w:rsidRPr="00F0117E">
        <w:rPr>
          <w:lang w:val="uk-UA"/>
        </w:rPr>
        <w:t>та обґрунтування заходу, про який їм повідомляли</w:t>
      </w:r>
      <w:r w:rsidR="00E81B07" w:rsidRPr="00F0117E">
        <w:rPr>
          <w:lang w:val="uk-UA"/>
        </w:rPr>
        <w:t xml:space="preserve">. </w:t>
      </w:r>
      <w:r w:rsidR="00B100B4" w:rsidRPr="00F0117E">
        <w:rPr>
          <w:lang w:val="uk-UA"/>
        </w:rPr>
        <w:t>Суди повинні були запитати надання необхідних доказів</w:t>
      </w:r>
      <w:r w:rsidR="00E81B07" w:rsidRPr="00F0117E">
        <w:rPr>
          <w:lang w:val="uk-UA"/>
        </w:rPr>
        <w:t xml:space="preserve"> </w:t>
      </w:r>
      <w:r w:rsidR="00B100B4" w:rsidRPr="00F0117E">
        <w:rPr>
          <w:lang w:val="uk-UA"/>
        </w:rPr>
        <w:t>та висунути будь-які відповідні</w:t>
      </w:r>
      <w:r w:rsidR="00E81B07" w:rsidRPr="00F0117E">
        <w:rPr>
          <w:lang w:val="uk-UA"/>
        </w:rPr>
        <w:t xml:space="preserve"> </w:t>
      </w:r>
      <w:r w:rsidR="00B100B4" w:rsidRPr="00F0117E">
        <w:rPr>
          <w:lang w:val="uk-UA"/>
        </w:rPr>
        <w:t>фактичні або юридичні питання</w:t>
      </w:r>
      <w:r w:rsidR="00E81B07" w:rsidRPr="00F0117E">
        <w:rPr>
          <w:lang w:val="uk-UA"/>
        </w:rPr>
        <w:t xml:space="preserve">, </w:t>
      </w:r>
      <w:r w:rsidR="00B100B4" w:rsidRPr="00F0117E">
        <w:rPr>
          <w:lang w:val="uk-UA"/>
        </w:rPr>
        <w:t>навіть якщо вони не були згадані сторонами</w:t>
      </w:r>
      <w:r w:rsidR="00E81B07" w:rsidRPr="00F0117E">
        <w:rPr>
          <w:lang w:val="uk-UA"/>
        </w:rPr>
        <w:t xml:space="preserve">. </w:t>
      </w:r>
      <w:r w:rsidR="00B100B4" w:rsidRPr="00F0117E">
        <w:rPr>
          <w:lang w:val="uk-UA"/>
        </w:rPr>
        <w:t>Відповідно, трудові суди мали широку юрисдикцію для розгляду</w:t>
      </w:r>
      <w:r w:rsidR="00E81B07" w:rsidRPr="00F0117E">
        <w:rPr>
          <w:lang w:val="uk-UA"/>
        </w:rPr>
        <w:t xml:space="preserve"> </w:t>
      </w:r>
      <w:r w:rsidR="00B100B4" w:rsidRPr="00F0117E">
        <w:rPr>
          <w:lang w:val="uk-UA"/>
        </w:rPr>
        <w:t>будь-яких питань, які стосувалися спорів щодо трудового законодавства</w:t>
      </w:r>
      <w:r w:rsidR="00E81B07" w:rsidRPr="00F0117E">
        <w:rPr>
          <w:lang w:val="uk-UA"/>
        </w:rPr>
        <w:t xml:space="preserve">, </w:t>
      </w:r>
      <w:r w:rsidR="00B100B4" w:rsidRPr="00F0117E">
        <w:rPr>
          <w:lang w:val="uk-UA"/>
        </w:rPr>
        <w:t>у тому числі спорів щодо поваги</w:t>
      </w:r>
      <w:r w:rsidR="00E81B07" w:rsidRPr="00F0117E">
        <w:rPr>
          <w:lang w:val="uk-UA"/>
        </w:rPr>
        <w:t xml:space="preserve"> </w:t>
      </w:r>
      <w:r w:rsidR="00B100B4" w:rsidRPr="00F0117E">
        <w:rPr>
          <w:lang w:val="uk-UA"/>
        </w:rPr>
        <w:t>до приватного життя та кореспонденції працівників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89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100B4" w:rsidRPr="00F0117E">
        <w:rPr>
          <w:lang w:val="uk-UA"/>
        </w:rPr>
        <w:t>Однак, у справі заявника національні суди</w:t>
      </w:r>
      <w:r w:rsidR="00E81B07" w:rsidRPr="00F0117E">
        <w:rPr>
          <w:lang w:val="uk-UA"/>
        </w:rPr>
        <w:t xml:space="preserve"> </w:t>
      </w:r>
      <w:r w:rsidR="00B100B4" w:rsidRPr="00F0117E">
        <w:rPr>
          <w:lang w:val="uk-UA"/>
        </w:rPr>
        <w:t xml:space="preserve">скористувалися </w:t>
      </w:r>
      <w:r w:rsidR="00394AD5" w:rsidRPr="00F0117E">
        <w:rPr>
          <w:lang w:val="uk-UA"/>
        </w:rPr>
        <w:t>жорстким</w:t>
      </w:r>
      <w:r w:rsidR="00B100B4" w:rsidRPr="00F0117E">
        <w:rPr>
          <w:lang w:val="uk-UA"/>
        </w:rPr>
        <w:t xml:space="preserve"> </w:t>
      </w:r>
      <w:r w:rsidR="00394AD5" w:rsidRPr="00F0117E">
        <w:rPr>
          <w:lang w:val="uk-UA"/>
        </w:rPr>
        <w:t>підходом</w:t>
      </w:r>
      <w:r w:rsidR="00E97EDD">
        <w:rPr>
          <w:lang w:val="uk-UA"/>
        </w:rPr>
        <w:t>,</w:t>
      </w:r>
      <w:r w:rsidR="00394AD5" w:rsidRPr="00F0117E">
        <w:rPr>
          <w:lang w:val="uk-UA"/>
        </w:rPr>
        <w:t xml:space="preserve"> спрямованим лише на ухвалення рішення роботодавця</w:t>
      </w:r>
      <w:r w:rsidR="00E81B07" w:rsidRPr="00F0117E">
        <w:rPr>
          <w:lang w:val="uk-UA"/>
        </w:rPr>
        <w:t xml:space="preserve">. </w:t>
      </w:r>
      <w:r w:rsidR="00394AD5" w:rsidRPr="00F0117E">
        <w:rPr>
          <w:lang w:val="uk-UA"/>
        </w:rPr>
        <w:t>Вони здійснили неправильний аналіз фактичних аспектів справи</w:t>
      </w:r>
      <w:r w:rsidR="00E81B07" w:rsidRPr="00F0117E">
        <w:rPr>
          <w:lang w:val="uk-UA"/>
        </w:rPr>
        <w:t xml:space="preserve"> </w:t>
      </w:r>
      <w:r w:rsidR="00394AD5" w:rsidRPr="00F0117E">
        <w:rPr>
          <w:lang w:val="uk-UA"/>
        </w:rPr>
        <w:t>і не взяли до уваги конкретні особливості</w:t>
      </w:r>
      <w:r w:rsidR="00E81B07" w:rsidRPr="00F0117E">
        <w:rPr>
          <w:lang w:val="uk-UA"/>
        </w:rPr>
        <w:t xml:space="preserve"> </w:t>
      </w:r>
      <w:r w:rsidR="00394AD5" w:rsidRPr="00F0117E">
        <w:rPr>
          <w:lang w:val="uk-UA"/>
        </w:rPr>
        <w:t>спілкування у кіберпросторі</w:t>
      </w:r>
      <w:r w:rsidR="00E81B07" w:rsidRPr="00F0117E">
        <w:rPr>
          <w:lang w:val="uk-UA"/>
        </w:rPr>
        <w:t xml:space="preserve">. </w:t>
      </w:r>
      <w:r w:rsidR="00881D46" w:rsidRPr="00F0117E">
        <w:rPr>
          <w:lang w:val="uk-UA"/>
        </w:rPr>
        <w:t>Тому порушення права заявника на повагу</w:t>
      </w:r>
      <w:r w:rsidR="00E81B07" w:rsidRPr="00F0117E">
        <w:rPr>
          <w:lang w:val="uk-UA"/>
        </w:rPr>
        <w:t xml:space="preserve"> </w:t>
      </w:r>
      <w:r w:rsidR="00881D46" w:rsidRPr="00F0117E">
        <w:rPr>
          <w:lang w:val="uk-UA"/>
        </w:rPr>
        <w:t>до його приватного життя та кореспонденції</w:t>
      </w:r>
      <w:r w:rsidR="00E81B07" w:rsidRPr="00F0117E">
        <w:rPr>
          <w:lang w:val="uk-UA"/>
        </w:rPr>
        <w:t xml:space="preserve"> </w:t>
      </w:r>
      <w:r w:rsidR="00881D46" w:rsidRPr="00F0117E">
        <w:rPr>
          <w:lang w:val="uk-UA"/>
        </w:rPr>
        <w:t>було умисним та незаконним,</w:t>
      </w:r>
      <w:r w:rsidR="00E81B07" w:rsidRPr="00F0117E">
        <w:rPr>
          <w:lang w:val="uk-UA"/>
        </w:rPr>
        <w:t xml:space="preserve"> </w:t>
      </w:r>
      <w:r w:rsidR="00881D46" w:rsidRPr="00F0117E">
        <w:rPr>
          <w:lang w:val="uk-UA"/>
        </w:rPr>
        <w:t>його метою було зібрання даних,</w:t>
      </w:r>
      <w:r w:rsidR="00E81B07" w:rsidRPr="00F0117E">
        <w:rPr>
          <w:lang w:val="uk-UA"/>
        </w:rPr>
        <w:t xml:space="preserve"> </w:t>
      </w:r>
      <w:r w:rsidR="00881D46" w:rsidRPr="00F0117E">
        <w:rPr>
          <w:lang w:val="uk-UA"/>
        </w:rPr>
        <w:t>які б дозволили розірвати його контракт</w:t>
      </w:r>
      <w:r w:rsidR="00E81B07" w:rsidRPr="00F0117E">
        <w:rPr>
          <w:lang w:val="uk-UA"/>
        </w:rPr>
        <w:t>.</w:t>
      </w:r>
    </w:p>
    <w:bookmarkStart w:id="34" w:name="criminal_complaint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90</w:t>
      </w:r>
      <w:r w:rsidRPr="00F0117E">
        <w:rPr>
          <w:lang w:val="uk-UA"/>
        </w:rPr>
        <w:fldChar w:fldCharType="end"/>
      </w:r>
      <w:bookmarkEnd w:id="34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247310" w:rsidRPr="00F0117E">
        <w:rPr>
          <w:lang w:val="uk-UA"/>
        </w:rPr>
        <w:t>Нарешті, заявник скаржився уперше</w:t>
      </w:r>
      <w:r w:rsidR="00E81B07" w:rsidRPr="00F0117E">
        <w:rPr>
          <w:lang w:val="uk-UA"/>
        </w:rPr>
        <w:t xml:space="preserve"> </w:t>
      </w:r>
      <w:r w:rsidR="00247310" w:rsidRPr="00F0117E">
        <w:rPr>
          <w:lang w:val="uk-UA"/>
        </w:rPr>
        <w:t>у провадженнях у Великій Палаті</w:t>
      </w:r>
      <w:r w:rsidR="00E81B07" w:rsidRPr="00F0117E">
        <w:rPr>
          <w:lang w:val="uk-UA"/>
        </w:rPr>
        <w:t xml:space="preserve"> </w:t>
      </w:r>
      <w:r w:rsidR="00247310" w:rsidRPr="00F0117E">
        <w:rPr>
          <w:lang w:val="uk-UA"/>
        </w:rPr>
        <w:t>на результат скарги у кримінальному порядку, яку подав у</w:t>
      </w:r>
      <w:r w:rsidR="00E81B07" w:rsidRPr="00F0117E">
        <w:rPr>
          <w:lang w:val="uk-UA"/>
        </w:rPr>
        <w:t xml:space="preserve"> 2007</w:t>
      </w:r>
      <w:r w:rsidR="00247310" w:rsidRPr="00F0117E">
        <w:rPr>
          <w:lang w:val="uk-UA"/>
        </w:rPr>
        <w:t xml:space="preserve"> році</w:t>
      </w:r>
      <w:r w:rsidR="00E81B07" w:rsidRPr="00F0117E">
        <w:rPr>
          <w:lang w:val="uk-UA"/>
        </w:rPr>
        <w:t xml:space="preserve">: </w:t>
      </w:r>
      <w:r w:rsidR="00247310" w:rsidRPr="00F0117E">
        <w:rPr>
          <w:lang w:val="uk-UA"/>
        </w:rPr>
        <w:t>у</w:t>
      </w:r>
      <w:r w:rsidR="00E81B07" w:rsidRPr="00F0117E">
        <w:rPr>
          <w:lang w:val="uk-UA"/>
        </w:rPr>
        <w:t xml:space="preserve"> 2012 </w:t>
      </w:r>
      <w:r w:rsidR="00247310" w:rsidRPr="00F0117E">
        <w:rPr>
          <w:lang w:val="uk-UA"/>
        </w:rPr>
        <w:t>році відділення прокуратури, яке</w:t>
      </w:r>
      <w:r w:rsidR="00E81B07" w:rsidRPr="00F0117E">
        <w:rPr>
          <w:lang w:val="uk-UA"/>
        </w:rPr>
        <w:t xml:space="preserve"> </w:t>
      </w:r>
      <w:r w:rsidR="00247310" w:rsidRPr="00F0117E">
        <w:rPr>
          <w:lang w:val="uk-UA"/>
        </w:rPr>
        <w:t xml:space="preserve">відповідало за </w:t>
      </w:r>
      <w:r w:rsidR="00247310" w:rsidRPr="00F0117E">
        <w:rPr>
          <w:lang w:val="uk-UA"/>
        </w:rPr>
        <w:lastRenderedPageBreak/>
        <w:t>розслідування організованої злочинності</w:t>
      </w:r>
      <w:r w:rsidR="00E81B07" w:rsidRPr="00F0117E">
        <w:rPr>
          <w:lang w:val="uk-UA"/>
        </w:rPr>
        <w:t xml:space="preserve"> </w:t>
      </w:r>
      <w:r w:rsidR="00247310" w:rsidRPr="00F0117E">
        <w:rPr>
          <w:lang w:val="uk-UA"/>
        </w:rPr>
        <w:t>та тероризму</w:t>
      </w:r>
      <w:r w:rsidR="00E81B07" w:rsidRPr="00F0117E">
        <w:rPr>
          <w:lang w:val="uk-UA"/>
        </w:rPr>
        <w:t xml:space="preserve"> (</w:t>
      </w:r>
      <w:r w:rsidR="00247310" w:rsidRPr="00F0117E">
        <w:rPr>
          <w:lang w:val="uk-UA"/>
        </w:rPr>
        <w:t>УРОЗТ</w:t>
      </w:r>
      <w:r w:rsidR="00E81B07" w:rsidRPr="00F0117E">
        <w:rPr>
          <w:lang w:val="uk-UA"/>
        </w:rPr>
        <w:t xml:space="preserve">) </w:t>
      </w:r>
      <w:r w:rsidR="00247310" w:rsidRPr="00F0117E">
        <w:rPr>
          <w:lang w:val="uk-UA"/>
        </w:rPr>
        <w:t>відхилило його скаргу, не встановивши належним чином факти справи</w:t>
      </w:r>
      <w:r w:rsidR="00E81B07" w:rsidRPr="00F0117E">
        <w:rPr>
          <w:lang w:val="uk-UA"/>
        </w:rPr>
        <w:t>.</w:t>
      </w:r>
    </w:p>
    <w:bookmarkStart w:id="35" w:name="R_audience_divulguation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91</w:t>
      </w:r>
      <w:r w:rsidRPr="00F0117E">
        <w:rPr>
          <w:lang w:val="uk-UA"/>
        </w:rPr>
        <w:fldChar w:fldCharType="end"/>
      </w:r>
      <w:bookmarkEnd w:id="35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045D87" w:rsidRPr="00F0117E">
        <w:rPr>
          <w:lang w:val="uk-UA"/>
        </w:rPr>
        <w:t>На слуханні у Великій Палаті заявник стверджував, у відповідь</w:t>
      </w:r>
      <w:r w:rsidR="00E81B07" w:rsidRPr="00F0117E">
        <w:rPr>
          <w:lang w:val="uk-UA"/>
        </w:rPr>
        <w:t xml:space="preserve"> </w:t>
      </w:r>
      <w:r w:rsidR="00045D87" w:rsidRPr="00F0117E">
        <w:rPr>
          <w:lang w:val="uk-UA"/>
        </w:rPr>
        <w:t>на питання суддів</w:t>
      </w:r>
      <w:r w:rsidR="00E81B07" w:rsidRPr="00F0117E">
        <w:rPr>
          <w:lang w:val="uk-UA"/>
        </w:rPr>
        <w:t xml:space="preserve">, </w:t>
      </w:r>
      <w:r w:rsidR="00045D87" w:rsidRPr="00F0117E">
        <w:rPr>
          <w:lang w:val="uk-UA"/>
        </w:rPr>
        <w:t>що через те, що його роботодавець зробив лише один принтер доступним для працівників</w:t>
      </w:r>
      <w:r w:rsidR="00E81B07" w:rsidRPr="00F0117E">
        <w:rPr>
          <w:lang w:val="uk-UA"/>
        </w:rPr>
        <w:t xml:space="preserve">, </w:t>
      </w:r>
      <w:r w:rsidR="00045D87" w:rsidRPr="00F0117E">
        <w:rPr>
          <w:lang w:val="uk-UA"/>
        </w:rPr>
        <w:t>усі його колеги могли бачити зміст сорока п’яти сторінок розшифровки</w:t>
      </w:r>
      <w:r w:rsidR="00E81B07" w:rsidRPr="00F0117E">
        <w:rPr>
          <w:lang w:val="uk-UA"/>
        </w:rPr>
        <w:t xml:space="preserve"> </w:t>
      </w:r>
      <w:r w:rsidR="00045D87" w:rsidRPr="00F0117E">
        <w:rPr>
          <w:lang w:val="uk-UA"/>
        </w:rPr>
        <w:t>його переговорів за допомогою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92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045D87" w:rsidRPr="00F0117E">
        <w:rPr>
          <w:lang w:val="uk-UA"/>
        </w:rPr>
        <w:t>Заявник закликав Велику Палату виявити порушення</w:t>
      </w:r>
      <w:r w:rsidR="00E81B07" w:rsidRPr="00F0117E">
        <w:rPr>
          <w:lang w:val="uk-UA"/>
        </w:rPr>
        <w:t xml:space="preserve"> </w:t>
      </w:r>
      <w:r w:rsidR="00045D87" w:rsidRPr="00F0117E">
        <w:rPr>
          <w:lang w:val="uk-UA"/>
        </w:rPr>
        <w:t>статті 8 Конвенції</w:t>
      </w:r>
      <w:r w:rsidR="00E81B07" w:rsidRPr="00F0117E">
        <w:rPr>
          <w:lang w:val="uk-UA"/>
        </w:rPr>
        <w:t xml:space="preserve"> </w:t>
      </w:r>
      <w:r w:rsidR="00045D87" w:rsidRPr="00F0117E">
        <w:rPr>
          <w:lang w:val="uk-UA"/>
        </w:rPr>
        <w:t>та скористатися можливістю підтвердити,</w:t>
      </w:r>
      <w:r w:rsidR="00E81B07" w:rsidRPr="00F0117E">
        <w:rPr>
          <w:lang w:val="uk-UA"/>
        </w:rPr>
        <w:t xml:space="preserve"> </w:t>
      </w:r>
      <w:r w:rsidR="00045D87" w:rsidRPr="00F0117E">
        <w:rPr>
          <w:lang w:val="uk-UA"/>
        </w:rPr>
        <w:t>що моніторинг кореспонденції працівників</w:t>
      </w:r>
      <w:r w:rsidR="00E81B07" w:rsidRPr="00F0117E">
        <w:rPr>
          <w:lang w:val="uk-UA"/>
        </w:rPr>
        <w:t xml:space="preserve"> </w:t>
      </w:r>
      <w:r w:rsidR="00045D87" w:rsidRPr="00F0117E">
        <w:rPr>
          <w:lang w:val="uk-UA"/>
        </w:rPr>
        <w:t>міг здійснюватися лише у відповідності з застосовним законодавством</w:t>
      </w:r>
      <w:r w:rsidR="00E81B07" w:rsidRPr="00F0117E">
        <w:rPr>
          <w:lang w:val="uk-UA"/>
        </w:rPr>
        <w:t xml:space="preserve">, </w:t>
      </w:r>
      <w:r w:rsidR="00045D87" w:rsidRPr="00F0117E">
        <w:rPr>
          <w:lang w:val="uk-UA"/>
        </w:rPr>
        <w:t xml:space="preserve">у </w:t>
      </w:r>
      <w:proofErr w:type="spellStart"/>
      <w:r w:rsidR="00045D87" w:rsidRPr="00F0117E">
        <w:rPr>
          <w:lang w:val="uk-UA"/>
        </w:rPr>
        <w:t>транспарентний</w:t>
      </w:r>
      <w:proofErr w:type="spellEnd"/>
      <w:r w:rsidR="00045D87" w:rsidRPr="00F0117E">
        <w:rPr>
          <w:lang w:val="uk-UA"/>
        </w:rPr>
        <w:t xml:space="preserve"> манер</w:t>
      </w:r>
      <w:r w:rsidR="00E81B07" w:rsidRPr="00F0117E">
        <w:rPr>
          <w:lang w:val="uk-UA"/>
        </w:rPr>
        <w:t xml:space="preserve"> </w:t>
      </w:r>
      <w:r w:rsidR="00045D87" w:rsidRPr="00F0117E">
        <w:rPr>
          <w:lang w:val="uk-UA"/>
        </w:rPr>
        <w:t>та на підставах, передбачених законодавством</w:t>
      </w:r>
      <w:r w:rsidR="00E81B07" w:rsidRPr="00F0117E">
        <w:rPr>
          <w:lang w:val="uk-UA"/>
        </w:rPr>
        <w:t xml:space="preserve">, </w:t>
      </w:r>
      <w:r w:rsidR="00045D87" w:rsidRPr="00F0117E">
        <w:rPr>
          <w:lang w:val="uk-UA"/>
        </w:rPr>
        <w:t>і що роботодавці не мали свободи розсуду</w:t>
      </w:r>
      <w:r w:rsidR="00E81B07" w:rsidRPr="00F0117E">
        <w:rPr>
          <w:lang w:val="uk-UA"/>
        </w:rPr>
        <w:t xml:space="preserve"> </w:t>
      </w:r>
      <w:r w:rsidR="00045D87" w:rsidRPr="00F0117E">
        <w:rPr>
          <w:lang w:val="uk-UA"/>
        </w:rPr>
        <w:t>для моніторингу кореспонденції працівників</w:t>
      </w:r>
      <w:r w:rsidR="00E81B07" w:rsidRPr="00F0117E">
        <w:rPr>
          <w:lang w:val="uk-UA"/>
        </w:rPr>
        <w:t>.</w:t>
      </w:r>
    </w:p>
    <w:p w:rsidR="00E81B07" w:rsidRPr="00F0117E" w:rsidRDefault="00E81B07" w:rsidP="008B2B31">
      <w:pPr>
        <w:pStyle w:val="ECHRHeading4"/>
        <w:rPr>
          <w:lang w:val="uk-UA"/>
        </w:rPr>
      </w:pPr>
      <w:r w:rsidRPr="00F0117E">
        <w:rPr>
          <w:lang w:val="uk-UA"/>
        </w:rPr>
        <w:t>(b)</w:t>
      </w:r>
      <w:r w:rsidR="00FA6D4F" w:rsidRPr="00F0117E">
        <w:rPr>
          <w:lang w:val="uk-UA"/>
        </w:rPr>
        <w:t xml:space="preserve"> </w:t>
      </w:r>
      <w:r w:rsidR="001C02AD" w:rsidRPr="00F0117E">
        <w:rPr>
          <w:lang w:val="uk-UA"/>
        </w:rPr>
        <w:t>Уряд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93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1C02AD" w:rsidRPr="00F0117E">
        <w:rPr>
          <w:lang w:val="uk-UA"/>
        </w:rPr>
        <w:t>Уряд стверджував, що роботодавець записав</w:t>
      </w:r>
      <w:r w:rsidR="00E81B07" w:rsidRPr="00F0117E">
        <w:rPr>
          <w:lang w:val="uk-UA"/>
        </w:rPr>
        <w:t xml:space="preserve"> </w:t>
      </w:r>
      <w:r w:rsidR="001C02AD" w:rsidRPr="00F0117E">
        <w:rPr>
          <w:lang w:val="uk-UA"/>
        </w:rPr>
        <w:t>розмови працівника з</w:t>
      </w:r>
      <w:r w:rsidR="00E81B07" w:rsidRPr="00F0117E">
        <w:rPr>
          <w:lang w:val="uk-UA"/>
        </w:rPr>
        <w:t xml:space="preserve"> 5 </w:t>
      </w:r>
      <w:r w:rsidR="001C02AD" w:rsidRPr="00F0117E">
        <w:rPr>
          <w:lang w:val="uk-UA"/>
        </w:rPr>
        <w:t>до</w:t>
      </w:r>
      <w:r w:rsidR="00E81B07" w:rsidRPr="00F0117E">
        <w:rPr>
          <w:lang w:val="uk-UA"/>
        </w:rPr>
        <w:t xml:space="preserve"> 13 </w:t>
      </w:r>
      <w:r w:rsidR="001C02AD" w:rsidRPr="00F0117E">
        <w:rPr>
          <w:lang w:val="uk-UA"/>
        </w:rPr>
        <w:t>липня</w:t>
      </w:r>
      <w:r w:rsidR="00E81B07" w:rsidRPr="00F0117E">
        <w:rPr>
          <w:lang w:val="uk-UA"/>
        </w:rPr>
        <w:t xml:space="preserve"> 2007 </w:t>
      </w:r>
      <w:r w:rsidR="001C02AD" w:rsidRPr="00F0117E">
        <w:rPr>
          <w:lang w:val="uk-UA"/>
        </w:rPr>
        <w:t>року та дав йому можливість звітувати</w:t>
      </w:r>
      <w:r w:rsidR="00E81B07" w:rsidRPr="00F0117E">
        <w:rPr>
          <w:lang w:val="uk-UA"/>
        </w:rPr>
        <w:t xml:space="preserve"> </w:t>
      </w:r>
      <w:r w:rsidR="001C02AD" w:rsidRPr="00F0117E">
        <w:rPr>
          <w:lang w:val="uk-UA"/>
        </w:rPr>
        <w:t>про користування інтернетом</w:t>
      </w:r>
      <w:r w:rsidR="00E81B07" w:rsidRPr="00F0117E">
        <w:rPr>
          <w:lang w:val="uk-UA"/>
        </w:rPr>
        <w:t xml:space="preserve">, </w:t>
      </w:r>
      <w:r w:rsidR="001C02AD" w:rsidRPr="00F0117E">
        <w:rPr>
          <w:lang w:val="uk-UA"/>
        </w:rPr>
        <w:t>яке було значнішим, ніж у його співробітників</w:t>
      </w:r>
      <w:r w:rsidR="00E81B07" w:rsidRPr="00F0117E">
        <w:rPr>
          <w:lang w:val="uk-UA"/>
        </w:rPr>
        <w:t xml:space="preserve">. </w:t>
      </w:r>
      <w:r w:rsidR="001C02AD" w:rsidRPr="00F0117E">
        <w:rPr>
          <w:lang w:val="uk-UA"/>
        </w:rPr>
        <w:t>Уряд зауважив, що оскільки заявник наполягав</w:t>
      </w:r>
      <w:r w:rsidR="00E81B07" w:rsidRPr="00F0117E">
        <w:rPr>
          <w:lang w:val="uk-UA"/>
        </w:rPr>
        <w:t xml:space="preserve"> </w:t>
      </w:r>
      <w:r w:rsidR="001C02AD" w:rsidRPr="00F0117E">
        <w:rPr>
          <w:lang w:val="uk-UA"/>
        </w:rPr>
        <w:t>на тому, що зміст його повідомлень відносився лише до роботи</w:t>
      </w:r>
      <w:r w:rsidR="00E81B07" w:rsidRPr="00F0117E">
        <w:rPr>
          <w:lang w:val="uk-UA"/>
        </w:rPr>
        <w:t xml:space="preserve">, </w:t>
      </w:r>
      <w:r w:rsidR="001C02AD" w:rsidRPr="00F0117E">
        <w:rPr>
          <w:lang w:val="uk-UA"/>
        </w:rPr>
        <w:t>роботодавець розслідував його пояснення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94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1C02AD" w:rsidRPr="00F0117E">
        <w:rPr>
          <w:lang w:val="uk-UA"/>
        </w:rPr>
        <w:t>Уряд стверджував, що у своїй апеляції</w:t>
      </w:r>
      <w:r w:rsidR="00E81B07" w:rsidRPr="00F0117E">
        <w:rPr>
          <w:lang w:val="uk-UA"/>
        </w:rPr>
        <w:t xml:space="preserve"> </w:t>
      </w:r>
      <w:r w:rsidR="001C02AD" w:rsidRPr="00F0117E">
        <w:rPr>
          <w:lang w:val="uk-UA"/>
        </w:rPr>
        <w:t>проти рішення суду першої інстанції</w:t>
      </w:r>
      <w:r w:rsidR="00E81B07" w:rsidRPr="00F0117E">
        <w:rPr>
          <w:lang w:val="uk-UA"/>
        </w:rPr>
        <w:t xml:space="preserve"> </w:t>
      </w:r>
      <w:r w:rsidR="001C02AD" w:rsidRPr="00F0117E">
        <w:rPr>
          <w:lang w:val="uk-UA"/>
        </w:rPr>
        <w:t>заявник не опротестував висновок суду про те,</w:t>
      </w:r>
      <w:r w:rsidR="00E81B07" w:rsidRPr="00F0117E">
        <w:rPr>
          <w:lang w:val="uk-UA"/>
        </w:rPr>
        <w:t xml:space="preserve"> </w:t>
      </w:r>
      <w:r w:rsidR="001C02AD" w:rsidRPr="00F0117E">
        <w:rPr>
          <w:lang w:val="uk-UA"/>
        </w:rPr>
        <w:t>що він був проінформований</w:t>
      </w:r>
      <w:r w:rsidR="00E81B07" w:rsidRPr="00F0117E">
        <w:rPr>
          <w:lang w:val="uk-UA"/>
        </w:rPr>
        <w:t xml:space="preserve"> </w:t>
      </w:r>
      <w:r w:rsidR="001C02AD" w:rsidRPr="00F0117E">
        <w:rPr>
          <w:lang w:val="uk-UA"/>
        </w:rPr>
        <w:t>про здійснення роботодавцем моніторингу користування інтернетом</w:t>
      </w:r>
      <w:r w:rsidR="00E81B07" w:rsidRPr="00F0117E">
        <w:rPr>
          <w:lang w:val="uk-UA"/>
        </w:rPr>
        <w:t xml:space="preserve">. </w:t>
      </w:r>
      <w:r w:rsidR="00765A33" w:rsidRPr="00F0117E">
        <w:rPr>
          <w:lang w:val="uk-UA"/>
        </w:rPr>
        <w:t>У цьому зв’язку Уряд надав копію інформаційного повідомлення,</w:t>
      </w:r>
      <w:r w:rsidR="00E81B07" w:rsidRPr="00F0117E">
        <w:rPr>
          <w:lang w:val="uk-UA"/>
        </w:rPr>
        <w:t xml:space="preserve"> </w:t>
      </w:r>
      <w:r w:rsidR="00765A33" w:rsidRPr="00F0117E">
        <w:rPr>
          <w:lang w:val="uk-UA"/>
        </w:rPr>
        <w:t>виданого роботодавцем та підписаного заявником</w:t>
      </w:r>
      <w:r w:rsidR="00E81B07" w:rsidRPr="00F0117E">
        <w:rPr>
          <w:lang w:val="uk-UA"/>
        </w:rPr>
        <w:t xml:space="preserve">. </w:t>
      </w:r>
      <w:r w:rsidR="00765A33" w:rsidRPr="00F0117E">
        <w:rPr>
          <w:lang w:val="uk-UA"/>
        </w:rPr>
        <w:t>На підставі реєстру відвідування роботодавця</w:t>
      </w:r>
      <w:r w:rsidR="00E81B07" w:rsidRPr="00F0117E">
        <w:rPr>
          <w:lang w:val="uk-UA"/>
        </w:rPr>
        <w:t xml:space="preserve"> </w:t>
      </w:r>
      <w:r w:rsidR="00765A33" w:rsidRPr="00F0117E">
        <w:rPr>
          <w:lang w:val="uk-UA"/>
        </w:rPr>
        <w:t>Уряд зауважив, що заявник підписав повідомлення у період з</w:t>
      </w:r>
      <w:r w:rsidR="00E81B07" w:rsidRPr="00F0117E">
        <w:rPr>
          <w:lang w:val="uk-UA"/>
        </w:rPr>
        <w:t xml:space="preserve"> 3 </w:t>
      </w:r>
      <w:r w:rsidR="00765A33" w:rsidRPr="00F0117E">
        <w:rPr>
          <w:lang w:val="uk-UA"/>
        </w:rPr>
        <w:t>до 13 липня</w:t>
      </w:r>
      <w:r w:rsidR="00E81B07" w:rsidRPr="00F0117E">
        <w:rPr>
          <w:lang w:val="uk-UA"/>
        </w:rPr>
        <w:t xml:space="preserve"> 2007</w:t>
      </w:r>
      <w:r w:rsidR="00765A33" w:rsidRPr="00F0117E">
        <w:rPr>
          <w:lang w:val="uk-UA"/>
        </w:rPr>
        <w:t xml:space="preserve"> року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95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765A33" w:rsidRPr="00F0117E">
        <w:rPr>
          <w:lang w:val="uk-UA"/>
        </w:rPr>
        <w:t>Уряд також стверджував, що роботодавець записував розмови заявника у режимі реального часу</w:t>
      </w:r>
      <w:r w:rsidR="00E81B07" w:rsidRPr="00F0117E">
        <w:rPr>
          <w:lang w:val="uk-UA"/>
        </w:rPr>
        <w:t xml:space="preserve">. </w:t>
      </w:r>
      <w:r w:rsidR="00765A33" w:rsidRPr="00F0117E">
        <w:rPr>
          <w:lang w:val="uk-UA"/>
        </w:rPr>
        <w:t>Не було доказів того, що роботодавець мав доступ</w:t>
      </w:r>
      <w:r w:rsidR="00E81B07" w:rsidRPr="00F0117E">
        <w:rPr>
          <w:lang w:val="uk-UA"/>
        </w:rPr>
        <w:t xml:space="preserve"> </w:t>
      </w:r>
      <w:r w:rsidR="00765A33" w:rsidRPr="00F0117E">
        <w:rPr>
          <w:lang w:val="uk-UA"/>
        </w:rPr>
        <w:t>до попередніх розмов заявника</w:t>
      </w:r>
      <w:r w:rsidR="00E81B07" w:rsidRPr="00F0117E">
        <w:rPr>
          <w:lang w:val="uk-UA"/>
        </w:rPr>
        <w:t xml:space="preserve"> </w:t>
      </w:r>
      <w:r w:rsidR="00765A33" w:rsidRPr="00F0117E">
        <w:rPr>
          <w:lang w:val="uk-UA"/>
        </w:rPr>
        <w:t>або його приватної електронної пошти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96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765A33" w:rsidRPr="00F0117E">
        <w:rPr>
          <w:lang w:val="uk-UA"/>
        </w:rPr>
        <w:t>Уряд указав на свою згоду з висновками Палати</w:t>
      </w:r>
      <w:r w:rsidR="00E81B07" w:rsidRPr="00F0117E">
        <w:rPr>
          <w:lang w:val="uk-UA"/>
        </w:rPr>
        <w:t xml:space="preserve"> </w:t>
      </w:r>
      <w:r w:rsidR="00765A33" w:rsidRPr="00F0117E">
        <w:rPr>
          <w:lang w:val="uk-UA"/>
        </w:rPr>
        <w:t>та стверджував, що Румунська держава</w:t>
      </w:r>
      <w:r w:rsidR="00E81B07" w:rsidRPr="00F0117E">
        <w:rPr>
          <w:lang w:val="uk-UA"/>
        </w:rPr>
        <w:t xml:space="preserve"> </w:t>
      </w:r>
      <w:r w:rsidR="00765A33" w:rsidRPr="00F0117E">
        <w:rPr>
          <w:lang w:val="uk-UA"/>
        </w:rPr>
        <w:t>виконала своє позитивне зобов’язання відповідно до статті 8 Конвенції</w:t>
      </w:r>
      <w:r w:rsidR="00E81B07" w:rsidRPr="00F0117E">
        <w:rPr>
          <w:lang w:val="uk-UA"/>
        </w:rPr>
        <w:t>.</w:t>
      </w:r>
    </w:p>
    <w:bookmarkStart w:id="36" w:name="obs_gouv_voies_recours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97</w:t>
      </w:r>
      <w:r w:rsidRPr="00F0117E">
        <w:rPr>
          <w:lang w:val="uk-UA"/>
        </w:rPr>
        <w:fldChar w:fldCharType="end"/>
      </w:r>
      <w:bookmarkEnd w:id="36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765A33" w:rsidRPr="00F0117E">
        <w:rPr>
          <w:lang w:val="uk-UA"/>
        </w:rPr>
        <w:t>По-перше, Уряд зауважив, що заявник вирішив звернутися зі своїми скаргами до національних судів</w:t>
      </w:r>
      <w:r w:rsidR="00E81B07" w:rsidRPr="00F0117E">
        <w:rPr>
          <w:lang w:val="uk-UA"/>
        </w:rPr>
        <w:t xml:space="preserve"> </w:t>
      </w:r>
      <w:r w:rsidR="00765A33" w:rsidRPr="00F0117E">
        <w:rPr>
          <w:lang w:val="uk-UA"/>
        </w:rPr>
        <w:t>у контексті спора про трудове законодавство</w:t>
      </w:r>
      <w:r w:rsidR="00E81B07" w:rsidRPr="00F0117E">
        <w:rPr>
          <w:lang w:val="uk-UA"/>
        </w:rPr>
        <w:t xml:space="preserve">. </w:t>
      </w:r>
      <w:r w:rsidR="00765A33" w:rsidRPr="00F0117E">
        <w:rPr>
          <w:lang w:val="uk-UA"/>
        </w:rPr>
        <w:t>Суди розглянули всі його скарги та зважили усі зацікавлені інтереси</w:t>
      </w:r>
      <w:r w:rsidR="00E81B07" w:rsidRPr="00F0117E">
        <w:rPr>
          <w:lang w:val="uk-UA"/>
        </w:rPr>
        <w:t xml:space="preserve">, </w:t>
      </w:r>
      <w:r w:rsidR="00765A33" w:rsidRPr="00F0117E">
        <w:rPr>
          <w:lang w:val="uk-UA"/>
        </w:rPr>
        <w:t>але центр їх аналізу полягав у тому,</w:t>
      </w:r>
      <w:r w:rsidR="00E81B07" w:rsidRPr="00F0117E">
        <w:rPr>
          <w:lang w:val="uk-UA"/>
        </w:rPr>
        <w:t xml:space="preserve"> </w:t>
      </w:r>
      <w:r w:rsidR="00765A33" w:rsidRPr="00F0117E">
        <w:rPr>
          <w:lang w:val="uk-UA"/>
        </w:rPr>
        <w:t>чи відповідали дисциплінарні провадження проти заявника</w:t>
      </w:r>
      <w:r w:rsidR="00E81B07" w:rsidRPr="00F0117E">
        <w:rPr>
          <w:lang w:val="uk-UA"/>
        </w:rPr>
        <w:t xml:space="preserve"> </w:t>
      </w:r>
      <w:r w:rsidR="00765A33" w:rsidRPr="00F0117E">
        <w:rPr>
          <w:lang w:val="uk-UA"/>
        </w:rPr>
        <w:t>національному законодавству</w:t>
      </w:r>
      <w:r w:rsidR="00E81B07" w:rsidRPr="00F0117E">
        <w:rPr>
          <w:lang w:val="uk-UA"/>
        </w:rPr>
        <w:t xml:space="preserve">. </w:t>
      </w:r>
      <w:r w:rsidR="00765A33" w:rsidRPr="00F0117E">
        <w:rPr>
          <w:lang w:val="uk-UA"/>
        </w:rPr>
        <w:t>Заявник мав можливість висунути в національних судах</w:t>
      </w:r>
      <w:r w:rsidR="00E81B07" w:rsidRPr="00F0117E">
        <w:rPr>
          <w:lang w:val="uk-UA"/>
        </w:rPr>
        <w:t xml:space="preserve"> </w:t>
      </w:r>
      <w:r w:rsidR="00765A33" w:rsidRPr="00F0117E">
        <w:rPr>
          <w:lang w:val="uk-UA"/>
        </w:rPr>
        <w:t>свою конкретну скаргу на порушення його права</w:t>
      </w:r>
      <w:r w:rsidR="00E81B07" w:rsidRPr="00F0117E">
        <w:rPr>
          <w:lang w:val="uk-UA"/>
        </w:rPr>
        <w:t xml:space="preserve"> </w:t>
      </w:r>
      <w:r w:rsidR="00765A33" w:rsidRPr="00F0117E">
        <w:rPr>
          <w:lang w:val="uk-UA"/>
        </w:rPr>
        <w:t>на повагу до приватного життя</w:t>
      </w:r>
      <w:r w:rsidR="00E81B07" w:rsidRPr="00F0117E">
        <w:rPr>
          <w:lang w:val="uk-UA"/>
        </w:rPr>
        <w:t xml:space="preserve">, </w:t>
      </w:r>
      <w:r w:rsidR="00765A33" w:rsidRPr="00F0117E">
        <w:rPr>
          <w:lang w:val="uk-UA"/>
        </w:rPr>
        <w:t xml:space="preserve">наприклад, шляхом дії відповідно до </w:t>
      </w:r>
      <w:r w:rsidR="00765A33" w:rsidRPr="00F0117E">
        <w:rPr>
          <w:lang w:val="uk-UA"/>
        </w:rPr>
        <w:lastRenderedPageBreak/>
        <w:t>Закону №</w:t>
      </w:r>
      <w:r w:rsidR="00E81B07" w:rsidRPr="00F0117E">
        <w:rPr>
          <w:lang w:val="uk-UA"/>
        </w:rPr>
        <w:t xml:space="preserve"> 677/2001 </w:t>
      </w:r>
      <w:r w:rsidR="00765A33" w:rsidRPr="00F0117E">
        <w:rPr>
          <w:lang w:val="uk-UA"/>
        </w:rPr>
        <w:t>або деліктного позову</w:t>
      </w:r>
      <w:r w:rsidR="00E81B07" w:rsidRPr="00F0117E">
        <w:rPr>
          <w:lang w:val="uk-UA"/>
        </w:rPr>
        <w:t xml:space="preserve">, </w:t>
      </w:r>
      <w:r w:rsidR="00765A33" w:rsidRPr="00F0117E">
        <w:rPr>
          <w:lang w:val="uk-UA"/>
        </w:rPr>
        <w:t>але він обрав не робити це</w:t>
      </w:r>
      <w:r w:rsidR="00E81B07" w:rsidRPr="00F0117E">
        <w:rPr>
          <w:lang w:val="uk-UA"/>
        </w:rPr>
        <w:t xml:space="preserve">. </w:t>
      </w:r>
      <w:r w:rsidR="00765A33" w:rsidRPr="00F0117E">
        <w:rPr>
          <w:lang w:val="uk-UA"/>
        </w:rPr>
        <w:t>Він також подав скаргу у кримінальному порядку</w:t>
      </w:r>
      <w:r w:rsidR="00E81B07" w:rsidRPr="00F0117E">
        <w:rPr>
          <w:lang w:val="uk-UA"/>
        </w:rPr>
        <w:t xml:space="preserve">, </w:t>
      </w:r>
      <w:r w:rsidR="00765A33" w:rsidRPr="00F0117E">
        <w:rPr>
          <w:lang w:val="uk-UA"/>
        </w:rPr>
        <w:t>яка призвела до рішення прокуратури</w:t>
      </w:r>
      <w:r w:rsidR="00E81B07" w:rsidRPr="00F0117E">
        <w:rPr>
          <w:lang w:val="uk-UA"/>
        </w:rPr>
        <w:t xml:space="preserve"> </w:t>
      </w:r>
      <w:r w:rsidR="00765A33" w:rsidRPr="00F0117E">
        <w:rPr>
          <w:lang w:val="uk-UA"/>
        </w:rPr>
        <w:t>про відмову в подальших діях,</w:t>
      </w:r>
      <w:r w:rsidR="00E81B07" w:rsidRPr="00F0117E">
        <w:rPr>
          <w:lang w:val="uk-UA"/>
        </w:rPr>
        <w:t xml:space="preserve"> </w:t>
      </w:r>
      <w:r w:rsidR="00765A33" w:rsidRPr="00F0117E">
        <w:rPr>
          <w:lang w:val="uk-UA"/>
        </w:rPr>
        <w:t>на підставі того, що моніторинг розмов заявника з боку роботодавця</w:t>
      </w:r>
      <w:r w:rsidR="00E81B07" w:rsidRPr="00F0117E">
        <w:rPr>
          <w:lang w:val="uk-UA"/>
        </w:rPr>
        <w:t xml:space="preserve"> </w:t>
      </w:r>
      <w:r w:rsidR="00765A33" w:rsidRPr="00F0117E">
        <w:rPr>
          <w:lang w:val="uk-UA"/>
        </w:rPr>
        <w:t>не був незаконним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98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8B7B98" w:rsidRPr="00F0117E">
        <w:rPr>
          <w:lang w:val="uk-UA"/>
        </w:rPr>
        <w:t>Посилаючись більш конкретно на позитивні зобов’язання держави</w:t>
      </w:r>
      <w:r w:rsidR="00E81B07" w:rsidRPr="00F0117E">
        <w:rPr>
          <w:lang w:val="uk-UA"/>
        </w:rPr>
        <w:t xml:space="preserve">, </w:t>
      </w:r>
      <w:r w:rsidR="008B7B98" w:rsidRPr="00F0117E">
        <w:rPr>
          <w:lang w:val="uk-UA"/>
        </w:rPr>
        <w:t>Уряд стверджував, що підходи держав-членів Ради Європи</w:t>
      </w:r>
      <w:r w:rsidR="00E81B07" w:rsidRPr="00F0117E">
        <w:rPr>
          <w:lang w:val="uk-UA"/>
        </w:rPr>
        <w:t xml:space="preserve"> </w:t>
      </w:r>
      <w:r w:rsidR="008B7B98" w:rsidRPr="00F0117E">
        <w:rPr>
          <w:lang w:val="uk-UA"/>
        </w:rPr>
        <w:t>значно відрізнялися один від одного</w:t>
      </w:r>
      <w:r w:rsidR="00E81B07" w:rsidRPr="00F0117E">
        <w:rPr>
          <w:lang w:val="uk-UA"/>
        </w:rPr>
        <w:t xml:space="preserve"> </w:t>
      </w:r>
      <w:r w:rsidR="008B7B98" w:rsidRPr="00F0117E">
        <w:rPr>
          <w:lang w:val="uk-UA"/>
        </w:rPr>
        <w:t>в тому, що стосується регулювання моніторингу роботодавцями працівників</w:t>
      </w:r>
      <w:r w:rsidR="00E81B07" w:rsidRPr="00F0117E">
        <w:rPr>
          <w:lang w:val="uk-UA"/>
        </w:rPr>
        <w:t xml:space="preserve">. </w:t>
      </w:r>
      <w:r w:rsidR="008B7B98" w:rsidRPr="00F0117E">
        <w:rPr>
          <w:lang w:val="uk-UA"/>
        </w:rPr>
        <w:t>Деякі держави включили це питання</w:t>
      </w:r>
      <w:r w:rsidR="00E81B07" w:rsidRPr="00F0117E">
        <w:rPr>
          <w:lang w:val="uk-UA"/>
        </w:rPr>
        <w:t xml:space="preserve"> </w:t>
      </w:r>
      <w:r w:rsidR="008B7B98" w:rsidRPr="00F0117E">
        <w:rPr>
          <w:lang w:val="uk-UA"/>
        </w:rPr>
        <w:t>у більш широкий обсяг опрацювання персональних даних</w:t>
      </w:r>
      <w:r w:rsidR="00E81B07" w:rsidRPr="00F0117E">
        <w:rPr>
          <w:lang w:val="uk-UA"/>
        </w:rPr>
        <w:t xml:space="preserve">, </w:t>
      </w:r>
      <w:r w:rsidR="008B7B98" w:rsidRPr="00F0117E">
        <w:rPr>
          <w:lang w:val="uk-UA"/>
        </w:rPr>
        <w:t>у той час як інші прийняли конкретне законодавство</w:t>
      </w:r>
      <w:r w:rsidR="00E81B07" w:rsidRPr="00F0117E">
        <w:rPr>
          <w:lang w:val="uk-UA"/>
        </w:rPr>
        <w:t xml:space="preserve"> </w:t>
      </w:r>
      <w:r w:rsidR="008B7B98" w:rsidRPr="00F0117E">
        <w:rPr>
          <w:lang w:val="uk-UA"/>
        </w:rPr>
        <w:t>у цій галузі</w:t>
      </w:r>
      <w:r w:rsidR="00E81B07" w:rsidRPr="00F0117E">
        <w:rPr>
          <w:lang w:val="uk-UA"/>
        </w:rPr>
        <w:t xml:space="preserve">. </w:t>
      </w:r>
      <w:r w:rsidR="008B7B98" w:rsidRPr="00F0117E">
        <w:rPr>
          <w:lang w:val="uk-UA"/>
        </w:rPr>
        <w:t>Навіть серед другої групи держав не існує єдин</w:t>
      </w:r>
      <w:r w:rsidR="00E97EDD">
        <w:rPr>
          <w:lang w:val="uk-UA"/>
        </w:rPr>
        <w:t>ого</w:t>
      </w:r>
      <w:r w:rsidR="008B7B98" w:rsidRPr="00F0117E">
        <w:rPr>
          <w:lang w:val="uk-UA"/>
        </w:rPr>
        <w:t xml:space="preserve"> рішення</w:t>
      </w:r>
      <w:r w:rsidR="00E81B07" w:rsidRPr="00F0117E">
        <w:rPr>
          <w:lang w:val="uk-UA"/>
        </w:rPr>
        <w:t xml:space="preserve"> </w:t>
      </w:r>
      <w:r w:rsidR="008B7B98" w:rsidRPr="00F0117E">
        <w:rPr>
          <w:lang w:val="uk-UA"/>
        </w:rPr>
        <w:t>щодо обсягу та цілі моніторингу, який здійснює роботодавець</w:t>
      </w:r>
      <w:r w:rsidR="00E81B07" w:rsidRPr="00F0117E">
        <w:rPr>
          <w:lang w:val="uk-UA"/>
        </w:rPr>
        <w:t xml:space="preserve">, </w:t>
      </w:r>
      <w:r w:rsidR="006D3E41" w:rsidRPr="00F0117E">
        <w:rPr>
          <w:lang w:val="uk-UA"/>
        </w:rPr>
        <w:t>попереднього повідомлення працівників або використання інтернету в особистих цілях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99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CE4D6A" w:rsidRPr="00F0117E">
        <w:rPr>
          <w:lang w:val="uk-UA"/>
        </w:rPr>
        <w:t>Спираючись на справу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K</w:t>
      </w:r>
      <w:r w:rsidR="00E81B07" w:rsidRPr="00F0117E">
        <w:rPr>
          <w:rFonts w:cstheme="minorHAnsi"/>
          <w:i/>
          <w:lang w:val="uk-UA"/>
        </w:rPr>
        <w:t>ö</w:t>
      </w:r>
      <w:r w:rsidR="00E81B07" w:rsidRPr="00F0117E">
        <w:rPr>
          <w:i/>
          <w:lang w:val="uk-UA"/>
        </w:rPr>
        <w:t>pke</w:t>
      </w:r>
      <w:proofErr w:type="spellEnd"/>
      <w:r w:rsidR="00E81B07" w:rsidRPr="00F0117E">
        <w:rPr>
          <w:i/>
          <w:lang w:val="uk-UA"/>
        </w:rPr>
        <w:t xml:space="preserve"> </w:t>
      </w:r>
      <w:r w:rsidR="00E81B07" w:rsidRPr="00F0117E">
        <w:rPr>
          <w:lang w:val="uk-UA"/>
        </w:rPr>
        <w:t>(</w:t>
      </w:r>
      <w:proofErr w:type="spellStart"/>
      <w:r w:rsidR="00CE4D6A" w:rsidRPr="00F0117E">
        <w:rPr>
          <w:lang w:val="uk-UA"/>
        </w:rPr>
        <w:t>цит</w:t>
      </w:r>
      <w:proofErr w:type="spellEnd"/>
      <w:r w:rsidR="00CE4D6A" w:rsidRPr="00F0117E">
        <w:rPr>
          <w:lang w:val="uk-UA"/>
        </w:rPr>
        <w:t>. вище</w:t>
      </w:r>
      <w:r w:rsidR="00E81B07" w:rsidRPr="00F0117E">
        <w:rPr>
          <w:lang w:val="uk-UA"/>
        </w:rPr>
        <w:t xml:space="preserve">), </w:t>
      </w:r>
      <w:r w:rsidR="00CE4D6A" w:rsidRPr="00F0117E">
        <w:rPr>
          <w:lang w:val="uk-UA"/>
        </w:rPr>
        <w:t>Уряд наполягав, що національні суди</w:t>
      </w:r>
      <w:r w:rsidR="00E81B07" w:rsidRPr="00F0117E">
        <w:rPr>
          <w:lang w:val="uk-UA"/>
        </w:rPr>
        <w:t xml:space="preserve"> </w:t>
      </w:r>
      <w:r w:rsidR="00CE4D6A" w:rsidRPr="00F0117E">
        <w:rPr>
          <w:lang w:val="uk-UA"/>
        </w:rPr>
        <w:t>досягли належного балансу між</w:t>
      </w:r>
      <w:r w:rsidR="00E81B07" w:rsidRPr="00F0117E">
        <w:rPr>
          <w:lang w:val="uk-UA"/>
        </w:rPr>
        <w:t xml:space="preserve"> </w:t>
      </w:r>
      <w:r w:rsidR="00CE4D6A" w:rsidRPr="00F0117E">
        <w:rPr>
          <w:lang w:val="uk-UA"/>
        </w:rPr>
        <w:t>правом заявника на повагу до приватного життя</w:t>
      </w:r>
      <w:r w:rsidR="00E81B07" w:rsidRPr="00F0117E">
        <w:rPr>
          <w:lang w:val="uk-UA"/>
        </w:rPr>
        <w:t xml:space="preserve"> </w:t>
      </w:r>
      <w:r w:rsidR="00CE4D6A" w:rsidRPr="00F0117E">
        <w:rPr>
          <w:lang w:val="uk-UA"/>
        </w:rPr>
        <w:t>і кореспонденції та правом його роботодавця</w:t>
      </w:r>
      <w:r w:rsidR="00E81B07" w:rsidRPr="00F0117E">
        <w:rPr>
          <w:lang w:val="uk-UA"/>
        </w:rPr>
        <w:t xml:space="preserve"> </w:t>
      </w:r>
      <w:r w:rsidR="00CE4D6A" w:rsidRPr="00F0117E">
        <w:rPr>
          <w:lang w:val="uk-UA"/>
        </w:rPr>
        <w:t>організовувати та контролювати роботу в компанії</w:t>
      </w:r>
      <w:r w:rsidR="00E81B07" w:rsidRPr="00F0117E">
        <w:rPr>
          <w:lang w:val="uk-UA"/>
        </w:rPr>
        <w:t xml:space="preserve">. </w:t>
      </w:r>
      <w:r w:rsidR="00CE4D6A" w:rsidRPr="00F0117E">
        <w:rPr>
          <w:lang w:val="uk-UA"/>
        </w:rPr>
        <w:t>На думку Уряду, коли розмови контролюються приватною організацією</w:t>
      </w:r>
      <w:r w:rsidR="00E81B07" w:rsidRPr="00F0117E">
        <w:rPr>
          <w:lang w:val="uk-UA"/>
        </w:rPr>
        <w:t xml:space="preserve">, </w:t>
      </w:r>
      <w:r w:rsidR="00CE4D6A" w:rsidRPr="00F0117E">
        <w:rPr>
          <w:lang w:val="uk-UA"/>
        </w:rPr>
        <w:t>належного розгляду з боку національних судів достатньо</w:t>
      </w:r>
      <w:r w:rsidR="00E81B07" w:rsidRPr="00F0117E">
        <w:rPr>
          <w:lang w:val="uk-UA"/>
        </w:rPr>
        <w:t xml:space="preserve"> </w:t>
      </w:r>
      <w:r w:rsidR="00CE4D6A" w:rsidRPr="00F0117E">
        <w:rPr>
          <w:lang w:val="uk-UA"/>
        </w:rPr>
        <w:t>для цілей статті</w:t>
      </w:r>
      <w:r w:rsidR="00E81B07" w:rsidRPr="00F0117E">
        <w:rPr>
          <w:lang w:val="uk-UA"/>
        </w:rPr>
        <w:t xml:space="preserve"> 8</w:t>
      </w:r>
      <w:r w:rsidR="00CE4D6A" w:rsidRPr="00F0117E">
        <w:rPr>
          <w:lang w:val="uk-UA"/>
        </w:rPr>
        <w:t>,</w:t>
      </w:r>
      <w:r w:rsidR="00E81B07" w:rsidRPr="00F0117E">
        <w:rPr>
          <w:lang w:val="uk-UA"/>
        </w:rPr>
        <w:t xml:space="preserve"> </w:t>
      </w:r>
      <w:r w:rsidR="00CE4D6A" w:rsidRPr="00F0117E">
        <w:rPr>
          <w:lang w:val="uk-UA"/>
        </w:rPr>
        <w:t>і не було необхідності у конкретному захисті</w:t>
      </w:r>
      <w:r w:rsidR="00E81B07" w:rsidRPr="00F0117E">
        <w:rPr>
          <w:lang w:val="uk-UA"/>
        </w:rPr>
        <w:t xml:space="preserve"> </w:t>
      </w:r>
      <w:r w:rsidR="00CE4D6A" w:rsidRPr="00F0117E">
        <w:rPr>
          <w:lang w:val="uk-UA"/>
        </w:rPr>
        <w:t>засобами законодавчої системи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100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8910DC" w:rsidRPr="00F0117E">
        <w:rPr>
          <w:lang w:val="uk-UA"/>
        </w:rPr>
        <w:t>Уряд також стверджував, що національні суди</w:t>
      </w:r>
      <w:r w:rsidR="00E81B07" w:rsidRPr="00F0117E">
        <w:rPr>
          <w:lang w:val="uk-UA"/>
        </w:rPr>
        <w:t xml:space="preserve"> </w:t>
      </w:r>
      <w:r w:rsidR="008910DC" w:rsidRPr="00F0117E">
        <w:rPr>
          <w:lang w:val="uk-UA"/>
        </w:rPr>
        <w:t>розглянули питання законності та необхідності</w:t>
      </w:r>
      <w:r w:rsidR="00E81B07" w:rsidRPr="00F0117E">
        <w:rPr>
          <w:lang w:val="uk-UA"/>
        </w:rPr>
        <w:t xml:space="preserve"> </w:t>
      </w:r>
      <w:r w:rsidR="008910DC" w:rsidRPr="00F0117E">
        <w:rPr>
          <w:lang w:val="uk-UA"/>
        </w:rPr>
        <w:t>рішення роботодавця та досягли висновку про те,</w:t>
      </w:r>
      <w:r w:rsidR="00E81B07" w:rsidRPr="00F0117E">
        <w:rPr>
          <w:lang w:val="uk-UA"/>
        </w:rPr>
        <w:t xml:space="preserve"> </w:t>
      </w:r>
      <w:r w:rsidR="008910DC" w:rsidRPr="00F0117E">
        <w:rPr>
          <w:lang w:val="uk-UA"/>
        </w:rPr>
        <w:t>що дисциплінарні провадження були проведені у відповідності</w:t>
      </w:r>
      <w:r w:rsidR="00E81B07" w:rsidRPr="00F0117E">
        <w:rPr>
          <w:lang w:val="uk-UA"/>
        </w:rPr>
        <w:t xml:space="preserve"> </w:t>
      </w:r>
      <w:r w:rsidR="008910DC" w:rsidRPr="00F0117E">
        <w:rPr>
          <w:lang w:val="uk-UA"/>
        </w:rPr>
        <w:t>до чинного законодавства</w:t>
      </w:r>
      <w:r w:rsidR="00E81B07" w:rsidRPr="00F0117E">
        <w:rPr>
          <w:lang w:val="uk-UA"/>
        </w:rPr>
        <w:t xml:space="preserve">. </w:t>
      </w:r>
      <w:r w:rsidR="008910DC" w:rsidRPr="00F0117E">
        <w:rPr>
          <w:lang w:val="uk-UA"/>
        </w:rPr>
        <w:t>Уряд надав особливу важливість</w:t>
      </w:r>
      <w:r w:rsidR="00E81B07" w:rsidRPr="00F0117E">
        <w:rPr>
          <w:lang w:val="uk-UA"/>
        </w:rPr>
        <w:t xml:space="preserve"> </w:t>
      </w:r>
      <w:r w:rsidR="008910DC" w:rsidRPr="00F0117E">
        <w:rPr>
          <w:lang w:val="uk-UA"/>
        </w:rPr>
        <w:t>характеру проведення проваджень</w:t>
      </w:r>
      <w:r w:rsidR="00E81B07" w:rsidRPr="00F0117E">
        <w:rPr>
          <w:lang w:val="uk-UA"/>
        </w:rPr>
        <w:t xml:space="preserve">, </w:t>
      </w:r>
      <w:r w:rsidR="008910DC" w:rsidRPr="00F0117E">
        <w:rPr>
          <w:lang w:val="uk-UA"/>
        </w:rPr>
        <w:t>особливо можливості заявника вказати,</w:t>
      </w:r>
      <w:r w:rsidR="00E81B07" w:rsidRPr="00F0117E">
        <w:rPr>
          <w:lang w:val="uk-UA"/>
        </w:rPr>
        <w:t xml:space="preserve"> </w:t>
      </w:r>
      <w:r w:rsidR="008910DC" w:rsidRPr="00F0117E">
        <w:rPr>
          <w:lang w:val="uk-UA"/>
        </w:rPr>
        <w:t>чи були відповідні розмови приватними</w:t>
      </w:r>
      <w:r w:rsidR="00E81B07" w:rsidRPr="00F0117E">
        <w:rPr>
          <w:lang w:val="uk-UA"/>
        </w:rPr>
        <w:t xml:space="preserve">. </w:t>
      </w:r>
      <w:r w:rsidR="008910DC" w:rsidRPr="00F0117E">
        <w:rPr>
          <w:lang w:val="uk-UA"/>
        </w:rPr>
        <w:t>Якщо б заявник скористувався цією можливістю</w:t>
      </w:r>
      <w:r w:rsidR="00E81B07" w:rsidRPr="00F0117E">
        <w:rPr>
          <w:lang w:val="uk-UA"/>
        </w:rPr>
        <w:t xml:space="preserve">, </w:t>
      </w:r>
      <w:r w:rsidR="008910DC" w:rsidRPr="00F0117E">
        <w:rPr>
          <w:lang w:val="uk-UA"/>
        </w:rPr>
        <w:t>національні суди зважили б зацікавлені інтереси іншим чином</w:t>
      </w:r>
      <w:r w:rsidR="00E81B07" w:rsidRPr="00F0117E">
        <w:rPr>
          <w:lang w:val="uk-UA"/>
        </w:rPr>
        <w:t>.</w:t>
      </w:r>
    </w:p>
    <w:bookmarkStart w:id="37" w:name="obs_GUV_R_apredat_copiile2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101</w:t>
      </w:r>
      <w:r w:rsidRPr="00F0117E">
        <w:rPr>
          <w:lang w:val="uk-UA"/>
        </w:rPr>
        <w:fldChar w:fldCharType="end"/>
      </w:r>
      <w:bookmarkEnd w:id="37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8910DC" w:rsidRPr="00F0117E">
        <w:rPr>
          <w:lang w:val="uk-UA"/>
        </w:rPr>
        <w:t xml:space="preserve">У зв’язку </w:t>
      </w:r>
      <w:r w:rsidR="00796B2A">
        <w:rPr>
          <w:lang w:val="uk-UA"/>
        </w:rPr>
        <w:t xml:space="preserve">з цим </w:t>
      </w:r>
      <w:r w:rsidR="008910DC" w:rsidRPr="00F0117E">
        <w:rPr>
          <w:lang w:val="uk-UA"/>
        </w:rPr>
        <w:t>Уряд зазначив,</w:t>
      </w:r>
      <w:r w:rsidR="00E81B07" w:rsidRPr="00F0117E">
        <w:rPr>
          <w:lang w:val="uk-UA"/>
        </w:rPr>
        <w:t xml:space="preserve"> </w:t>
      </w:r>
      <w:r w:rsidR="008910DC" w:rsidRPr="00F0117E">
        <w:rPr>
          <w:lang w:val="uk-UA"/>
        </w:rPr>
        <w:t>що у провадженнях у національних органах влади</w:t>
      </w:r>
      <w:r w:rsidR="00E81B07" w:rsidRPr="00F0117E">
        <w:rPr>
          <w:lang w:val="uk-UA"/>
        </w:rPr>
        <w:t xml:space="preserve"> </w:t>
      </w:r>
      <w:r w:rsidR="008910DC" w:rsidRPr="00F0117E">
        <w:rPr>
          <w:lang w:val="uk-UA"/>
        </w:rPr>
        <w:t>сам заявник надав повну розшифровку</w:t>
      </w:r>
      <w:r w:rsidR="00E81B07" w:rsidRPr="00F0117E">
        <w:rPr>
          <w:lang w:val="uk-UA"/>
        </w:rPr>
        <w:t xml:space="preserve"> </w:t>
      </w:r>
      <w:r w:rsidR="008910DC" w:rsidRPr="00F0117E">
        <w:rPr>
          <w:lang w:val="uk-UA"/>
        </w:rPr>
        <w:t>свого спілкування</w:t>
      </w:r>
      <w:r w:rsidR="00E81B07" w:rsidRPr="00F0117E">
        <w:rPr>
          <w:lang w:val="uk-UA"/>
        </w:rPr>
        <w:t xml:space="preserve">, </w:t>
      </w:r>
      <w:r w:rsidR="008910DC" w:rsidRPr="00F0117E">
        <w:rPr>
          <w:lang w:val="uk-UA"/>
        </w:rPr>
        <w:t>без вжиття будь-яких запобіжних заходів</w:t>
      </w:r>
      <w:r w:rsidR="00E81B07" w:rsidRPr="00F0117E">
        <w:rPr>
          <w:lang w:val="uk-UA"/>
        </w:rPr>
        <w:t xml:space="preserve">; </w:t>
      </w:r>
      <w:r w:rsidR="008910DC" w:rsidRPr="00F0117E">
        <w:rPr>
          <w:lang w:val="uk-UA"/>
        </w:rPr>
        <w:t>замість цього він міг розкрити лише імена</w:t>
      </w:r>
      <w:r w:rsidR="00E81B07" w:rsidRPr="00F0117E">
        <w:rPr>
          <w:lang w:val="uk-UA"/>
        </w:rPr>
        <w:t xml:space="preserve"> </w:t>
      </w:r>
      <w:r w:rsidR="008910DC" w:rsidRPr="00F0117E">
        <w:rPr>
          <w:lang w:val="uk-UA"/>
        </w:rPr>
        <w:t>відповідних акаунтів або надати витяги</w:t>
      </w:r>
      <w:r w:rsidR="00E81B07" w:rsidRPr="00F0117E">
        <w:rPr>
          <w:lang w:val="uk-UA"/>
        </w:rPr>
        <w:t xml:space="preserve"> </w:t>
      </w:r>
      <w:r w:rsidR="0050306E" w:rsidRPr="00F0117E">
        <w:rPr>
          <w:lang w:val="uk-UA"/>
        </w:rPr>
        <w:t>зі своїх розмов</w:t>
      </w:r>
      <w:r w:rsidR="00E81B07" w:rsidRPr="00F0117E">
        <w:rPr>
          <w:lang w:val="uk-UA"/>
        </w:rPr>
        <w:t xml:space="preserve">, </w:t>
      </w:r>
      <w:r w:rsidR="0050306E" w:rsidRPr="00F0117E">
        <w:rPr>
          <w:lang w:val="uk-UA"/>
        </w:rPr>
        <w:t>наприклад, тих, які не містили інтимної інформації</w:t>
      </w:r>
      <w:r w:rsidR="00E81B07" w:rsidRPr="00F0117E">
        <w:rPr>
          <w:lang w:val="uk-UA"/>
        </w:rPr>
        <w:t xml:space="preserve">. </w:t>
      </w:r>
      <w:r w:rsidR="0050306E" w:rsidRPr="00F0117E">
        <w:rPr>
          <w:lang w:val="uk-UA"/>
        </w:rPr>
        <w:t>Уряд також опротестував твердження заявника</w:t>
      </w:r>
      <w:r w:rsidR="00E81B07" w:rsidRPr="00F0117E">
        <w:rPr>
          <w:lang w:val="uk-UA"/>
        </w:rPr>
        <w:t xml:space="preserve"> </w:t>
      </w:r>
      <w:r w:rsidR="0050306E" w:rsidRPr="00F0117E">
        <w:rPr>
          <w:lang w:val="uk-UA"/>
        </w:rPr>
        <w:t>про те, що його розмови були розкриті колегам,</w:t>
      </w:r>
      <w:r w:rsidR="00E81B07" w:rsidRPr="00F0117E">
        <w:rPr>
          <w:lang w:val="uk-UA"/>
        </w:rPr>
        <w:t xml:space="preserve"> </w:t>
      </w:r>
      <w:r w:rsidR="0050306E" w:rsidRPr="00F0117E">
        <w:rPr>
          <w:lang w:val="uk-UA"/>
        </w:rPr>
        <w:t>що лише дисциплінарна комісія з трьох учасників</w:t>
      </w:r>
      <w:r w:rsidR="00E81B07" w:rsidRPr="00F0117E">
        <w:rPr>
          <w:lang w:val="uk-UA"/>
        </w:rPr>
        <w:t xml:space="preserve"> </w:t>
      </w:r>
      <w:r w:rsidR="0050306E" w:rsidRPr="00F0117E">
        <w:rPr>
          <w:lang w:val="uk-UA"/>
        </w:rPr>
        <w:t>мала доступ до них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102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0306E" w:rsidRPr="00F0117E">
        <w:rPr>
          <w:lang w:val="uk-UA"/>
        </w:rPr>
        <w:t>Уряд також стверджував,</w:t>
      </w:r>
      <w:r w:rsidR="00E81B07" w:rsidRPr="00F0117E">
        <w:rPr>
          <w:lang w:val="uk-UA"/>
        </w:rPr>
        <w:t xml:space="preserve"> </w:t>
      </w:r>
      <w:r w:rsidR="0050306E" w:rsidRPr="00F0117E">
        <w:rPr>
          <w:lang w:val="uk-UA"/>
        </w:rPr>
        <w:t>що рішення роботодавця</w:t>
      </w:r>
      <w:r w:rsidR="00E81B07" w:rsidRPr="00F0117E">
        <w:rPr>
          <w:lang w:val="uk-UA"/>
        </w:rPr>
        <w:t xml:space="preserve"> </w:t>
      </w:r>
      <w:r w:rsidR="0050306E" w:rsidRPr="00F0117E">
        <w:rPr>
          <w:lang w:val="uk-UA"/>
        </w:rPr>
        <w:t>було необхідним</w:t>
      </w:r>
      <w:r w:rsidR="00E81B07" w:rsidRPr="00F0117E">
        <w:rPr>
          <w:lang w:val="uk-UA"/>
        </w:rPr>
        <w:t xml:space="preserve">, </w:t>
      </w:r>
      <w:r w:rsidR="0050306E" w:rsidRPr="00F0117E">
        <w:rPr>
          <w:lang w:val="uk-UA"/>
        </w:rPr>
        <w:t>оскільки він повинен був розслідувати аргументи,</w:t>
      </w:r>
      <w:r w:rsidR="00E81B07" w:rsidRPr="00F0117E">
        <w:rPr>
          <w:lang w:val="uk-UA"/>
        </w:rPr>
        <w:t xml:space="preserve"> </w:t>
      </w:r>
      <w:r w:rsidR="0050306E" w:rsidRPr="00F0117E">
        <w:rPr>
          <w:lang w:val="uk-UA"/>
        </w:rPr>
        <w:t>висунуті заявником у дисциплінарних провадженнях,</w:t>
      </w:r>
      <w:r w:rsidR="00E81B07" w:rsidRPr="00F0117E">
        <w:rPr>
          <w:lang w:val="uk-UA"/>
        </w:rPr>
        <w:t xml:space="preserve"> </w:t>
      </w:r>
      <w:r w:rsidR="0050306E" w:rsidRPr="00F0117E">
        <w:rPr>
          <w:lang w:val="uk-UA"/>
        </w:rPr>
        <w:t>для визначення того, чи дотримувався заявник внутрішніх розпоряджень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lastRenderedPageBreak/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103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0306E" w:rsidRPr="00F0117E">
        <w:rPr>
          <w:lang w:val="uk-UA"/>
        </w:rPr>
        <w:t xml:space="preserve">Нарешті, Уряд стверджував, що необхідно провести </w:t>
      </w:r>
      <w:r w:rsidR="008263D1" w:rsidRPr="00F0117E">
        <w:rPr>
          <w:lang w:val="uk-UA"/>
        </w:rPr>
        <w:t>розрізнення</w:t>
      </w:r>
      <w:r w:rsidR="00E81B07" w:rsidRPr="00F0117E">
        <w:rPr>
          <w:lang w:val="uk-UA"/>
        </w:rPr>
        <w:t xml:space="preserve"> </w:t>
      </w:r>
      <w:r w:rsidR="0050306E" w:rsidRPr="00F0117E">
        <w:rPr>
          <w:lang w:val="uk-UA"/>
        </w:rPr>
        <w:t>між характером повідомлень</w:t>
      </w:r>
      <w:r w:rsidR="00E81B07" w:rsidRPr="00F0117E">
        <w:rPr>
          <w:lang w:val="uk-UA"/>
        </w:rPr>
        <w:t xml:space="preserve"> </w:t>
      </w:r>
      <w:r w:rsidR="0050306E" w:rsidRPr="00F0117E">
        <w:rPr>
          <w:lang w:val="uk-UA"/>
        </w:rPr>
        <w:t>та їх змістом</w:t>
      </w:r>
      <w:r w:rsidR="00E81B07" w:rsidRPr="00F0117E">
        <w:rPr>
          <w:lang w:val="uk-UA"/>
        </w:rPr>
        <w:t xml:space="preserve">. </w:t>
      </w:r>
      <w:r w:rsidR="008263D1" w:rsidRPr="00F0117E">
        <w:rPr>
          <w:lang w:val="uk-UA"/>
        </w:rPr>
        <w:t>Уряд зауважив, як і Палата</w:t>
      </w:r>
      <w:r w:rsidR="00E81B07" w:rsidRPr="00F0117E">
        <w:rPr>
          <w:lang w:val="uk-UA"/>
        </w:rPr>
        <w:t xml:space="preserve">, </w:t>
      </w:r>
      <w:r w:rsidR="008263D1" w:rsidRPr="00F0117E">
        <w:rPr>
          <w:lang w:val="uk-UA"/>
        </w:rPr>
        <w:t>що національні суди</w:t>
      </w:r>
      <w:r w:rsidR="00E81B07" w:rsidRPr="00F0117E">
        <w:rPr>
          <w:lang w:val="uk-UA"/>
        </w:rPr>
        <w:t xml:space="preserve"> </w:t>
      </w:r>
      <w:r w:rsidR="008263D1" w:rsidRPr="00F0117E">
        <w:rPr>
          <w:lang w:val="uk-UA"/>
        </w:rPr>
        <w:t>взагалі не взяли зміст розмов заявника до уваги,</w:t>
      </w:r>
      <w:r w:rsidR="00E81B07" w:rsidRPr="00F0117E">
        <w:rPr>
          <w:lang w:val="uk-UA"/>
        </w:rPr>
        <w:t xml:space="preserve"> </w:t>
      </w:r>
      <w:r w:rsidR="008263D1" w:rsidRPr="00F0117E">
        <w:rPr>
          <w:lang w:val="uk-UA"/>
        </w:rPr>
        <w:t>а лише розглянули їх характер</w:t>
      </w:r>
      <w:r w:rsidR="00E81B07" w:rsidRPr="00F0117E">
        <w:rPr>
          <w:lang w:val="uk-UA"/>
        </w:rPr>
        <w:t xml:space="preserve"> </w:t>
      </w:r>
      <w:r w:rsidR="008263D1" w:rsidRPr="00F0117E">
        <w:rPr>
          <w:lang w:val="uk-UA"/>
        </w:rPr>
        <w:t xml:space="preserve">та визнали, що вони були </w:t>
      </w:r>
      <w:r w:rsidR="005101B0" w:rsidRPr="00F0117E">
        <w:rPr>
          <w:lang w:val="uk-UA"/>
        </w:rPr>
        <w:t>особистими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104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E0345B" w:rsidRPr="00F0117E">
        <w:rPr>
          <w:lang w:val="uk-UA"/>
        </w:rPr>
        <w:t xml:space="preserve">Тому Уряд дійшов висновку про те, що скарга заявника відповідно до статті 8 Конвенції була </w:t>
      </w:r>
      <w:r w:rsidR="00796B2A" w:rsidRPr="00F0117E">
        <w:rPr>
          <w:lang w:val="uk-UA"/>
        </w:rPr>
        <w:t>необґрунтованою</w:t>
      </w:r>
      <w:r w:rsidR="00E81B07" w:rsidRPr="00F0117E">
        <w:rPr>
          <w:lang w:val="uk-UA"/>
        </w:rPr>
        <w:t>.</w:t>
      </w:r>
    </w:p>
    <w:p w:rsidR="00E81B07" w:rsidRPr="00F0117E" w:rsidRDefault="00E81B07" w:rsidP="008B2B31">
      <w:pPr>
        <w:pStyle w:val="ECHRHeading4"/>
        <w:rPr>
          <w:lang w:val="uk-UA"/>
        </w:rPr>
      </w:pPr>
      <w:r w:rsidRPr="00F0117E">
        <w:rPr>
          <w:lang w:val="uk-UA"/>
        </w:rPr>
        <w:t>(c)</w:t>
      </w:r>
      <w:r w:rsidR="00FA6D4F" w:rsidRPr="00F0117E">
        <w:rPr>
          <w:lang w:val="uk-UA"/>
        </w:rPr>
        <w:t xml:space="preserve"> </w:t>
      </w:r>
      <w:r w:rsidR="00071408" w:rsidRPr="00F0117E">
        <w:rPr>
          <w:lang w:val="uk-UA"/>
        </w:rPr>
        <w:t>Треті сторони</w:t>
      </w:r>
    </w:p>
    <w:p w:rsidR="00E81B07" w:rsidRPr="00F0117E" w:rsidRDefault="00E81B07" w:rsidP="008B2B31">
      <w:pPr>
        <w:pStyle w:val="ECHRHeading5"/>
        <w:rPr>
          <w:lang w:val="uk-UA"/>
        </w:rPr>
      </w:pPr>
      <w:r w:rsidRPr="00F0117E">
        <w:rPr>
          <w:lang w:val="uk-UA"/>
        </w:rPr>
        <w:t>(i)</w:t>
      </w:r>
      <w:r w:rsidR="00FA6D4F" w:rsidRPr="00F0117E">
        <w:rPr>
          <w:lang w:val="uk-UA"/>
        </w:rPr>
        <w:t xml:space="preserve"> </w:t>
      </w:r>
      <w:r w:rsidR="00071408" w:rsidRPr="00F0117E">
        <w:rPr>
          <w:lang w:val="uk-UA"/>
        </w:rPr>
        <w:t>Уряд Франції</w:t>
      </w:r>
    </w:p>
    <w:p w:rsidR="00E81B07" w:rsidRPr="00F0117E" w:rsidRDefault="0002542A" w:rsidP="00071408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105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071408" w:rsidRPr="00F0117E">
        <w:rPr>
          <w:lang w:val="uk-UA"/>
        </w:rPr>
        <w:t>Уряд Франції посилався, зокрема</w:t>
      </w:r>
      <w:r w:rsidR="00E81B07" w:rsidRPr="00F0117E">
        <w:rPr>
          <w:lang w:val="uk-UA"/>
        </w:rPr>
        <w:t xml:space="preserve">, </w:t>
      </w:r>
      <w:r w:rsidR="00071408" w:rsidRPr="00F0117E">
        <w:rPr>
          <w:lang w:val="uk-UA"/>
        </w:rPr>
        <w:t>на свою концепцію обсягу</w:t>
      </w:r>
      <w:r w:rsidR="00E81B07" w:rsidRPr="00F0117E">
        <w:rPr>
          <w:lang w:val="uk-UA"/>
        </w:rPr>
        <w:t xml:space="preserve"> </w:t>
      </w:r>
      <w:r w:rsidR="00071408" w:rsidRPr="00F0117E">
        <w:rPr>
          <w:lang w:val="uk-UA"/>
        </w:rPr>
        <w:t>позитивних зобов’язань національної влади</w:t>
      </w:r>
      <w:r w:rsidR="00E81B07" w:rsidRPr="00F0117E">
        <w:rPr>
          <w:lang w:val="uk-UA"/>
        </w:rPr>
        <w:t xml:space="preserve"> </w:t>
      </w:r>
      <w:r w:rsidR="00071408" w:rsidRPr="00F0117E">
        <w:rPr>
          <w:lang w:val="uk-UA"/>
        </w:rPr>
        <w:t>щодо забезпечення поваги до приватного життя працівників</w:t>
      </w:r>
      <w:r w:rsidR="00E81B07" w:rsidRPr="00F0117E">
        <w:rPr>
          <w:lang w:val="uk-UA"/>
        </w:rPr>
        <w:t xml:space="preserve"> </w:t>
      </w:r>
      <w:r w:rsidR="00071408" w:rsidRPr="00F0117E">
        <w:rPr>
          <w:lang w:val="uk-UA"/>
        </w:rPr>
        <w:t>та їх кореспонденції</w:t>
      </w:r>
      <w:r w:rsidR="00E81B07" w:rsidRPr="00F0117E">
        <w:rPr>
          <w:lang w:val="uk-UA"/>
        </w:rPr>
        <w:t xml:space="preserve">. </w:t>
      </w:r>
      <w:r w:rsidR="00071408" w:rsidRPr="00F0117E">
        <w:rPr>
          <w:lang w:val="uk-UA"/>
        </w:rPr>
        <w:t>Уряд Франції надав всеосяжний огляд</w:t>
      </w:r>
      <w:r w:rsidR="00E81B07" w:rsidRPr="00F0117E">
        <w:rPr>
          <w:lang w:val="uk-UA"/>
        </w:rPr>
        <w:t xml:space="preserve"> </w:t>
      </w:r>
      <w:r w:rsidR="00071408" w:rsidRPr="00F0117E">
        <w:rPr>
          <w:lang w:val="uk-UA"/>
        </w:rPr>
        <w:t>застосовних положень французького цивільного права</w:t>
      </w:r>
      <w:r w:rsidR="00E81B07" w:rsidRPr="00F0117E">
        <w:rPr>
          <w:lang w:val="uk-UA"/>
        </w:rPr>
        <w:t xml:space="preserve">, </w:t>
      </w:r>
      <w:r w:rsidR="00071408" w:rsidRPr="00F0117E">
        <w:rPr>
          <w:lang w:val="uk-UA"/>
        </w:rPr>
        <w:t>трудового права та кримінального права</w:t>
      </w:r>
      <w:r w:rsidR="00E81B07" w:rsidRPr="00F0117E">
        <w:rPr>
          <w:lang w:val="uk-UA"/>
        </w:rPr>
        <w:t xml:space="preserve"> </w:t>
      </w:r>
      <w:r w:rsidR="00071408" w:rsidRPr="00F0117E">
        <w:rPr>
          <w:lang w:val="uk-UA"/>
        </w:rPr>
        <w:t>у цій сфері</w:t>
      </w:r>
      <w:r w:rsidR="00E81B07" w:rsidRPr="00F0117E">
        <w:rPr>
          <w:lang w:val="uk-UA"/>
        </w:rPr>
        <w:t xml:space="preserve">. </w:t>
      </w:r>
      <w:r w:rsidR="00071408" w:rsidRPr="00F0117E">
        <w:rPr>
          <w:lang w:val="uk-UA"/>
        </w:rPr>
        <w:t>На його думку, стаття 8 Конвенції</w:t>
      </w:r>
      <w:r w:rsidR="00E81B07" w:rsidRPr="00F0117E">
        <w:rPr>
          <w:lang w:val="uk-UA"/>
        </w:rPr>
        <w:t xml:space="preserve"> </w:t>
      </w:r>
      <w:r w:rsidR="00071408" w:rsidRPr="00F0117E">
        <w:rPr>
          <w:lang w:val="uk-UA"/>
        </w:rPr>
        <w:t>була застосовною лише до суто</w:t>
      </w:r>
      <w:r w:rsidR="00E81B07" w:rsidRPr="00F0117E">
        <w:rPr>
          <w:lang w:val="uk-UA"/>
        </w:rPr>
        <w:t xml:space="preserve"> </w:t>
      </w:r>
      <w:r w:rsidR="00071408" w:rsidRPr="00F0117E">
        <w:rPr>
          <w:lang w:val="uk-UA"/>
        </w:rPr>
        <w:t>персональних даних, кореспонденції та електронної діяльності</w:t>
      </w:r>
      <w:r w:rsidR="00E81B07" w:rsidRPr="00F0117E">
        <w:rPr>
          <w:lang w:val="uk-UA"/>
        </w:rPr>
        <w:t xml:space="preserve">. </w:t>
      </w:r>
      <w:r w:rsidR="00071408" w:rsidRPr="00F0117E">
        <w:rPr>
          <w:lang w:val="uk-UA"/>
        </w:rPr>
        <w:t xml:space="preserve">У зв’язку </w:t>
      </w:r>
      <w:r w:rsidR="00796B2A">
        <w:rPr>
          <w:lang w:val="uk-UA"/>
        </w:rPr>
        <w:t xml:space="preserve">з цим </w:t>
      </w:r>
      <w:r w:rsidR="00071408" w:rsidRPr="00F0117E">
        <w:rPr>
          <w:lang w:val="uk-UA"/>
        </w:rPr>
        <w:t>уряд Франції посилався на прецедентну практику</w:t>
      </w:r>
      <w:r w:rsidR="00E81B07" w:rsidRPr="00F0117E">
        <w:rPr>
          <w:lang w:val="uk-UA"/>
        </w:rPr>
        <w:t xml:space="preserve"> </w:t>
      </w:r>
      <w:r w:rsidR="00071408" w:rsidRPr="00F0117E">
        <w:rPr>
          <w:lang w:val="uk-UA"/>
        </w:rPr>
        <w:t>Французького касаційного суду</w:t>
      </w:r>
      <w:r w:rsidR="00E81B07" w:rsidRPr="00F0117E">
        <w:rPr>
          <w:lang w:val="uk-UA"/>
        </w:rPr>
        <w:t xml:space="preserve"> </w:t>
      </w:r>
      <w:r w:rsidR="00071408" w:rsidRPr="00F0117E">
        <w:rPr>
          <w:lang w:val="uk-UA"/>
        </w:rPr>
        <w:t>щодо того, що будь-які опрацьовані дані</w:t>
      </w:r>
      <w:r w:rsidR="00E81B07" w:rsidRPr="00F0117E">
        <w:rPr>
          <w:lang w:val="uk-UA"/>
        </w:rPr>
        <w:t xml:space="preserve">, </w:t>
      </w:r>
      <w:r w:rsidR="00071408" w:rsidRPr="00F0117E">
        <w:rPr>
          <w:lang w:val="uk-UA"/>
        </w:rPr>
        <w:t>надіслані та отримані за допомогою електронного обладнання роботодавця,</w:t>
      </w:r>
      <w:r w:rsidR="00E81B07" w:rsidRPr="00F0117E">
        <w:rPr>
          <w:lang w:val="uk-UA"/>
        </w:rPr>
        <w:t xml:space="preserve"> </w:t>
      </w:r>
      <w:r w:rsidR="00071408" w:rsidRPr="00F0117E">
        <w:rPr>
          <w:lang w:val="uk-UA"/>
        </w:rPr>
        <w:t>вважалися професійними за характером,</w:t>
      </w:r>
      <w:r w:rsidR="00E81B07" w:rsidRPr="00F0117E">
        <w:rPr>
          <w:lang w:val="uk-UA"/>
        </w:rPr>
        <w:t xml:space="preserve"> </w:t>
      </w:r>
      <w:r w:rsidR="00071408" w:rsidRPr="00F0117E">
        <w:rPr>
          <w:lang w:val="uk-UA"/>
        </w:rPr>
        <w:t>якщо працівник чітко та точно не позначив їх, як приватні</w:t>
      </w:r>
      <w:r w:rsidR="00E81B07" w:rsidRPr="00F0117E">
        <w:rPr>
          <w:lang w:val="uk-UA"/>
        </w:rPr>
        <w:t>.</w:t>
      </w:r>
    </w:p>
    <w:bookmarkStart w:id="38" w:name="obs_Guv_FR"/>
    <w:p w:rsidR="00E36F4C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106</w:t>
      </w:r>
      <w:r w:rsidRPr="00F0117E">
        <w:rPr>
          <w:lang w:val="uk-UA"/>
        </w:rPr>
        <w:fldChar w:fldCharType="end"/>
      </w:r>
      <w:bookmarkEnd w:id="38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071408" w:rsidRPr="00F0117E">
        <w:rPr>
          <w:lang w:val="uk-UA"/>
        </w:rPr>
        <w:t>Уряд Франції стверджував, що держави</w:t>
      </w:r>
      <w:r w:rsidR="00E81B07" w:rsidRPr="00F0117E">
        <w:rPr>
          <w:lang w:val="uk-UA"/>
        </w:rPr>
        <w:t xml:space="preserve"> </w:t>
      </w:r>
      <w:r w:rsidR="00071408" w:rsidRPr="00F0117E">
        <w:rPr>
          <w:lang w:val="uk-UA"/>
        </w:rPr>
        <w:t>мали користуватися більш широкою свободою розсуду</w:t>
      </w:r>
      <w:r w:rsidR="00E81B07" w:rsidRPr="00F0117E">
        <w:rPr>
          <w:lang w:val="uk-UA"/>
        </w:rPr>
        <w:t xml:space="preserve"> </w:t>
      </w:r>
      <w:r w:rsidR="00071408" w:rsidRPr="00F0117E">
        <w:rPr>
          <w:lang w:val="uk-UA"/>
        </w:rPr>
        <w:t>в цій галузі, оскільки мета полягала в досягненні</w:t>
      </w:r>
      <w:r w:rsidR="00E81B07" w:rsidRPr="00F0117E">
        <w:rPr>
          <w:lang w:val="uk-UA"/>
        </w:rPr>
        <w:t xml:space="preserve"> </w:t>
      </w:r>
      <w:r w:rsidR="00071408" w:rsidRPr="00F0117E">
        <w:rPr>
          <w:lang w:val="uk-UA"/>
        </w:rPr>
        <w:t xml:space="preserve">балансу між </w:t>
      </w:r>
      <w:r w:rsidR="005A3373" w:rsidRPr="00F0117E">
        <w:rPr>
          <w:lang w:val="uk-UA"/>
        </w:rPr>
        <w:t>конкуруючими</w:t>
      </w:r>
      <w:r w:rsidR="00071408" w:rsidRPr="00F0117E">
        <w:rPr>
          <w:lang w:val="uk-UA"/>
        </w:rPr>
        <w:t xml:space="preserve"> </w:t>
      </w:r>
      <w:r w:rsidR="005A3373" w:rsidRPr="00F0117E">
        <w:rPr>
          <w:lang w:val="uk-UA"/>
        </w:rPr>
        <w:t>особистими</w:t>
      </w:r>
      <w:r w:rsidR="00071408" w:rsidRPr="00F0117E">
        <w:rPr>
          <w:lang w:val="uk-UA"/>
        </w:rPr>
        <w:t xml:space="preserve"> інтересами</w:t>
      </w:r>
      <w:r w:rsidR="00E81B07" w:rsidRPr="00F0117E">
        <w:rPr>
          <w:lang w:val="uk-UA"/>
        </w:rPr>
        <w:t xml:space="preserve">. </w:t>
      </w:r>
      <w:r w:rsidR="00071408" w:rsidRPr="00F0117E">
        <w:rPr>
          <w:lang w:val="uk-UA"/>
        </w:rPr>
        <w:t xml:space="preserve">Роботодавець міг </w:t>
      </w:r>
      <w:proofErr w:type="spellStart"/>
      <w:r w:rsidR="00071408" w:rsidRPr="00F0117E">
        <w:rPr>
          <w:lang w:val="uk-UA"/>
        </w:rPr>
        <w:t>моніторити</w:t>
      </w:r>
      <w:proofErr w:type="spellEnd"/>
      <w:r w:rsidR="00E81B07" w:rsidRPr="00F0117E">
        <w:rPr>
          <w:lang w:val="uk-UA"/>
        </w:rPr>
        <w:t xml:space="preserve"> </w:t>
      </w:r>
      <w:r w:rsidR="00071408" w:rsidRPr="00F0117E">
        <w:rPr>
          <w:lang w:val="uk-UA"/>
        </w:rPr>
        <w:t>професійні дані та кореспонденцію працівників</w:t>
      </w:r>
      <w:r w:rsidR="00E81B07" w:rsidRPr="00F0117E">
        <w:rPr>
          <w:lang w:val="uk-UA"/>
        </w:rPr>
        <w:t xml:space="preserve"> </w:t>
      </w:r>
      <w:r w:rsidR="00071408" w:rsidRPr="00F0117E">
        <w:rPr>
          <w:lang w:val="uk-UA"/>
        </w:rPr>
        <w:t>у розумній мірі</w:t>
      </w:r>
      <w:r w:rsidR="00E81B07" w:rsidRPr="00F0117E">
        <w:rPr>
          <w:lang w:val="uk-UA"/>
        </w:rPr>
        <w:t xml:space="preserve">, </w:t>
      </w:r>
      <w:r w:rsidR="00071408" w:rsidRPr="00F0117E">
        <w:rPr>
          <w:lang w:val="uk-UA"/>
        </w:rPr>
        <w:t>за умови переслідування законної цілі</w:t>
      </w:r>
      <w:r w:rsidR="00E81B07" w:rsidRPr="00F0117E">
        <w:rPr>
          <w:lang w:val="uk-UA"/>
        </w:rPr>
        <w:t xml:space="preserve">, </w:t>
      </w:r>
      <w:r w:rsidR="00071408" w:rsidRPr="00F0117E">
        <w:rPr>
          <w:lang w:val="uk-UA"/>
        </w:rPr>
        <w:t xml:space="preserve">і </w:t>
      </w:r>
      <w:r w:rsidR="00486BAB" w:rsidRPr="00F0117E">
        <w:rPr>
          <w:lang w:val="uk-UA"/>
        </w:rPr>
        <w:t>міг</w:t>
      </w:r>
      <w:r w:rsidR="00071408" w:rsidRPr="00F0117E">
        <w:rPr>
          <w:lang w:val="uk-UA"/>
        </w:rPr>
        <w:t xml:space="preserve"> використовувати результати моніторингу</w:t>
      </w:r>
      <w:r w:rsidR="00E81B07" w:rsidRPr="00F0117E">
        <w:rPr>
          <w:lang w:val="uk-UA"/>
        </w:rPr>
        <w:t xml:space="preserve"> </w:t>
      </w:r>
      <w:r w:rsidR="00071408" w:rsidRPr="00F0117E">
        <w:rPr>
          <w:lang w:val="uk-UA"/>
        </w:rPr>
        <w:t>у дисциплінарних провадженнях</w:t>
      </w:r>
      <w:r w:rsidR="00E81B07" w:rsidRPr="00F0117E">
        <w:rPr>
          <w:lang w:val="uk-UA"/>
        </w:rPr>
        <w:t xml:space="preserve">. </w:t>
      </w:r>
      <w:r w:rsidR="00071408" w:rsidRPr="00F0117E">
        <w:rPr>
          <w:lang w:val="uk-UA"/>
        </w:rPr>
        <w:t>Уряд Франції підкреслив, що працівників необхідно було попереджати заздалегідь</w:t>
      </w:r>
      <w:r w:rsidR="00E81B07" w:rsidRPr="00F0117E">
        <w:rPr>
          <w:lang w:val="uk-UA"/>
        </w:rPr>
        <w:t xml:space="preserve"> </w:t>
      </w:r>
      <w:r w:rsidR="00071408" w:rsidRPr="00F0117E">
        <w:rPr>
          <w:lang w:val="uk-UA"/>
        </w:rPr>
        <w:t>про такий моніторинг</w:t>
      </w:r>
      <w:r w:rsidR="00E81B07" w:rsidRPr="00F0117E">
        <w:rPr>
          <w:lang w:val="uk-UA"/>
        </w:rPr>
        <w:t xml:space="preserve">. </w:t>
      </w:r>
      <w:r w:rsidR="00071408" w:rsidRPr="00F0117E">
        <w:rPr>
          <w:lang w:val="uk-UA"/>
        </w:rPr>
        <w:t>Крім того, коли були задіяні дані, чітко означені працівником, як приватні</w:t>
      </w:r>
      <w:r w:rsidR="00E81B07" w:rsidRPr="00F0117E">
        <w:rPr>
          <w:lang w:val="uk-UA"/>
        </w:rPr>
        <w:t xml:space="preserve">, </w:t>
      </w:r>
      <w:r w:rsidR="00071408" w:rsidRPr="00F0117E">
        <w:rPr>
          <w:lang w:val="uk-UA"/>
        </w:rPr>
        <w:t>роботодавець міг попросити суди</w:t>
      </w:r>
      <w:r w:rsidR="00E81B07" w:rsidRPr="00F0117E">
        <w:rPr>
          <w:lang w:val="uk-UA"/>
        </w:rPr>
        <w:t xml:space="preserve"> </w:t>
      </w:r>
      <w:r w:rsidR="00071408" w:rsidRPr="00F0117E">
        <w:rPr>
          <w:lang w:val="uk-UA"/>
        </w:rPr>
        <w:t>наказати провести слідчі заходи</w:t>
      </w:r>
      <w:r w:rsidR="00E81B07" w:rsidRPr="00F0117E">
        <w:rPr>
          <w:lang w:val="uk-UA"/>
        </w:rPr>
        <w:t xml:space="preserve"> </w:t>
      </w:r>
      <w:r w:rsidR="00071408" w:rsidRPr="00F0117E">
        <w:rPr>
          <w:lang w:val="uk-UA"/>
        </w:rPr>
        <w:t>та вказати приставу</w:t>
      </w:r>
      <w:r w:rsidR="00E81B07" w:rsidRPr="00F0117E">
        <w:rPr>
          <w:lang w:val="uk-UA"/>
        </w:rPr>
        <w:t xml:space="preserve"> </w:t>
      </w:r>
      <w:r w:rsidR="00071408" w:rsidRPr="00F0117E">
        <w:rPr>
          <w:lang w:val="uk-UA"/>
        </w:rPr>
        <w:t>отримати доступ до відповідних даних та записати їх зміст</w:t>
      </w:r>
      <w:r w:rsidR="00E81B07" w:rsidRPr="00F0117E">
        <w:rPr>
          <w:lang w:val="uk-UA"/>
        </w:rPr>
        <w:t>.</w:t>
      </w:r>
    </w:p>
    <w:p w:rsidR="00E81B07" w:rsidRPr="00F0117E" w:rsidRDefault="00E81B07" w:rsidP="008B2B31">
      <w:pPr>
        <w:pStyle w:val="ECHRHeading5"/>
        <w:rPr>
          <w:lang w:val="uk-UA"/>
        </w:rPr>
      </w:pPr>
      <w:r w:rsidRPr="00F0117E">
        <w:rPr>
          <w:lang w:val="uk-UA"/>
        </w:rPr>
        <w:t>(ii)</w:t>
      </w:r>
      <w:r w:rsidR="00FA6D4F" w:rsidRPr="00F0117E">
        <w:rPr>
          <w:lang w:val="uk-UA"/>
        </w:rPr>
        <w:t xml:space="preserve"> </w:t>
      </w:r>
      <w:r w:rsidR="00846B75" w:rsidRPr="00F0117E">
        <w:rPr>
          <w:lang w:val="uk-UA"/>
        </w:rPr>
        <w:t>Європейська конфедерація профспілок</w:t>
      </w:r>
    </w:p>
    <w:bookmarkStart w:id="39" w:name="observations_parties_final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107</w:t>
      </w:r>
      <w:r w:rsidRPr="00F0117E">
        <w:rPr>
          <w:lang w:val="uk-UA"/>
        </w:rPr>
        <w:fldChar w:fldCharType="end"/>
      </w:r>
      <w:bookmarkEnd w:id="39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846B75" w:rsidRPr="00F0117E">
        <w:rPr>
          <w:lang w:val="uk-UA"/>
        </w:rPr>
        <w:t>Європейська конфедерація профспілок</w:t>
      </w:r>
      <w:r w:rsidR="00E81B07" w:rsidRPr="00F0117E">
        <w:rPr>
          <w:lang w:val="uk-UA"/>
        </w:rPr>
        <w:t xml:space="preserve"> </w:t>
      </w:r>
      <w:r w:rsidR="00846B75" w:rsidRPr="00F0117E">
        <w:rPr>
          <w:lang w:val="uk-UA"/>
        </w:rPr>
        <w:t>стверджувала, що було необхідно захистити</w:t>
      </w:r>
      <w:r w:rsidR="00E81B07" w:rsidRPr="00F0117E">
        <w:rPr>
          <w:lang w:val="uk-UA"/>
        </w:rPr>
        <w:t xml:space="preserve"> </w:t>
      </w:r>
      <w:r w:rsidR="00846B75" w:rsidRPr="00F0117E">
        <w:rPr>
          <w:lang w:val="uk-UA"/>
        </w:rPr>
        <w:t>приватність у робочому середовищі</w:t>
      </w:r>
      <w:r w:rsidR="00E81B07" w:rsidRPr="00F0117E">
        <w:rPr>
          <w:lang w:val="uk-UA"/>
        </w:rPr>
        <w:t xml:space="preserve">, </w:t>
      </w:r>
      <w:r w:rsidR="00846B75" w:rsidRPr="00F0117E">
        <w:rPr>
          <w:lang w:val="uk-UA"/>
        </w:rPr>
        <w:t>беручи до уваги, зокрема, той факт,</w:t>
      </w:r>
      <w:r w:rsidR="00E81B07" w:rsidRPr="00F0117E">
        <w:rPr>
          <w:lang w:val="uk-UA"/>
        </w:rPr>
        <w:t xml:space="preserve"> </w:t>
      </w:r>
      <w:r w:rsidR="00846B75" w:rsidRPr="00F0117E">
        <w:rPr>
          <w:lang w:val="uk-UA"/>
        </w:rPr>
        <w:t>що працівники структурно залежали від роботодавців у цьому контексті</w:t>
      </w:r>
      <w:r w:rsidR="00E81B07" w:rsidRPr="00F0117E">
        <w:rPr>
          <w:lang w:val="uk-UA"/>
        </w:rPr>
        <w:t xml:space="preserve">. </w:t>
      </w:r>
      <w:r w:rsidR="00846B75" w:rsidRPr="00F0117E">
        <w:rPr>
          <w:lang w:val="uk-UA"/>
        </w:rPr>
        <w:t>Після узагальнення застосовних принципів міжнародного та європейського права</w:t>
      </w:r>
      <w:r w:rsidR="00E81B07" w:rsidRPr="00F0117E">
        <w:rPr>
          <w:lang w:val="uk-UA"/>
        </w:rPr>
        <w:t xml:space="preserve"> </w:t>
      </w:r>
      <w:r w:rsidR="00846B75" w:rsidRPr="00F0117E">
        <w:rPr>
          <w:lang w:val="uk-UA"/>
        </w:rPr>
        <w:t>вона стверджувала, що доступ до інтернету повинен вважатися</w:t>
      </w:r>
      <w:r w:rsidR="00E81B07" w:rsidRPr="00F0117E">
        <w:rPr>
          <w:lang w:val="uk-UA"/>
        </w:rPr>
        <w:t xml:space="preserve"> </w:t>
      </w:r>
      <w:r w:rsidR="00846B75" w:rsidRPr="00F0117E">
        <w:rPr>
          <w:lang w:val="uk-UA"/>
        </w:rPr>
        <w:t>правом людини, і що право</w:t>
      </w:r>
      <w:r w:rsidR="00E81B07" w:rsidRPr="00F0117E">
        <w:rPr>
          <w:lang w:val="uk-UA"/>
        </w:rPr>
        <w:t xml:space="preserve"> </w:t>
      </w:r>
      <w:r w:rsidR="00846B75" w:rsidRPr="00F0117E">
        <w:rPr>
          <w:lang w:val="uk-UA"/>
        </w:rPr>
        <w:t>на повагу до кореспонденції необхідно посилити</w:t>
      </w:r>
      <w:r w:rsidR="00E81B07" w:rsidRPr="00F0117E">
        <w:rPr>
          <w:lang w:val="uk-UA"/>
        </w:rPr>
        <w:t xml:space="preserve">. </w:t>
      </w:r>
      <w:r w:rsidR="00846B75" w:rsidRPr="00F0117E">
        <w:rPr>
          <w:lang w:val="uk-UA"/>
        </w:rPr>
        <w:t xml:space="preserve">Згода, або, </w:t>
      </w:r>
      <w:r w:rsidR="00846B75" w:rsidRPr="00F0117E">
        <w:rPr>
          <w:lang w:val="uk-UA"/>
        </w:rPr>
        <w:lastRenderedPageBreak/>
        <w:t>щонайменш</w:t>
      </w:r>
      <w:r w:rsidR="00796B2A">
        <w:rPr>
          <w:lang w:val="uk-UA"/>
        </w:rPr>
        <w:t>е</w:t>
      </w:r>
      <w:r w:rsidR="00846B75" w:rsidRPr="00F0117E">
        <w:rPr>
          <w:lang w:val="uk-UA"/>
        </w:rPr>
        <w:t>, попереднє повідомлення</w:t>
      </w:r>
      <w:r w:rsidR="00E81B07" w:rsidRPr="00F0117E">
        <w:rPr>
          <w:lang w:val="uk-UA"/>
        </w:rPr>
        <w:t xml:space="preserve">, </w:t>
      </w:r>
      <w:r w:rsidR="00846B75" w:rsidRPr="00F0117E">
        <w:rPr>
          <w:lang w:val="uk-UA"/>
        </w:rPr>
        <w:t>працівників є необхідним</w:t>
      </w:r>
      <w:r w:rsidR="00E81B07" w:rsidRPr="00F0117E">
        <w:rPr>
          <w:lang w:val="uk-UA"/>
        </w:rPr>
        <w:t xml:space="preserve">, </w:t>
      </w:r>
      <w:r w:rsidR="00846B75" w:rsidRPr="00F0117E">
        <w:rPr>
          <w:lang w:val="uk-UA"/>
        </w:rPr>
        <w:t>і представників персоналу необхідно інформувати</w:t>
      </w:r>
      <w:r w:rsidR="00E81B07" w:rsidRPr="00F0117E">
        <w:rPr>
          <w:lang w:val="uk-UA"/>
        </w:rPr>
        <w:t xml:space="preserve"> </w:t>
      </w:r>
      <w:r w:rsidR="00846B75" w:rsidRPr="00F0117E">
        <w:rPr>
          <w:lang w:val="uk-UA"/>
        </w:rPr>
        <w:t>до того, як роботодавець зможе опрацювати особисті дані працівників</w:t>
      </w:r>
      <w:r w:rsidR="00E81B07" w:rsidRPr="00F0117E">
        <w:rPr>
          <w:lang w:val="uk-UA"/>
        </w:rPr>
        <w:t>.</w:t>
      </w:r>
    </w:p>
    <w:p w:rsidR="00E81B07" w:rsidRPr="00F0117E" w:rsidRDefault="00E81B07" w:rsidP="008B2B31">
      <w:pPr>
        <w:pStyle w:val="ECHRHeading3"/>
        <w:rPr>
          <w:lang w:val="uk-UA"/>
        </w:rPr>
      </w:pPr>
      <w:r w:rsidRPr="00F0117E">
        <w:rPr>
          <w:lang w:val="uk-UA"/>
        </w:rPr>
        <w:t>2.</w:t>
      </w:r>
      <w:r w:rsidR="00FA6D4F" w:rsidRPr="00F0117E">
        <w:rPr>
          <w:lang w:val="uk-UA"/>
        </w:rPr>
        <w:t xml:space="preserve"> </w:t>
      </w:r>
      <w:r w:rsidR="00BB7ABA" w:rsidRPr="00F0117E">
        <w:rPr>
          <w:lang w:val="uk-UA"/>
        </w:rPr>
        <w:t>Оцінка Суду</w:t>
      </w:r>
    </w:p>
    <w:p w:rsidR="00E81B07" w:rsidRPr="00F0117E" w:rsidRDefault="00E81B07" w:rsidP="008B2B31">
      <w:pPr>
        <w:pStyle w:val="ECHRHeading4"/>
        <w:rPr>
          <w:lang w:val="uk-UA"/>
        </w:rPr>
      </w:pPr>
      <w:r w:rsidRPr="00F0117E">
        <w:rPr>
          <w:lang w:val="uk-UA"/>
        </w:rPr>
        <w:t>(a)</w:t>
      </w:r>
      <w:r w:rsidR="00FA6D4F" w:rsidRPr="00F0117E">
        <w:rPr>
          <w:lang w:val="uk-UA"/>
        </w:rPr>
        <w:t xml:space="preserve"> </w:t>
      </w:r>
      <w:r w:rsidR="00BB7ABA" w:rsidRPr="00F0117E">
        <w:rPr>
          <w:lang w:val="uk-UA"/>
        </w:rPr>
        <w:t>Чи стосується справа негативного або позитивного зобов’язання</w:t>
      </w:r>
    </w:p>
    <w:p w:rsidR="00E81B07" w:rsidRPr="00F0117E" w:rsidRDefault="0002542A" w:rsidP="008B2B31">
      <w:pPr>
        <w:pStyle w:val="ECHRPara"/>
        <w:rPr>
          <w:i/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108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B7ABA" w:rsidRPr="00F0117E">
        <w:rPr>
          <w:lang w:val="uk-UA"/>
        </w:rPr>
        <w:t>Суд повинен визначити, чи слід розглядати дану справу</w:t>
      </w:r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у термінах негативного або позитивного зобов’язання держави</w:t>
      </w:r>
      <w:r w:rsidR="00E81B07" w:rsidRPr="00F0117E">
        <w:rPr>
          <w:lang w:val="uk-UA"/>
        </w:rPr>
        <w:t xml:space="preserve">. </w:t>
      </w:r>
      <w:r w:rsidR="00BB7ABA" w:rsidRPr="00F0117E">
        <w:rPr>
          <w:lang w:val="uk-UA"/>
        </w:rPr>
        <w:t>Він повторює, що в силу статті 1 Конвенції</w:t>
      </w:r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Договірні Сторони «повинні забезпечити кожному в межах їх юрисдикції</w:t>
      </w:r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права та свободи, визначені у</w:t>
      </w:r>
      <w:r w:rsidR="00E81B07" w:rsidRPr="00F0117E">
        <w:rPr>
          <w:lang w:val="uk-UA"/>
        </w:rPr>
        <w:t xml:space="preserve"> ... [</w:t>
      </w:r>
      <w:r w:rsidR="00BB7ABA" w:rsidRPr="00F0117E">
        <w:rPr>
          <w:lang w:val="uk-UA"/>
        </w:rPr>
        <w:t>цій</w:t>
      </w:r>
      <w:r w:rsidR="00E81B07" w:rsidRPr="00F0117E">
        <w:rPr>
          <w:lang w:val="uk-UA"/>
        </w:rPr>
        <w:t xml:space="preserve">] </w:t>
      </w:r>
      <w:r w:rsidR="00BB7ABA" w:rsidRPr="00F0117E">
        <w:rPr>
          <w:lang w:val="uk-UA"/>
        </w:rPr>
        <w:t>Конвенції»</w:t>
      </w:r>
      <w:r w:rsidR="00E81B07" w:rsidRPr="00F0117E">
        <w:rPr>
          <w:lang w:val="uk-UA"/>
        </w:rPr>
        <w:t xml:space="preserve">. </w:t>
      </w:r>
      <w:r w:rsidR="00BB7ABA" w:rsidRPr="00F0117E">
        <w:rPr>
          <w:lang w:val="uk-UA"/>
        </w:rPr>
        <w:t>У той час як ключова ціль статті</w:t>
      </w:r>
      <w:r w:rsidR="00E81B07" w:rsidRPr="00F0117E">
        <w:rPr>
          <w:lang w:val="uk-UA"/>
        </w:rPr>
        <w:t xml:space="preserve"> 8 </w:t>
      </w:r>
      <w:r w:rsidR="00BB7ABA" w:rsidRPr="00F0117E">
        <w:rPr>
          <w:lang w:val="uk-UA"/>
        </w:rPr>
        <w:t>полягає в захисті фізичних осіб</w:t>
      </w:r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від довільного втручання з боку державних органів влади</w:t>
      </w:r>
      <w:r w:rsidR="00E81B07" w:rsidRPr="00F0117E">
        <w:rPr>
          <w:lang w:val="uk-UA"/>
        </w:rPr>
        <w:t xml:space="preserve">, </w:t>
      </w:r>
      <w:r w:rsidR="00BB7ABA" w:rsidRPr="00F0117E">
        <w:rPr>
          <w:lang w:val="uk-UA"/>
        </w:rPr>
        <w:t>вона також може накладати на державу певні позитивні зобов’язання</w:t>
      </w:r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щодо забезпечення ефективної поваги</w:t>
      </w:r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до прав, захищених статтею</w:t>
      </w:r>
      <w:r w:rsidR="00E81B07" w:rsidRPr="00F0117E">
        <w:rPr>
          <w:lang w:val="uk-UA"/>
        </w:rPr>
        <w:t xml:space="preserve"> 8 (</w:t>
      </w:r>
      <w:r w:rsidR="00BB7ABA" w:rsidRPr="00F0117E">
        <w:rPr>
          <w:lang w:val="uk-UA"/>
        </w:rPr>
        <w:t>див., серед інших</w:t>
      </w:r>
      <w:r w:rsidR="00E81B07" w:rsidRPr="00F0117E">
        <w:rPr>
          <w:lang w:val="uk-UA"/>
        </w:rPr>
        <w:t xml:space="preserve">, </w:t>
      </w:r>
      <w:r w:rsidR="00E81B07" w:rsidRPr="00F0117E">
        <w:rPr>
          <w:i/>
          <w:lang w:val="uk-UA"/>
        </w:rPr>
        <w:t xml:space="preserve">X </w:t>
      </w:r>
      <w:proofErr w:type="spellStart"/>
      <w:r w:rsidR="00E81B07" w:rsidRPr="00F0117E">
        <w:rPr>
          <w:i/>
          <w:lang w:val="uk-UA"/>
        </w:rPr>
        <w:t>and</w:t>
      </w:r>
      <w:proofErr w:type="spellEnd"/>
      <w:r w:rsidR="00E81B07" w:rsidRPr="00F0117E">
        <w:rPr>
          <w:i/>
          <w:lang w:val="uk-UA"/>
        </w:rPr>
        <w:t xml:space="preserve"> Y v. </w:t>
      </w:r>
      <w:proofErr w:type="spellStart"/>
      <w:r w:rsidR="00E81B07" w:rsidRPr="00F0117E">
        <w:rPr>
          <w:i/>
          <w:lang w:val="uk-UA"/>
        </w:rPr>
        <w:t>the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Netherlands</w:t>
      </w:r>
      <w:proofErr w:type="spellEnd"/>
      <w:r w:rsidR="00E81B07" w:rsidRPr="00F0117E">
        <w:rPr>
          <w:lang w:val="uk-UA"/>
        </w:rPr>
        <w:t xml:space="preserve">, 26 </w:t>
      </w:r>
      <w:r w:rsidR="00BB7ABA" w:rsidRPr="00F0117E">
        <w:rPr>
          <w:lang w:val="uk-UA"/>
        </w:rPr>
        <w:t>березня</w:t>
      </w:r>
      <w:r w:rsidR="00E81B07" w:rsidRPr="00F0117E">
        <w:rPr>
          <w:lang w:val="uk-UA"/>
        </w:rPr>
        <w:t xml:space="preserve"> 1985</w:t>
      </w:r>
      <w:r w:rsidR="00BB7ABA" w:rsidRPr="00F0117E">
        <w:rPr>
          <w:lang w:val="uk-UA"/>
        </w:rPr>
        <w:t xml:space="preserve"> року</w:t>
      </w:r>
      <w:r w:rsidR="00E81B07" w:rsidRPr="00F0117E">
        <w:rPr>
          <w:lang w:val="uk-UA"/>
        </w:rPr>
        <w:t xml:space="preserve">, § 23, </w:t>
      </w:r>
      <w:r w:rsidR="00BB7ABA" w:rsidRPr="00F0117E">
        <w:rPr>
          <w:lang w:val="uk-UA"/>
        </w:rPr>
        <w:t>серія</w:t>
      </w:r>
      <w:r w:rsidR="00E81B07" w:rsidRPr="00F0117E">
        <w:rPr>
          <w:lang w:val="uk-UA"/>
        </w:rPr>
        <w:t xml:space="preserve"> A </w:t>
      </w:r>
      <w:r w:rsidR="00BB7ABA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 91; </w:t>
      </w:r>
      <w:proofErr w:type="spellStart"/>
      <w:r w:rsidR="00E81B07" w:rsidRPr="00F0117E">
        <w:rPr>
          <w:i/>
          <w:iCs/>
          <w:lang w:val="uk-UA"/>
        </w:rPr>
        <w:t>Von</w:t>
      </w:r>
      <w:proofErr w:type="spellEnd"/>
      <w:r w:rsidR="00E81B07" w:rsidRPr="00F0117E">
        <w:rPr>
          <w:i/>
          <w:iCs/>
          <w:lang w:val="uk-UA"/>
        </w:rPr>
        <w:t xml:space="preserve"> </w:t>
      </w:r>
      <w:proofErr w:type="spellStart"/>
      <w:r w:rsidR="00E81B07" w:rsidRPr="00F0117E">
        <w:rPr>
          <w:i/>
          <w:iCs/>
          <w:lang w:val="uk-UA"/>
        </w:rPr>
        <w:t>Hannover</w:t>
      </w:r>
      <w:proofErr w:type="spellEnd"/>
      <w:r w:rsidR="00E81B07" w:rsidRPr="00F0117E">
        <w:rPr>
          <w:i/>
          <w:iCs/>
          <w:lang w:val="uk-UA"/>
        </w:rPr>
        <w:t xml:space="preserve"> (</w:t>
      </w:r>
      <w:r w:rsidR="00BB7ABA" w:rsidRPr="00F0117E">
        <w:rPr>
          <w:i/>
          <w:iCs/>
          <w:lang w:val="uk-UA"/>
        </w:rPr>
        <w:t>№</w:t>
      </w:r>
      <w:r w:rsidR="00E81B07" w:rsidRPr="00F0117E">
        <w:rPr>
          <w:i/>
          <w:iCs/>
          <w:lang w:val="uk-UA"/>
        </w:rPr>
        <w:t xml:space="preserve"> 2)</w:t>
      </w:r>
      <w:r w:rsidR="00E81B07" w:rsidRPr="00F0117E">
        <w:rPr>
          <w:lang w:val="uk-UA"/>
        </w:rPr>
        <w:t xml:space="preserve">, </w:t>
      </w:r>
      <w:proofErr w:type="spellStart"/>
      <w:r w:rsidR="00BB7ABA" w:rsidRPr="00F0117E">
        <w:rPr>
          <w:lang w:val="uk-UA"/>
        </w:rPr>
        <w:t>цит</w:t>
      </w:r>
      <w:proofErr w:type="spellEnd"/>
      <w:r w:rsidR="00BB7ABA" w:rsidRPr="00F0117E">
        <w:rPr>
          <w:lang w:val="uk-UA"/>
        </w:rPr>
        <w:t>. вище</w:t>
      </w:r>
      <w:r w:rsidR="00E81B07" w:rsidRPr="00F0117E">
        <w:rPr>
          <w:lang w:val="uk-UA"/>
        </w:rPr>
        <w:t>, § 98;</w:t>
      </w:r>
      <w:r w:rsidR="00E81B07" w:rsidRPr="00F0117E">
        <w:rPr>
          <w:b/>
          <w:lang w:val="uk-UA"/>
        </w:rPr>
        <w:t xml:space="preserve"> </w:t>
      </w:r>
      <w:r w:rsidR="00BB7ABA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Hämäläinen</w:t>
      </w:r>
      <w:proofErr w:type="spellEnd"/>
      <w:r w:rsidR="00E81B07" w:rsidRPr="00F0117E">
        <w:rPr>
          <w:i/>
          <w:lang w:val="uk-UA"/>
        </w:rPr>
        <w:t xml:space="preserve"> v. </w:t>
      </w:r>
      <w:proofErr w:type="spellStart"/>
      <w:r w:rsidR="00E81B07" w:rsidRPr="00F0117E">
        <w:rPr>
          <w:i/>
          <w:lang w:val="uk-UA"/>
        </w:rPr>
        <w:t>Finland</w:t>
      </w:r>
      <w:proofErr w:type="spellEnd"/>
      <w:r w:rsidR="00E81B07" w:rsidRPr="00F0117E">
        <w:rPr>
          <w:i/>
          <w:lang w:val="uk-UA"/>
        </w:rPr>
        <w:t xml:space="preserve"> </w:t>
      </w:r>
      <w:r w:rsidR="00E81B07" w:rsidRPr="00F0117E">
        <w:rPr>
          <w:lang w:val="uk-UA"/>
        </w:rPr>
        <w:t xml:space="preserve">[GC], </w:t>
      </w:r>
      <w:r w:rsidR="00BB7ABA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 37359/09, § 62, ECHR 2014).</w:t>
      </w:r>
    </w:p>
    <w:bookmarkStart w:id="40" w:name="pas_ingérence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109</w:t>
      </w:r>
      <w:r w:rsidRPr="00F0117E">
        <w:rPr>
          <w:lang w:val="uk-UA"/>
        </w:rPr>
        <w:fldChar w:fldCharType="end"/>
      </w:r>
      <w:bookmarkEnd w:id="40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B7ABA" w:rsidRPr="00F0117E">
        <w:rPr>
          <w:lang w:val="uk-UA"/>
        </w:rPr>
        <w:t>У даній справі Суд зауважує, що оскаржуваний заявником захід</w:t>
      </w:r>
      <w:r w:rsidR="00E81B07" w:rsidRPr="00F0117E">
        <w:rPr>
          <w:lang w:val="uk-UA"/>
        </w:rPr>
        <w:t xml:space="preserve">, </w:t>
      </w:r>
      <w:r w:rsidR="00BB7ABA" w:rsidRPr="00F0117E">
        <w:rPr>
          <w:lang w:val="uk-UA"/>
        </w:rPr>
        <w:t>а саме, моніторинг спілкування з використанням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Messenger, </w:t>
      </w:r>
      <w:r w:rsidR="00BB7ABA" w:rsidRPr="00F0117E">
        <w:rPr>
          <w:lang w:val="uk-UA"/>
        </w:rPr>
        <w:t>який призвів до дисциплінарних проваджень проти заявника та його звільнення</w:t>
      </w:r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за порушення внутрішніх розпоряджень роботодавця,</w:t>
      </w:r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які забороняли використання ресурсів компанії</w:t>
      </w:r>
      <w:r w:rsidR="00A14D27" w:rsidRPr="00F0117E">
        <w:rPr>
          <w:lang w:val="uk-UA"/>
        </w:rPr>
        <w:t xml:space="preserve"> в особистих цілях</w:t>
      </w:r>
      <w:r w:rsidR="00E81B07" w:rsidRPr="00F0117E">
        <w:rPr>
          <w:lang w:val="uk-UA"/>
        </w:rPr>
        <w:t xml:space="preserve">, </w:t>
      </w:r>
      <w:r w:rsidR="00BB7ABA" w:rsidRPr="00F0117E">
        <w:rPr>
          <w:lang w:val="uk-UA"/>
        </w:rPr>
        <w:t>був вжитий не державним органом, а приватною комерційною компанією</w:t>
      </w:r>
      <w:r w:rsidR="00E81B07" w:rsidRPr="00F0117E">
        <w:rPr>
          <w:lang w:val="uk-UA"/>
        </w:rPr>
        <w:t xml:space="preserve">. </w:t>
      </w:r>
      <w:r w:rsidR="00BB7ABA" w:rsidRPr="00F0117E">
        <w:rPr>
          <w:lang w:val="uk-UA"/>
        </w:rPr>
        <w:t>Тому моніторинг розмов заявника</w:t>
      </w:r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та перевірка роботодавцем їх змісту</w:t>
      </w:r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для виправдання його звільнення</w:t>
      </w:r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не може вважатися «втручанням» у його право</w:t>
      </w:r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з боку державного органу влади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110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B7ABA" w:rsidRPr="00F0117E">
        <w:rPr>
          <w:lang w:val="uk-UA"/>
        </w:rPr>
        <w:t>Однак, Суд зазначає, що вжитий роботодавцем захід</w:t>
      </w:r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був прийнятий національними судами</w:t>
      </w:r>
      <w:r w:rsidR="00E81B07" w:rsidRPr="00F0117E">
        <w:rPr>
          <w:lang w:val="uk-UA"/>
        </w:rPr>
        <w:t xml:space="preserve">. </w:t>
      </w:r>
      <w:r w:rsidR="00BB7ABA" w:rsidRPr="00F0117E">
        <w:rPr>
          <w:lang w:val="uk-UA"/>
        </w:rPr>
        <w:t>Дійсно, моніторинг розмов заявника не був результатом</w:t>
      </w:r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прямого втручання національних органів влади</w:t>
      </w:r>
      <w:r w:rsidR="00E81B07" w:rsidRPr="00F0117E">
        <w:rPr>
          <w:lang w:val="uk-UA"/>
        </w:rPr>
        <w:t xml:space="preserve">; </w:t>
      </w:r>
      <w:r w:rsidR="00BB7ABA" w:rsidRPr="00F0117E">
        <w:rPr>
          <w:lang w:val="uk-UA"/>
        </w:rPr>
        <w:t>однак, їх відповідальність була б задіяна, якщо б</w:t>
      </w:r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оскаржувані факти випливали з їх нездатності</w:t>
      </w:r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забезпечити заявникові користування правом,</w:t>
      </w:r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закріпленим у статті 8 Конвенції</w:t>
      </w:r>
      <w:r w:rsidR="00E81B07" w:rsidRPr="00F0117E">
        <w:rPr>
          <w:lang w:val="uk-UA"/>
        </w:rPr>
        <w:t xml:space="preserve"> (</w:t>
      </w:r>
      <w:r w:rsidR="00BB7ABA" w:rsidRPr="00F0117E">
        <w:rPr>
          <w:lang w:val="uk-UA"/>
        </w:rPr>
        <w:t>див., з необхідними змінами</w:t>
      </w:r>
      <w:r w:rsidR="00E81B07" w:rsidRPr="00F0117E">
        <w:rPr>
          <w:lang w:val="uk-UA"/>
        </w:rPr>
        <w:t xml:space="preserve">, </w:t>
      </w:r>
      <w:proofErr w:type="spellStart"/>
      <w:r w:rsidR="00E81B07" w:rsidRPr="00F0117E">
        <w:rPr>
          <w:i/>
          <w:lang w:val="uk-UA"/>
        </w:rPr>
        <w:t>Obst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Germany</w:t>
      </w:r>
      <w:proofErr w:type="spellEnd"/>
      <w:r w:rsidR="00E81B07" w:rsidRPr="00F0117E">
        <w:rPr>
          <w:lang w:val="uk-UA"/>
        </w:rPr>
        <w:t>,</w:t>
      </w:r>
      <w:r w:rsidR="00E81B07" w:rsidRPr="00F0117E">
        <w:rPr>
          <w:i/>
          <w:lang w:val="uk-UA"/>
        </w:rPr>
        <w:t xml:space="preserve"> </w:t>
      </w:r>
      <w:r w:rsidR="00BB7ABA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 425/03, §§ 40 </w:t>
      </w:r>
      <w:r w:rsidR="00BB7ABA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43, 23 </w:t>
      </w:r>
      <w:r w:rsidR="00BB7ABA" w:rsidRPr="00F0117E">
        <w:rPr>
          <w:lang w:val="uk-UA"/>
        </w:rPr>
        <w:t>вересня</w:t>
      </w:r>
      <w:r w:rsidR="00E81B07" w:rsidRPr="00F0117E">
        <w:rPr>
          <w:lang w:val="uk-UA"/>
        </w:rPr>
        <w:t xml:space="preserve"> 2010, </w:t>
      </w:r>
      <w:r w:rsidR="00BB7ABA" w:rsidRPr="00F0117E">
        <w:rPr>
          <w:lang w:val="uk-UA"/>
        </w:rPr>
        <w:t>і</w:t>
      </w:r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Schüth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Germany</w:t>
      </w:r>
      <w:proofErr w:type="spellEnd"/>
      <w:r w:rsidR="00E81B07" w:rsidRPr="00F0117E">
        <w:rPr>
          <w:lang w:val="uk-UA"/>
        </w:rPr>
        <w:t xml:space="preserve">, </w:t>
      </w:r>
      <w:r w:rsidR="00BB7ABA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 1620/03, §§ 54 </w:t>
      </w:r>
      <w:r w:rsidR="00BB7ABA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57, ECHR 2010).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111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B7ABA" w:rsidRPr="00F0117E">
        <w:rPr>
          <w:lang w:val="uk-UA"/>
        </w:rPr>
        <w:t>У світлі конкретних обставин справи, описаних у пункті</w:t>
      </w:r>
      <w:r w:rsidR="00E81B07" w:rsidRPr="00F0117E">
        <w:rPr>
          <w:lang w:val="uk-UA"/>
        </w:rPr>
        <w:t xml:space="preserve"> </w:t>
      </w:r>
      <w:fldSimple w:instr=" REF pas_ingérence \h  \* MERGEFORMAT ">
        <w:r w:rsidR="008B2B31" w:rsidRPr="00F0117E">
          <w:rPr>
            <w:lang w:val="uk-UA"/>
          </w:rPr>
          <w:t>109</w:t>
        </w:r>
      </w:fldSimple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вище, Суд вважає</w:t>
      </w:r>
      <w:r w:rsidR="00E81B07" w:rsidRPr="00F0117E">
        <w:rPr>
          <w:lang w:val="uk-UA"/>
        </w:rPr>
        <w:t xml:space="preserve">, </w:t>
      </w:r>
      <w:r w:rsidR="00BB7ABA" w:rsidRPr="00F0117E">
        <w:rPr>
          <w:lang w:val="uk-UA"/>
        </w:rPr>
        <w:t>беручи до уваги свої висновки щодо застосовності</w:t>
      </w:r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статті 8 Конвенції</w:t>
      </w:r>
      <w:r w:rsidR="00E81B07" w:rsidRPr="00F0117E">
        <w:rPr>
          <w:lang w:val="uk-UA"/>
        </w:rPr>
        <w:t xml:space="preserve"> (</w:t>
      </w:r>
      <w:r w:rsidR="00BB7ABA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applicable \h  \* MERGEFORMAT ">
        <w:r w:rsidR="008B2B31" w:rsidRPr="00F0117E">
          <w:rPr>
            <w:lang w:val="uk-UA"/>
          </w:rPr>
          <w:t>81</w:t>
        </w:r>
      </w:fldSimple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 </w:t>
      </w:r>
      <w:r w:rsidR="00BB7ABA" w:rsidRPr="00F0117E">
        <w:rPr>
          <w:lang w:val="uk-UA"/>
        </w:rPr>
        <w:t>та той факт, що користування заявником його правом</w:t>
      </w:r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на повагу до недоторканності приватного життя та кореспонденції було ускладнено</w:t>
      </w:r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діями приватного роботодавця</w:t>
      </w:r>
      <w:r w:rsidR="00E81B07" w:rsidRPr="00F0117E">
        <w:rPr>
          <w:lang w:val="uk-UA"/>
        </w:rPr>
        <w:t xml:space="preserve">, </w:t>
      </w:r>
      <w:r w:rsidR="00BB7ABA" w:rsidRPr="00F0117E">
        <w:rPr>
          <w:lang w:val="uk-UA"/>
        </w:rPr>
        <w:t>що скаргу необхідно розглянути з точки зору позитивних зобов’язань держави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lastRenderedPageBreak/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112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B7ABA" w:rsidRPr="00F0117E">
        <w:rPr>
          <w:lang w:val="uk-UA"/>
        </w:rPr>
        <w:t>Хоча межі між позитивними та негативними зобов’язаннями держави</w:t>
      </w:r>
      <w:r w:rsidR="00E81B07" w:rsidRPr="00F0117E">
        <w:rPr>
          <w:lang w:val="uk-UA"/>
        </w:rPr>
        <w:t xml:space="preserve"> </w:t>
      </w:r>
      <w:r w:rsidR="00BB7ABA" w:rsidRPr="00F0117E">
        <w:rPr>
          <w:lang w:val="uk-UA"/>
        </w:rPr>
        <w:t>відповідно до Конвенції не підлягають точному визначенню</w:t>
      </w:r>
      <w:r w:rsidR="00E81B07" w:rsidRPr="00F0117E">
        <w:rPr>
          <w:lang w:val="uk-UA"/>
        </w:rPr>
        <w:t xml:space="preserve">, </w:t>
      </w:r>
      <w:r w:rsidR="00BB7ABA" w:rsidRPr="00F0117E">
        <w:rPr>
          <w:lang w:val="uk-UA"/>
        </w:rPr>
        <w:t>застосовні принципи однакові</w:t>
      </w:r>
      <w:r w:rsidR="00E81B07" w:rsidRPr="00F0117E">
        <w:rPr>
          <w:lang w:val="uk-UA"/>
        </w:rPr>
        <w:t xml:space="preserve">. </w:t>
      </w:r>
      <w:r w:rsidR="00BB7ABA" w:rsidRPr="00F0117E">
        <w:rPr>
          <w:lang w:val="uk-UA"/>
        </w:rPr>
        <w:t>В обох контекстах слід особливо взяти до уваги справедливий баланс між інтересами фізичної особи та спільноти в цілому</w:t>
      </w:r>
      <w:r w:rsidR="00E81B07" w:rsidRPr="00F0117E">
        <w:rPr>
          <w:lang w:val="uk-UA"/>
        </w:rPr>
        <w:t xml:space="preserve">, </w:t>
      </w:r>
      <w:r w:rsidR="00BB7ABA" w:rsidRPr="00F0117E">
        <w:rPr>
          <w:lang w:val="uk-UA"/>
        </w:rPr>
        <w:t>що в будь-якому випадку підлягає свободі розсуду держави</w:t>
      </w:r>
      <w:r w:rsidR="00E81B07" w:rsidRPr="00F0117E">
        <w:rPr>
          <w:lang w:val="uk-UA"/>
        </w:rPr>
        <w:t xml:space="preserve"> (</w:t>
      </w:r>
      <w:r w:rsidR="00BB7ABA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Palomo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Sánchez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and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Others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Spain</w:t>
      </w:r>
      <w:proofErr w:type="spellEnd"/>
      <w:r w:rsidR="00E81B07" w:rsidRPr="00F0117E">
        <w:rPr>
          <w:i/>
          <w:lang w:val="uk-UA"/>
        </w:rPr>
        <w:t xml:space="preserve"> </w:t>
      </w:r>
      <w:r w:rsidR="00E81B07" w:rsidRPr="00F0117E">
        <w:rPr>
          <w:lang w:val="uk-UA"/>
        </w:rPr>
        <w:t xml:space="preserve">[GC], </w:t>
      </w:r>
      <w:r w:rsidR="00BB7ABA" w:rsidRPr="00F0117E">
        <w:rPr>
          <w:lang w:val="uk-UA"/>
        </w:rPr>
        <w:t>№№</w:t>
      </w:r>
      <w:r w:rsidR="00E81B07" w:rsidRPr="00F0117E">
        <w:rPr>
          <w:lang w:val="uk-UA"/>
        </w:rPr>
        <w:t> 28955/06</w:t>
      </w:r>
      <w:r w:rsidR="005150D3" w:rsidRPr="00F0117E">
        <w:rPr>
          <w:lang w:val="uk-UA"/>
        </w:rPr>
        <w:t xml:space="preserve"> </w:t>
      </w:r>
      <w:r w:rsidR="00BB7ABA" w:rsidRPr="00F0117E">
        <w:rPr>
          <w:lang w:val="uk-UA"/>
        </w:rPr>
        <w:t>та 3 інших</w:t>
      </w:r>
      <w:r w:rsidR="00E81B07" w:rsidRPr="00F0117E">
        <w:rPr>
          <w:lang w:val="uk-UA"/>
        </w:rPr>
        <w:t>, § 62, ECHR 2011).</w:t>
      </w:r>
    </w:p>
    <w:p w:rsidR="00E36F4C" w:rsidRPr="00F0117E" w:rsidRDefault="00E81B07" w:rsidP="008B2B31">
      <w:pPr>
        <w:pStyle w:val="ECHRHeading4"/>
        <w:rPr>
          <w:lang w:val="uk-UA"/>
        </w:rPr>
      </w:pPr>
      <w:r w:rsidRPr="00F0117E">
        <w:rPr>
          <w:lang w:val="uk-UA"/>
        </w:rPr>
        <w:t>(b)</w:t>
      </w:r>
      <w:r w:rsidR="00FA6D4F" w:rsidRPr="00F0117E">
        <w:rPr>
          <w:lang w:val="uk-UA"/>
        </w:rPr>
        <w:t xml:space="preserve"> </w:t>
      </w:r>
      <w:r w:rsidR="00A1657A" w:rsidRPr="00F0117E">
        <w:rPr>
          <w:lang w:val="uk-UA"/>
        </w:rPr>
        <w:t>Загальні принципи, застосовні до оцінки</w:t>
      </w:r>
      <w:r w:rsidRPr="00F0117E">
        <w:rPr>
          <w:lang w:val="uk-UA"/>
        </w:rPr>
        <w:t xml:space="preserve"> </w:t>
      </w:r>
      <w:r w:rsidR="00A1657A" w:rsidRPr="00F0117E">
        <w:rPr>
          <w:lang w:val="uk-UA"/>
        </w:rPr>
        <w:t>позитивного зобов’язання держави</w:t>
      </w:r>
      <w:r w:rsidRPr="00F0117E">
        <w:rPr>
          <w:lang w:val="uk-UA"/>
        </w:rPr>
        <w:t xml:space="preserve"> </w:t>
      </w:r>
      <w:r w:rsidR="00A1657A" w:rsidRPr="00F0117E">
        <w:rPr>
          <w:lang w:val="uk-UA"/>
        </w:rPr>
        <w:t>щодо забезпечення поваги до приватного життя</w:t>
      </w:r>
      <w:r w:rsidRPr="00F0117E">
        <w:rPr>
          <w:lang w:val="uk-UA"/>
        </w:rPr>
        <w:t xml:space="preserve"> </w:t>
      </w:r>
      <w:r w:rsidR="00A1657A" w:rsidRPr="00F0117E">
        <w:rPr>
          <w:lang w:val="uk-UA"/>
        </w:rPr>
        <w:t>та кореспонденції в контексті працевлаштування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113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A1657A" w:rsidRPr="00F0117E">
        <w:rPr>
          <w:lang w:val="uk-UA"/>
        </w:rPr>
        <w:t>Суд повторює, що вибір засобів,</w:t>
      </w:r>
      <w:r w:rsidR="00E81B07" w:rsidRPr="00F0117E">
        <w:rPr>
          <w:lang w:val="uk-UA"/>
        </w:rPr>
        <w:t xml:space="preserve"> </w:t>
      </w:r>
      <w:r w:rsidR="00A1657A" w:rsidRPr="00F0117E">
        <w:rPr>
          <w:lang w:val="uk-UA"/>
        </w:rPr>
        <w:t>розрахованих для забезпечення дотримання статті</w:t>
      </w:r>
      <w:r w:rsidR="00E81B07" w:rsidRPr="00F0117E">
        <w:rPr>
          <w:lang w:val="uk-UA"/>
        </w:rPr>
        <w:t xml:space="preserve"> 8 </w:t>
      </w:r>
      <w:r w:rsidR="00A1657A" w:rsidRPr="00F0117E">
        <w:rPr>
          <w:lang w:val="uk-UA"/>
        </w:rPr>
        <w:t>Конвенції у сфері відносин</w:t>
      </w:r>
      <w:r w:rsidR="00E81B07" w:rsidRPr="00F0117E">
        <w:rPr>
          <w:lang w:val="uk-UA"/>
        </w:rPr>
        <w:t xml:space="preserve"> </w:t>
      </w:r>
      <w:r w:rsidR="00A1657A" w:rsidRPr="00F0117E">
        <w:rPr>
          <w:lang w:val="uk-UA"/>
        </w:rPr>
        <w:t>фізичних осіб між собою</w:t>
      </w:r>
      <w:r w:rsidR="00E81B07" w:rsidRPr="00F0117E">
        <w:rPr>
          <w:lang w:val="uk-UA"/>
        </w:rPr>
        <w:t xml:space="preserve"> </w:t>
      </w:r>
      <w:r w:rsidR="00A1657A" w:rsidRPr="00F0117E">
        <w:rPr>
          <w:lang w:val="uk-UA"/>
        </w:rPr>
        <w:t>є, у принципі, питанням, яке потрапляє</w:t>
      </w:r>
      <w:r w:rsidR="00E81B07" w:rsidRPr="00F0117E">
        <w:rPr>
          <w:lang w:val="uk-UA"/>
        </w:rPr>
        <w:t xml:space="preserve"> </w:t>
      </w:r>
      <w:r w:rsidR="00A1657A" w:rsidRPr="00F0117E">
        <w:rPr>
          <w:lang w:val="uk-UA"/>
        </w:rPr>
        <w:t>до свободи розсуду Договірних Держав</w:t>
      </w:r>
      <w:r w:rsidR="00E81B07" w:rsidRPr="00F0117E">
        <w:rPr>
          <w:lang w:val="uk-UA"/>
        </w:rPr>
        <w:t xml:space="preserve">. </w:t>
      </w:r>
      <w:r w:rsidR="00A1657A" w:rsidRPr="00F0117E">
        <w:rPr>
          <w:lang w:val="uk-UA"/>
        </w:rPr>
        <w:t>Існують багато шляхів забезпечення поваги до приватного життя</w:t>
      </w:r>
      <w:r w:rsidR="00E81B07" w:rsidRPr="00F0117E">
        <w:rPr>
          <w:lang w:val="uk-UA"/>
        </w:rPr>
        <w:t xml:space="preserve">, </w:t>
      </w:r>
      <w:r w:rsidR="00A1657A" w:rsidRPr="00F0117E">
        <w:rPr>
          <w:lang w:val="uk-UA"/>
        </w:rPr>
        <w:t>і характер зобов’язання держави залежатиме</w:t>
      </w:r>
      <w:r w:rsidR="00E81B07" w:rsidRPr="00F0117E">
        <w:rPr>
          <w:lang w:val="uk-UA"/>
        </w:rPr>
        <w:t xml:space="preserve"> </w:t>
      </w:r>
      <w:r w:rsidR="00A1657A" w:rsidRPr="00F0117E">
        <w:rPr>
          <w:lang w:val="uk-UA"/>
        </w:rPr>
        <w:t>від конкретних аспектів приватного життя, про які йдеться мова</w:t>
      </w:r>
      <w:r w:rsidR="00E81B07" w:rsidRPr="00F0117E">
        <w:rPr>
          <w:lang w:val="uk-UA"/>
        </w:rPr>
        <w:t xml:space="preserve"> (</w:t>
      </w:r>
      <w:r w:rsidR="00A1657A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Söderman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Sweden</w:t>
      </w:r>
      <w:proofErr w:type="spellEnd"/>
      <w:r w:rsidR="00E81B07" w:rsidRPr="00F0117E">
        <w:rPr>
          <w:lang w:val="uk-UA"/>
        </w:rPr>
        <w:t xml:space="preserve"> [GC], </w:t>
      </w:r>
      <w:r w:rsidR="00A1657A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 5786/08</w:t>
      </w:r>
      <w:r w:rsidR="00E81B07" w:rsidRPr="00F0117E">
        <w:rPr>
          <w:snapToGrid w:val="0"/>
          <w:lang w:val="uk-UA"/>
        </w:rPr>
        <w:t>, § 79,</w:t>
      </w:r>
      <w:r w:rsidR="00E81B07" w:rsidRPr="00F0117E">
        <w:rPr>
          <w:snapToGrid w:val="0"/>
          <w:szCs w:val="24"/>
          <w:lang w:val="uk-UA"/>
        </w:rPr>
        <w:t xml:space="preserve"> </w:t>
      </w:r>
      <w:r w:rsidR="00E81B07" w:rsidRPr="00F0117E">
        <w:rPr>
          <w:lang w:val="uk-UA"/>
        </w:rPr>
        <w:t>ECHR 2013,</w:t>
      </w:r>
      <w:r w:rsidR="00E81B07" w:rsidRPr="00F0117E">
        <w:rPr>
          <w:snapToGrid w:val="0"/>
          <w:szCs w:val="24"/>
          <w:lang w:val="uk-UA"/>
        </w:rPr>
        <w:t xml:space="preserve"> </w:t>
      </w:r>
      <w:r w:rsidR="00A1657A" w:rsidRPr="00F0117E">
        <w:rPr>
          <w:snapToGrid w:val="0"/>
          <w:szCs w:val="24"/>
          <w:lang w:val="uk-UA"/>
        </w:rPr>
        <w:t>з подальшими посиланнями</w:t>
      </w:r>
      <w:r w:rsidR="00E81B07" w:rsidRPr="00F0117E">
        <w:rPr>
          <w:lang w:val="uk-UA"/>
        </w:rPr>
        <w:t>).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114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E4A0E" w:rsidRPr="00F0117E">
        <w:rPr>
          <w:lang w:val="uk-UA"/>
        </w:rPr>
        <w:t>Тому задача Суду у даній справі полягає у проясненні характеру</w:t>
      </w:r>
      <w:r w:rsidR="00E81B07" w:rsidRPr="00F0117E">
        <w:rPr>
          <w:lang w:val="uk-UA"/>
        </w:rPr>
        <w:t xml:space="preserve"> </w:t>
      </w:r>
      <w:r w:rsidR="00BE4A0E" w:rsidRPr="00F0117E">
        <w:rPr>
          <w:lang w:val="uk-UA"/>
        </w:rPr>
        <w:t>та обсягу позитивних зобов’язань,</w:t>
      </w:r>
      <w:r w:rsidR="00E81B07" w:rsidRPr="00F0117E">
        <w:rPr>
          <w:lang w:val="uk-UA"/>
        </w:rPr>
        <w:t xml:space="preserve"> </w:t>
      </w:r>
      <w:r w:rsidR="00BE4A0E" w:rsidRPr="00F0117E">
        <w:rPr>
          <w:lang w:val="uk-UA"/>
        </w:rPr>
        <w:t>які держава-відповідач повинна була виконати</w:t>
      </w:r>
      <w:r w:rsidR="00E81B07" w:rsidRPr="00F0117E">
        <w:rPr>
          <w:lang w:val="uk-UA"/>
        </w:rPr>
        <w:t xml:space="preserve"> </w:t>
      </w:r>
      <w:r w:rsidR="00BE4A0E" w:rsidRPr="00F0117E">
        <w:rPr>
          <w:lang w:val="uk-UA"/>
        </w:rPr>
        <w:t>при захисті права заявника на повагу</w:t>
      </w:r>
      <w:r w:rsidR="00E81B07" w:rsidRPr="00F0117E">
        <w:rPr>
          <w:lang w:val="uk-UA"/>
        </w:rPr>
        <w:t xml:space="preserve"> </w:t>
      </w:r>
      <w:r w:rsidR="00BE4A0E" w:rsidRPr="00F0117E">
        <w:rPr>
          <w:lang w:val="uk-UA"/>
        </w:rPr>
        <w:t>до його приватного життя та кореспонденції</w:t>
      </w:r>
      <w:r w:rsidR="00E81B07" w:rsidRPr="00F0117E">
        <w:rPr>
          <w:lang w:val="uk-UA"/>
        </w:rPr>
        <w:t xml:space="preserve"> </w:t>
      </w:r>
      <w:r w:rsidR="00BE4A0E" w:rsidRPr="00F0117E">
        <w:rPr>
          <w:lang w:val="uk-UA"/>
        </w:rPr>
        <w:t>у контексті працевлаштування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115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E4A0E" w:rsidRPr="00F0117E">
        <w:rPr>
          <w:lang w:val="uk-UA"/>
        </w:rPr>
        <w:t>Суд зауважує, що він вже постановляв, що за певних обставин</w:t>
      </w:r>
      <w:r w:rsidR="00E81B07" w:rsidRPr="00F0117E">
        <w:rPr>
          <w:lang w:val="uk-UA"/>
        </w:rPr>
        <w:t xml:space="preserve"> </w:t>
      </w:r>
      <w:r w:rsidR="00BE4A0E" w:rsidRPr="00F0117E">
        <w:rPr>
          <w:lang w:val="uk-UA"/>
        </w:rPr>
        <w:t>позитивні зобов’язання держави відповідно до статті</w:t>
      </w:r>
      <w:r w:rsidR="00E81B07" w:rsidRPr="00F0117E">
        <w:rPr>
          <w:lang w:val="uk-UA"/>
        </w:rPr>
        <w:t xml:space="preserve"> 8 </w:t>
      </w:r>
      <w:r w:rsidR="00BE4A0E" w:rsidRPr="00F0117E">
        <w:rPr>
          <w:lang w:val="uk-UA"/>
        </w:rPr>
        <w:t>Конвенції не виконуються належним чином,</w:t>
      </w:r>
      <w:r w:rsidR="00E81B07" w:rsidRPr="00F0117E">
        <w:rPr>
          <w:lang w:val="uk-UA"/>
        </w:rPr>
        <w:t xml:space="preserve"> </w:t>
      </w:r>
      <w:r w:rsidR="00BE4A0E" w:rsidRPr="00F0117E">
        <w:rPr>
          <w:lang w:val="uk-UA"/>
        </w:rPr>
        <w:t>якщо вона не забезпечує повагу до приватного життя у відносинах</w:t>
      </w:r>
      <w:r w:rsidR="00E81B07" w:rsidRPr="00F0117E">
        <w:rPr>
          <w:lang w:val="uk-UA"/>
        </w:rPr>
        <w:t xml:space="preserve"> </w:t>
      </w:r>
      <w:r w:rsidR="00BE4A0E" w:rsidRPr="00F0117E">
        <w:rPr>
          <w:lang w:val="uk-UA"/>
        </w:rPr>
        <w:t>між фізичними особами шляхом створення</w:t>
      </w:r>
      <w:r w:rsidR="00E81B07" w:rsidRPr="00F0117E">
        <w:rPr>
          <w:lang w:val="uk-UA"/>
        </w:rPr>
        <w:t xml:space="preserve"> </w:t>
      </w:r>
      <w:r w:rsidR="00BE4A0E" w:rsidRPr="00F0117E">
        <w:rPr>
          <w:lang w:val="uk-UA"/>
        </w:rPr>
        <w:t>законодавчої системи,</w:t>
      </w:r>
      <w:r w:rsidR="00E81B07" w:rsidRPr="00F0117E">
        <w:rPr>
          <w:lang w:val="uk-UA"/>
        </w:rPr>
        <w:t xml:space="preserve"> </w:t>
      </w:r>
      <w:r w:rsidR="00BE4A0E" w:rsidRPr="00F0117E">
        <w:rPr>
          <w:lang w:val="uk-UA"/>
        </w:rPr>
        <w:t>яка приймає до уваги різні інтереси, які необхідно захищати у конкретному контексті</w:t>
      </w:r>
      <w:r w:rsidR="00E81B07" w:rsidRPr="00F0117E">
        <w:rPr>
          <w:lang w:val="uk-UA"/>
        </w:rPr>
        <w:t xml:space="preserve"> (</w:t>
      </w:r>
      <w:r w:rsidR="00BE4A0E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r w:rsidR="00E81B07" w:rsidRPr="00F0117E">
        <w:rPr>
          <w:i/>
          <w:lang w:val="uk-UA"/>
        </w:rPr>
        <w:t xml:space="preserve">X </w:t>
      </w:r>
      <w:proofErr w:type="spellStart"/>
      <w:r w:rsidR="00E81B07" w:rsidRPr="00F0117E">
        <w:rPr>
          <w:i/>
          <w:lang w:val="uk-UA"/>
        </w:rPr>
        <w:t>and</w:t>
      </w:r>
      <w:proofErr w:type="spellEnd"/>
      <w:r w:rsidR="00E81B07" w:rsidRPr="00F0117E">
        <w:rPr>
          <w:i/>
          <w:lang w:val="uk-UA"/>
        </w:rPr>
        <w:t xml:space="preserve"> Y v. </w:t>
      </w:r>
      <w:proofErr w:type="spellStart"/>
      <w:r w:rsidR="00E81B07" w:rsidRPr="00F0117E">
        <w:rPr>
          <w:i/>
          <w:lang w:val="uk-UA"/>
        </w:rPr>
        <w:t>the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Netherlands</w:t>
      </w:r>
      <w:proofErr w:type="spellEnd"/>
      <w:r w:rsidR="00E81B07" w:rsidRPr="00F0117E">
        <w:rPr>
          <w:lang w:val="uk-UA"/>
        </w:rPr>
        <w:t xml:space="preserve">, </w:t>
      </w:r>
      <w:proofErr w:type="spellStart"/>
      <w:r w:rsidR="00BE4A0E" w:rsidRPr="00F0117E">
        <w:rPr>
          <w:lang w:val="uk-UA"/>
        </w:rPr>
        <w:t>цит</w:t>
      </w:r>
      <w:proofErr w:type="spellEnd"/>
      <w:r w:rsidR="00BE4A0E" w:rsidRPr="00F0117E">
        <w:rPr>
          <w:lang w:val="uk-UA"/>
        </w:rPr>
        <w:t>. вище</w:t>
      </w:r>
      <w:r w:rsidR="00E81B07" w:rsidRPr="00F0117E">
        <w:rPr>
          <w:lang w:val="uk-UA"/>
        </w:rPr>
        <w:t xml:space="preserve">, §§ 23, 24 </w:t>
      </w:r>
      <w:r w:rsidR="00BE4A0E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27, </w:t>
      </w:r>
      <w:r w:rsidR="00BE4A0E" w:rsidRPr="00F0117E">
        <w:rPr>
          <w:lang w:val="uk-UA"/>
        </w:rPr>
        <w:t>і</w:t>
      </w:r>
      <w:r w:rsidR="00E81B07" w:rsidRPr="00F0117E">
        <w:rPr>
          <w:lang w:val="uk-UA"/>
        </w:rPr>
        <w:t xml:space="preserve"> </w:t>
      </w:r>
      <w:r w:rsidR="00E81B07" w:rsidRPr="00F0117E">
        <w:rPr>
          <w:i/>
          <w:lang w:val="uk-UA"/>
        </w:rPr>
        <w:t>M.C. v. </w:t>
      </w:r>
      <w:proofErr w:type="spellStart"/>
      <w:r w:rsidR="00E81B07" w:rsidRPr="00F0117E">
        <w:rPr>
          <w:i/>
          <w:lang w:val="uk-UA"/>
        </w:rPr>
        <w:t>Bulgaria</w:t>
      </w:r>
      <w:proofErr w:type="spellEnd"/>
      <w:r w:rsidR="00E81B07" w:rsidRPr="00F0117E">
        <w:rPr>
          <w:lang w:val="uk-UA"/>
        </w:rPr>
        <w:t>,</w:t>
      </w:r>
      <w:r w:rsidR="00E81B07" w:rsidRPr="00F0117E">
        <w:rPr>
          <w:i/>
          <w:lang w:val="uk-UA"/>
        </w:rPr>
        <w:t xml:space="preserve"> </w:t>
      </w:r>
      <w:r w:rsidR="00BE4A0E" w:rsidRPr="00F0117E">
        <w:rPr>
          <w:lang w:val="uk-UA"/>
        </w:rPr>
        <w:t>№</w:t>
      </w:r>
      <w:r w:rsidR="00E81B07" w:rsidRPr="00F0117E">
        <w:rPr>
          <w:vertAlign w:val="superscript"/>
          <w:lang w:val="uk-UA"/>
        </w:rPr>
        <w:t xml:space="preserve"> </w:t>
      </w:r>
      <w:r w:rsidR="00E81B07" w:rsidRPr="00F0117E">
        <w:rPr>
          <w:lang w:val="uk-UA"/>
        </w:rPr>
        <w:t>39272/98, § 150, ECHR 2003</w:t>
      </w:r>
      <w:r w:rsidR="00E81B07" w:rsidRPr="00F0117E">
        <w:rPr>
          <w:lang w:val="uk-UA"/>
        </w:rPr>
        <w:noBreakHyphen/>
        <w:t xml:space="preserve">XII, </w:t>
      </w:r>
      <w:r w:rsidR="00BE4A0E" w:rsidRPr="00F0117E">
        <w:rPr>
          <w:lang w:val="uk-UA"/>
        </w:rPr>
        <w:t>стосовно сексуальних нападів на неповнолітніх</w:t>
      </w:r>
      <w:r w:rsidR="00E81B07" w:rsidRPr="00F0117E">
        <w:rPr>
          <w:lang w:val="uk-UA"/>
        </w:rPr>
        <w:t xml:space="preserve">; </w:t>
      </w:r>
      <w:r w:rsidR="00BE4A0E" w:rsidRPr="00F0117E">
        <w:rPr>
          <w:lang w:val="uk-UA"/>
        </w:rPr>
        <w:t>див. також</w:t>
      </w:r>
      <w:r w:rsidR="00E81B07" w:rsidRPr="00F0117E">
        <w:rPr>
          <w:lang w:val="uk-UA"/>
        </w:rPr>
        <w:t xml:space="preserve"> </w:t>
      </w:r>
      <w:r w:rsidR="00E81B07" w:rsidRPr="00F0117E">
        <w:rPr>
          <w:i/>
          <w:lang w:val="uk-UA"/>
        </w:rPr>
        <w:t xml:space="preserve">K.U. v. </w:t>
      </w:r>
      <w:proofErr w:type="spellStart"/>
      <w:r w:rsidR="00E81B07" w:rsidRPr="00F0117E">
        <w:rPr>
          <w:i/>
          <w:lang w:val="uk-UA"/>
        </w:rPr>
        <w:t>Finland</w:t>
      </w:r>
      <w:proofErr w:type="spellEnd"/>
      <w:r w:rsidR="00E81B07" w:rsidRPr="00F0117E">
        <w:rPr>
          <w:lang w:val="uk-UA"/>
        </w:rPr>
        <w:t xml:space="preserve">, </w:t>
      </w:r>
      <w:r w:rsidR="00BE4A0E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 2872/02, §§ 43 </w:t>
      </w:r>
      <w:r w:rsidR="00BE4A0E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49, ECHR 2008, </w:t>
      </w:r>
      <w:r w:rsidR="00BE4A0E" w:rsidRPr="00F0117E">
        <w:rPr>
          <w:lang w:val="uk-UA"/>
        </w:rPr>
        <w:t>стосовно реклами сексуального характеру,</w:t>
      </w:r>
      <w:r w:rsidR="00E81B07" w:rsidRPr="00F0117E">
        <w:rPr>
          <w:lang w:val="uk-UA"/>
        </w:rPr>
        <w:t xml:space="preserve"> </w:t>
      </w:r>
      <w:r w:rsidR="00BE4A0E" w:rsidRPr="00F0117E">
        <w:rPr>
          <w:lang w:val="uk-UA"/>
        </w:rPr>
        <w:t>поміщеній на сайті для побачень</w:t>
      </w:r>
      <w:r w:rsidR="00E81B07" w:rsidRPr="00F0117E">
        <w:rPr>
          <w:lang w:val="uk-UA"/>
        </w:rPr>
        <w:t xml:space="preserve"> </w:t>
      </w:r>
      <w:r w:rsidR="00BE4A0E" w:rsidRPr="00F0117E">
        <w:rPr>
          <w:lang w:val="uk-UA"/>
        </w:rPr>
        <w:t>від імені неповнолітнього</w:t>
      </w:r>
      <w:r w:rsidR="00E81B07" w:rsidRPr="00F0117E">
        <w:rPr>
          <w:lang w:val="uk-UA"/>
        </w:rPr>
        <w:t xml:space="preserve">; </w:t>
      </w:r>
      <w:proofErr w:type="spellStart"/>
      <w:r w:rsidR="00E81B07" w:rsidRPr="00F0117E">
        <w:rPr>
          <w:i/>
          <w:lang w:val="uk-UA"/>
        </w:rPr>
        <w:t>Söderman</w:t>
      </w:r>
      <w:proofErr w:type="spellEnd"/>
      <w:r w:rsidR="00E81B07" w:rsidRPr="00F0117E">
        <w:rPr>
          <w:lang w:val="uk-UA"/>
        </w:rPr>
        <w:t xml:space="preserve">, </w:t>
      </w:r>
      <w:proofErr w:type="spellStart"/>
      <w:r w:rsidR="00BE4A0E" w:rsidRPr="00F0117E">
        <w:rPr>
          <w:lang w:val="uk-UA"/>
        </w:rPr>
        <w:t>цит</w:t>
      </w:r>
      <w:proofErr w:type="spellEnd"/>
      <w:r w:rsidR="00BE4A0E" w:rsidRPr="00F0117E">
        <w:rPr>
          <w:lang w:val="uk-UA"/>
        </w:rPr>
        <w:t>. вище</w:t>
      </w:r>
      <w:r w:rsidR="00E81B07" w:rsidRPr="00F0117E">
        <w:rPr>
          <w:lang w:val="uk-UA"/>
        </w:rPr>
        <w:t xml:space="preserve">, § 85, </w:t>
      </w:r>
      <w:r w:rsidR="00BE4A0E" w:rsidRPr="00F0117E">
        <w:rPr>
          <w:lang w:val="uk-UA"/>
        </w:rPr>
        <w:t>стосовно ефективності засобів правового захисту</w:t>
      </w:r>
      <w:r w:rsidR="00E81B07" w:rsidRPr="00F0117E">
        <w:rPr>
          <w:lang w:val="uk-UA"/>
        </w:rPr>
        <w:t xml:space="preserve"> </w:t>
      </w:r>
      <w:r w:rsidR="00FC34C7">
        <w:rPr>
          <w:lang w:val="uk-UA"/>
        </w:rPr>
        <w:t xml:space="preserve">стосовно </w:t>
      </w:r>
      <w:r w:rsidR="00BE4A0E" w:rsidRPr="00F0117E">
        <w:rPr>
          <w:lang w:val="uk-UA"/>
        </w:rPr>
        <w:t>стверджуваного порушення</w:t>
      </w:r>
      <w:r w:rsidR="00E81B07" w:rsidRPr="00F0117E">
        <w:rPr>
          <w:lang w:val="uk-UA"/>
        </w:rPr>
        <w:t xml:space="preserve"> </w:t>
      </w:r>
      <w:r w:rsidR="00D82156" w:rsidRPr="00F0117E">
        <w:rPr>
          <w:lang w:val="uk-UA"/>
        </w:rPr>
        <w:t>особистої</w:t>
      </w:r>
      <w:r w:rsidR="00BE4A0E" w:rsidRPr="00F0117E">
        <w:rPr>
          <w:lang w:val="uk-UA"/>
        </w:rPr>
        <w:t xml:space="preserve"> недоторканності, скоєного близьким родичем</w:t>
      </w:r>
      <w:r w:rsidR="00E81B07" w:rsidRPr="00F0117E">
        <w:rPr>
          <w:lang w:val="uk-UA"/>
        </w:rPr>
        <w:t xml:space="preserve">; </w:t>
      </w:r>
      <w:r w:rsidR="00BE4A0E" w:rsidRPr="00F0117E">
        <w:rPr>
          <w:lang w:val="uk-UA"/>
        </w:rPr>
        <w:t>і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Codarcea</w:t>
      </w:r>
      <w:proofErr w:type="spellEnd"/>
      <w:r w:rsidR="00E81B07" w:rsidRPr="00F0117E">
        <w:rPr>
          <w:i/>
          <w:lang w:val="uk-UA"/>
        </w:rPr>
        <w:t xml:space="preserve"> v. </w:t>
      </w:r>
      <w:proofErr w:type="spellStart"/>
      <w:r w:rsidR="00E81B07" w:rsidRPr="00F0117E">
        <w:rPr>
          <w:i/>
          <w:lang w:val="uk-UA"/>
        </w:rPr>
        <w:t>Romania</w:t>
      </w:r>
      <w:proofErr w:type="spellEnd"/>
      <w:r w:rsidR="00E81B07" w:rsidRPr="00F0117E">
        <w:rPr>
          <w:lang w:val="uk-UA"/>
        </w:rPr>
        <w:t xml:space="preserve">, </w:t>
      </w:r>
      <w:r w:rsidR="00BE4A0E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 31675/04, </w:t>
      </w:r>
      <w:r w:rsidR="00E81B07" w:rsidRPr="00F0117E">
        <w:rPr>
          <w:snapToGrid w:val="0"/>
          <w:lang w:val="uk-UA"/>
        </w:rPr>
        <w:t xml:space="preserve">§§ 102-04, 2 </w:t>
      </w:r>
      <w:r w:rsidR="00BE4A0E" w:rsidRPr="00F0117E">
        <w:rPr>
          <w:lang w:val="uk-UA"/>
        </w:rPr>
        <w:t>червня</w:t>
      </w:r>
      <w:r w:rsidR="00E81B07" w:rsidRPr="00F0117E">
        <w:rPr>
          <w:snapToGrid w:val="0"/>
          <w:lang w:val="uk-UA"/>
        </w:rPr>
        <w:t xml:space="preserve"> 2009</w:t>
      </w:r>
      <w:r w:rsidR="00BE4A0E" w:rsidRPr="00F0117E">
        <w:rPr>
          <w:snapToGrid w:val="0"/>
          <w:lang w:val="uk-UA"/>
        </w:rPr>
        <w:t xml:space="preserve"> року</w:t>
      </w:r>
      <w:r w:rsidR="00E81B07" w:rsidRPr="00F0117E">
        <w:rPr>
          <w:snapToGrid w:val="0"/>
          <w:lang w:val="uk-UA"/>
        </w:rPr>
        <w:t>,</w:t>
      </w:r>
      <w:r w:rsidR="00E81B07" w:rsidRPr="00F0117E">
        <w:rPr>
          <w:lang w:val="uk-UA"/>
        </w:rPr>
        <w:t xml:space="preserve"> </w:t>
      </w:r>
      <w:r w:rsidR="00BE4A0E" w:rsidRPr="00F0117E">
        <w:rPr>
          <w:lang w:val="uk-UA"/>
        </w:rPr>
        <w:t>стосовно медичної недбалості</w:t>
      </w:r>
      <w:r w:rsidR="00E81B07" w:rsidRPr="00F0117E">
        <w:rPr>
          <w:lang w:val="uk-UA"/>
        </w:rPr>
        <w:t>).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116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B5DAB" w:rsidRPr="00F0117E">
        <w:rPr>
          <w:lang w:val="uk-UA"/>
        </w:rPr>
        <w:t>Суд визнає, що захисні заходи</w:t>
      </w:r>
      <w:r w:rsidR="00E81B07" w:rsidRPr="00F0117E">
        <w:rPr>
          <w:lang w:val="uk-UA"/>
        </w:rPr>
        <w:t xml:space="preserve"> </w:t>
      </w:r>
      <w:r w:rsidR="005B5DAB" w:rsidRPr="00F0117E">
        <w:rPr>
          <w:lang w:val="uk-UA"/>
        </w:rPr>
        <w:t>можна знайти не тільки у трудовому законодавстві, але й у цивільному та кримінальному праві</w:t>
      </w:r>
      <w:r w:rsidR="00E81B07" w:rsidRPr="00F0117E">
        <w:rPr>
          <w:lang w:val="uk-UA"/>
        </w:rPr>
        <w:t xml:space="preserve">. </w:t>
      </w:r>
      <w:r w:rsidR="005B5DAB" w:rsidRPr="00F0117E">
        <w:rPr>
          <w:lang w:val="uk-UA"/>
        </w:rPr>
        <w:t>У тому, що стосується</w:t>
      </w:r>
      <w:r w:rsidR="00FA6D4F" w:rsidRPr="00F0117E">
        <w:rPr>
          <w:lang w:val="uk-UA"/>
        </w:rPr>
        <w:t xml:space="preserve"> </w:t>
      </w:r>
      <w:r w:rsidR="005B5DAB" w:rsidRPr="00F0117E">
        <w:rPr>
          <w:lang w:val="uk-UA"/>
        </w:rPr>
        <w:t>трудового законодавства</w:t>
      </w:r>
      <w:r w:rsidR="00E81B07" w:rsidRPr="00F0117E">
        <w:rPr>
          <w:lang w:val="uk-UA"/>
        </w:rPr>
        <w:t xml:space="preserve">, </w:t>
      </w:r>
      <w:r w:rsidR="005B5DAB" w:rsidRPr="00F0117E">
        <w:rPr>
          <w:lang w:val="uk-UA"/>
        </w:rPr>
        <w:t>він повинен переконатися, чи повинна була держава-відповідач у даній справі</w:t>
      </w:r>
      <w:r w:rsidR="00E81B07" w:rsidRPr="00F0117E">
        <w:rPr>
          <w:lang w:val="uk-UA"/>
        </w:rPr>
        <w:t xml:space="preserve"> </w:t>
      </w:r>
      <w:r w:rsidR="005B5DAB" w:rsidRPr="00F0117E">
        <w:rPr>
          <w:lang w:val="uk-UA"/>
        </w:rPr>
        <w:t xml:space="preserve">створити законодавчу систему для захисту права заявника на повагу до </w:t>
      </w:r>
      <w:r w:rsidR="005B5DAB" w:rsidRPr="00F0117E">
        <w:rPr>
          <w:lang w:val="uk-UA"/>
        </w:rPr>
        <w:lastRenderedPageBreak/>
        <w:t>приватного життя</w:t>
      </w:r>
      <w:r w:rsidR="00E81B07" w:rsidRPr="00F0117E">
        <w:rPr>
          <w:lang w:val="uk-UA"/>
        </w:rPr>
        <w:t xml:space="preserve"> </w:t>
      </w:r>
      <w:r w:rsidR="005B5DAB" w:rsidRPr="00F0117E">
        <w:rPr>
          <w:lang w:val="uk-UA"/>
        </w:rPr>
        <w:t>та кореспонденцію у контексті</w:t>
      </w:r>
      <w:r w:rsidR="00E81B07" w:rsidRPr="00F0117E">
        <w:rPr>
          <w:lang w:val="uk-UA"/>
        </w:rPr>
        <w:t xml:space="preserve"> </w:t>
      </w:r>
      <w:r w:rsidR="005B5DAB" w:rsidRPr="00F0117E">
        <w:rPr>
          <w:lang w:val="uk-UA"/>
        </w:rPr>
        <w:t>професійних відносин з приватним роботодавцем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i/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117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B5DAB" w:rsidRPr="00F0117E">
        <w:rPr>
          <w:lang w:val="uk-UA"/>
        </w:rPr>
        <w:t>У зв’язку</w:t>
      </w:r>
      <w:r w:rsidR="007A7349">
        <w:rPr>
          <w:lang w:val="uk-UA"/>
        </w:rPr>
        <w:t xml:space="preserve"> з цим</w:t>
      </w:r>
      <w:r w:rsidR="005B5DAB" w:rsidRPr="00F0117E">
        <w:rPr>
          <w:lang w:val="uk-UA"/>
        </w:rPr>
        <w:t xml:space="preserve"> Суд вважає з самого початку,</w:t>
      </w:r>
      <w:r w:rsidR="00E81B07" w:rsidRPr="00F0117E">
        <w:rPr>
          <w:lang w:val="uk-UA"/>
        </w:rPr>
        <w:t xml:space="preserve"> </w:t>
      </w:r>
      <w:r w:rsidR="005B5DAB" w:rsidRPr="00F0117E">
        <w:rPr>
          <w:lang w:val="uk-UA"/>
        </w:rPr>
        <w:t>що трудове законодавство має конкретні особливості,</w:t>
      </w:r>
      <w:r w:rsidR="00E81B07" w:rsidRPr="00F0117E">
        <w:rPr>
          <w:lang w:val="uk-UA"/>
        </w:rPr>
        <w:t xml:space="preserve"> </w:t>
      </w:r>
      <w:r w:rsidR="005B5DAB" w:rsidRPr="00F0117E">
        <w:rPr>
          <w:lang w:val="uk-UA"/>
        </w:rPr>
        <w:t>які необхідно взяти до уваги</w:t>
      </w:r>
      <w:r w:rsidR="00E81B07" w:rsidRPr="00F0117E">
        <w:rPr>
          <w:lang w:val="uk-UA"/>
        </w:rPr>
        <w:t xml:space="preserve">. </w:t>
      </w:r>
      <w:r w:rsidR="005B5DAB" w:rsidRPr="00F0117E">
        <w:rPr>
          <w:lang w:val="uk-UA"/>
        </w:rPr>
        <w:t>Відносини роботодавця та працівника</w:t>
      </w:r>
      <w:r w:rsidR="00E81B07" w:rsidRPr="00F0117E">
        <w:rPr>
          <w:lang w:val="uk-UA"/>
        </w:rPr>
        <w:t xml:space="preserve"> </w:t>
      </w:r>
      <w:r w:rsidR="005B5DAB" w:rsidRPr="00F0117E">
        <w:rPr>
          <w:lang w:val="uk-UA"/>
        </w:rPr>
        <w:t>є договірними</w:t>
      </w:r>
      <w:r w:rsidR="00E81B07" w:rsidRPr="00F0117E">
        <w:rPr>
          <w:lang w:val="uk-UA"/>
        </w:rPr>
        <w:t xml:space="preserve">, </w:t>
      </w:r>
      <w:r w:rsidR="005B5DAB" w:rsidRPr="00F0117E">
        <w:rPr>
          <w:lang w:val="uk-UA"/>
        </w:rPr>
        <w:t>з конкретними правами та обов’язками з обох сторін</w:t>
      </w:r>
      <w:r w:rsidR="00E81B07" w:rsidRPr="00F0117E">
        <w:rPr>
          <w:lang w:val="uk-UA"/>
        </w:rPr>
        <w:t xml:space="preserve">, </w:t>
      </w:r>
      <w:r w:rsidR="005B5DAB" w:rsidRPr="00F0117E">
        <w:rPr>
          <w:lang w:val="uk-UA"/>
        </w:rPr>
        <w:t>і характеризуються юридичною субординацією</w:t>
      </w:r>
      <w:r w:rsidR="00E81B07" w:rsidRPr="00F0117E">
        <w:rPr>
          <w:lang w:val="uk-UA"/>
        </w:rPr>
        <w:t xml:space="preserve">. </w:t>
      </w:r>
      <w:r w:rsidR="00F6758C" w:rsidRPr="00F0117E">
        <w:rPr>
          <w:lang w:val="uk-UA"/>
        </w:rPr>
        <w:t>Вони регулюються власними юридичними правилами</w:t>
      </w:r>
      <w:r w:rsidR="00E81B07" w:rsidRPr="00F0117E">
        <w:rPr>
          <w:lang w:val="uk-UA"/>
        </w:rPr>
        <w:t xml:space="preserve">, </w:t>
      </w:r>
      <w:r w:rsidR="00F6758C" w:rsidRPr="00F0117E">
        <w:rPr>
          <w:lang w:val="uk-UA"/>
        </w:rPr>
        <w:t>які значно відрізняються від правил, застосовних</w:t>
      </w:r>
      <w:r w:rsidR="00E81B07" w:rsidRPr="00F0117E">
        <w:rPr>
          <w:lang w:val="uk-UA"/>
        </w:rPr>
        <w:t xml:space="preserve"> </w:t>
      </w:r>
      <w:r w:rsidR="00F6758C" w:rsidRPr="00F0117E">
        <w:rPr>
          <w:lang w:val="uk-UA"/>
        </w:rPr>
        <w:t>в цілому до відносин між особами</w:t>
      </w:r>
      <w:r w:rsidR="00E81B07" w:rsidRPr="00F0117E">
        <w:rPr>
          <w:i/>
          <w:lang w:val="uk-UA"/>
        </w:rPr>
        <w:t xml:space="preserve"> </w:t>
      </w:r>
      <w:r w:rsidR="00E81B07" w:rsidRPr="00F0117E">
        <w:rPr>
          <w:lang w:val="uk-UA"/>
        </w:rPr>
        <w:t>(</w:t>
      </w:r>
      <w:r w:rsidR="00F6758C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Saumier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France</w:t>
      </w:r>
      <w:proofErr w:type="spellEnd"/>
      <w:r w:rsidR="00E81B07" w:rsidRPr="00F0117E">
        <w:rPr>
          <w:lang w:val="uk-UA"/>
        </w:rPr>
        <w:t xml:space="preserve">, </w:t>
      </w:r>
      <w:r w:rsidR="00F6758C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 </w:t>
      </w:r>
      <w:r w:rsidR="00E81B07" w:rsidRPr="00F0117E">
        <w:rPr>
          <w:iCs/>
          <w:lang w:val="uk-UA"/>
        </w:rPr>
        <w:t>74734/14</w:t>
      </w:r>
      <w:r w:rsidR="00E81B07" w:rsidRPr="00F0117E">
        <w:rPr>
          <w:lang w:val="uk-UA"/>
        </w:rPr>
        <w:t>, § 60, 12 </w:t>
      </w:r>
      <w:r w:rsidR="00F6758C" w:rsidRPr="00F0117E">
        <w:rPr>
          <w:lang w:val="uk-UA"/>
        </w:rPr>
        <w:t>січня</w:t>
      </w:r>
      <w:r w:rsidR="00E81B07" w:rsidRPr="00F0117E">
        <w:rPr>
          <w:lang w:val="uk-UA"/>
        </w:rPr>
        <w:t xml:space="preserve"> 2017).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118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F6758C" w:rsidRPr="00F0117E">
        <w:rPr>
          <w:lang w:val="uk-UA"/>
        </w:rPr>
        <w:t>З нормативної перспективи</w:t>
      </w:r>
      <w:r w:rsidR="00E81B07" w:rsidRPr="00F0117E">
        <w:rPr>
          <w:lang w:val="uk-UA"/>
        </w:rPr>
        <w:t xml:space="preserve">, </w:t>
      </w:r>
      <w:r w:rsidR="00F6758C" w:rsidRPr="00F0117E">
        <w:rPr>
          <w:lang w:val="uk-UA"/>
        </w:rPr>
        <w:t>трудове законодавство залишає місце</w:t>
      </w:r>
      <w:r w:rsidR="00E81B07" w:rsidRPr="00F0117E">
        <w:rPr>
          <w:lang w:val="uk-UA"/>
        </w:rPr>
        <w:t xml:space="preserve"> </w:t>
      </w:r>
      <w:r w:rsidR="00F6758C" w:rsidRPr="00F0117E">
        <w:rPr>
          <w:lang w:val="uk-UA"/>
        </w:rPr>
        <w:t>для переговорів між сторонами</w:t>
      </w:r>
      <w:r w:rsidR="00E81B07" w:rsidRPr="00F0117E">
        <w:rPr>
          <w:lang w:val="uk-UA"/>
        </w:rPr>
        <w:t xml:space="preserve"> </w:t>
      </w:r>
      <w:r w:rsidR="00F6758C" w:rsidRPr="00F0117E">
        <w:rPr>
          <w:lang w:val="uk-UA"/>
        </w:rPr>
        <w:t>трудового контракту</w:t>
      </w:r>
      <w:r w:rsidR="00E81B07" w:rsidRPr="00F0117E">
        <w:rPr>
          <w:lang w:val="uk-UA"/>
        </w:rPr>
        <w:t xml:space="preserve">. </w:t>
      </w:r>
      <w:r w:rsidR="00F6758C" w:rsidRPr="00F0117E">
        <w:rPr>
          <w:lang w:val="uk-UA"/>
        </w:rPr>
        <w:t>Тому зазвичай самі сторони регулюють значну частину</w:t>
      </w:r>
      <w:r w:rsidR="00E81B07" w:rsidRPr="00F0117E">
        <w:rPr>
          <w:lang w:val="uk-UA"/>
        </w:rPr>
        <w:t xml:space="preserve"> </w:t>
      </w:r>
      <w:r w:rsidR="00F6758C" w:rsidRPr="00F0117E">
        <w:rPr>
          <w:lang w:val="uk-UA"/>
        </w:rPr>
        <w:t>змісту своїх відносин</w:t>
      </w:r>
      <w:r w:rsidR="00E81B07" w:rsidRPr="00F0117E">
        <w:rPr>
          <w:lang w:val="uk-UA"/>
        </w:rPr>
        <w:t xml:space="preserve"> (</w:t>
      </w:r>
      <w:r w:rsidR="00F6758C" w:rsidRPr="00F0117E">
        <w:rPr>
          <w:lang w:val="uk-UA"/>
        </w:rPr>
        <w:t>див., з необхідними змінами</w:t>
      </w:r>
      <w:r w:rsidR="00E81B07" w:rsidRPr="00F0117E">
        <w:rPr>
          <w:lang w:val="uk-UA"/>
        </w:rPr>
        <w:t xml:space="preserve">, </w:t>
      </w:r>
      <w:proofErr w:type="spellStart"/>
      <w:r w:rsidR="00E81B07" w:rsidRPr="00F0117E">
        <w:rPr>
          <w:i/>
          <w:lang w:val="uk-UA"/>
        </w:rPr>
        <w:t>Wretlund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Sweden</w:t>
      </w:r>
      <w:proofErr w:type="spellEnd"/>
      <w:r w:rsidR="00E81B07" w:rsidRPr="00F0117E">
        <w:rPr>
          <w:lang w:val="uk-UA"/>
        </w:rPr>
        <w:t xml:space="preserve"> (</w:t>
      </w:r>
      <w:proofErr w:type="spellStart"/>
      <w:r w:rsidR="00E81B07" w:rsidRPr="00F0117E">
        <w:rPr>
          <w:lang w:val="uk-UA"/>
        </w:rPr>
        <w:t>dec</w:t>
      </w:r>
      <w:proofErr w:type="spellEnd"/>
      <w:r w:rsidR="00E81B07" w:rsidRPr="00F0117E">
        <w:rPr>
          <w:lang w:val="uk-UA"/>
        </w:rPr>
        <w:t xml:space="preserve">.), </w:t>
      </w:r>
      <w:r w:rsidR="00F6758C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 46210/99, 9 </w:t>
      </w:r>
      <w:r w:rsidR="00F6758C" w:rsidRPr="00F0117E">
        <w:rPr>
          <w:lang w:val="uk-UA"/>
        </w:rPr>
        <w:t>березня</w:t>
      </w:r>
      <w:r w:rsidR="00E81B07" w:rsidRPr="00F0117E">
        <w:rPr>
          <w:lang w:val="uk-UA"/>
        </w:rPr>
        <w:t xml:space="preserve"> 2004</w:t>
      </w:r>
      <w:r w:rsidR="00F6758C" w:rsidRPr="00F0117E">
        <w:rPr>
          <w:lang w:val="uk-UA"/>
        </w:rPr>
        <w:t xml:space="preserve"> року</w:t>
      </w:r>
      <w:r w:rsidR="00E81B07" w:rsidRPr="00F0117E">
        <w:rPr>
          <w:lang w:val="uk-UA"/>
        </w:rPr>
        <w:t xml:space="preserve">, </w:t>
      </w:r>
      <w:r w:rsidR="00F6758C" w:rsidRPr="00F0117E">
        <w:rPr>
          <w:lang w:val="uk-UA"/>
        </w:rPr>
        <w:t>стосовно відповідності до статті 8 Конвенції</w:t>
      </w:r>
      <w:r w:rsidR="00E81B07" w:rsidRPr="00F0117E">
        <w:rPr>
          <w:lang w:val="uk-UA"/>
        </w:rPr>
        <w:t xml:space="preserve"> </w:t>
      </w:r>
      <w:r w:rsidR="00F6758C" w:rsidRPr="00F0117E">
        <w:rPr>
          <w:lang w:val="uk-UA"/>
        </w:rPr>
        <w:t>зобов’язання заявника, працівника</w:t>
      </w:r>
      <w:r w:rsidR="00E81B07" w:rsidRPr="00F0117E">
        <w:rPr>
          <w:lang w:val="uk-UA"/>
        </w:rPr>
        <w:t xml:space="preserve"> </w:t>
      </w:r>
      <w:r w:rsidR="00F6758C" w:rsidRPr="00F0117E">
        <w:rPr>
          <w:lang w:val="uk-UA"/>
        </w:rPr>
        <w:t>на атомній електростанції</w:t>
      </w:r>
      <w:r w:rsidR="00E81B07" w:rsidRPr="00F0117E">
        <w:rPr>
          <w:lang w:val="uk-UA"/>
        </w:rPr>
        <w:t xml:space="preserve">, </w:t>
      </w:r>
      <w:r w:rsidR="00F6758C" w:rsidRPr="00F0117E">
        <w:rPr>
          <w:lang w:val="uk-UA"/>
        </w:rPr>
        <w:t>проходити перевірку на наркотики</w:t>
      </w:r>
      <w:r w:rsidR="00E81B07" w:rsidRPr="00F0117E">
        <w:rPr>
          <w:lang w:val="uk-UA"/>
        </w:rPr>
        <w:t xml:space="preserve">; </w:t>
      </w:r>
      <w:r w:rsidR="00F6758C" w:rsidRPr="00F0117E">
        <w:rPr>
          <w:lang w:val="uk-UA"/>
        </w:rPr>
        <w:t>беручи до уваги профспілкове звернення з точки зору статті</w:t>
      </w:r>
      <w:r w:rsidR="00E81B07" w:rsidRPr="00F0117E">
        <w:rPr>
          <w:lang w:val="uk-UA"/>
        </w:rPr>
        <w:t xml:space="preserve"> 11, </w:t>
      </w:r>
      <w:r w:rsidR="00F6758C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Gustafsson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Sweden</w:t>
      </w:r>
      <w:proofErr w:type="spellEnd"/>
      <w:r w:rsidR="00E81B07" w:rsidRPr="00F0117E">
        <w:rPr>
          <w:lang w:val="uk-UA"/>
        </w:rPr>
        <w:t xml:space="preserve">, 25 </w:t>
      </w:r>
      <w:r w:rsidR="00F6758C" w:rsidRPr="00F0117E">
        <w:rPr>
          <w:lang w:val="uk-UA"/>
        </w:rPr>
        <w:t>квітня</w:t>
      </w:r>
      <w:r w:rsidR="00E81B07" w:rsidRPr="00F0117E">
        <w:rPr>
          <w:lang w:val="uk-UA"/>
        </w:rPr>
        <w:t xml:space="preserve"> 1996</w:t>
      </w:r>
      <w:r w:rsidR="00F6758C" w:rsidRPr="00F0117E">
        <w:rPr>
          <w:lang w:val="uk-UA"/>
        </w:rPr>
        <w:t xml:space="preserve"> року</w:t>
      </w:r>
      <w:r w:rsidR="00E81B07" w:rsidRPr="00F0117E">
        <w:rPr>
          <w:lang w:val="uk-UA"/>
        </w:rPr>
        <w:t xml:space="preserve">, § 45, </w:t>
      </w:r>
      <w:proofErr w:type="spellStart"/>
      <w:r w:rsidR="00E81B07" w:rsidRPr="00F0117E">
        <w:rPr>
          <w:i/>
          <w:lang w:val="uk-UA"/>
        </w:rPr>
        <w:t>Reports</w:t>
      </w:r>
      <w:proofErr w:type="spellEnd"/>
      <w:r w:rsidR="00E81B07" w:rsidRPr="00F0117E">
        <w:rPr>
          <w:lang w:val="uk-UA"/>
        </w:rPr>
        <w:t xml:space="preserve"> 1996</w:t>
      </w:r>
      <w:r w:rsidR="00E81B07" w:rsidRPr="00F0117E">
        <w:rPr>
          <w:lang w:val="uk-UA"/>
        </w:rPr>
        <w:noBreakHyphen/>
        <w:t xml:space="preserve">II, </w:t>
      </w:r>
      <w:r w:rsidR="00F6758C" w:rsidRPr="00F0117E">
        <w:rPr>
          <w:lang w:val="uk-UA"/>
        </w:rPr>
        <w:t>та, з необхідними змінами</w:t>
      </w:r>
      <w:r w:rsidR="00E81B07" w:rsidRPr="00F0117E">
        <w:rPr>
          <w:lang w:val="uk-UA"/>
        </w:rPr>
        <w:t xml:space="preserve">, </w:t>
      </w:r>
      <w:proofErr w:type="spellStart"/>
      <w:r w:rsidR="00E81B07" w:rsidRPr="00F0117E">
        <w:rPr>
          <w:i/>
          <w:lang w:val="uk-UA"/>
        </w:rPr>
        <w:t>Demir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and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Baykara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Turkey</w:t>
      </w:r>
      <w:proofErr w:type="spellEnd"/>
      <w:r w:rsidR="00E81B07" w:rsidRPr="00F0117E">
        <w:rPr>
          <w:lang w:val="uk-UA"/>
        </w:rPr>
        <w:t xml:space="preserve"> [GC], </w:t>
      </w:r>
      <w:r w:rsidR="00F6758C" w:rsidRPr="00F0117E">
        <w:rPr>
          <w:lang w:val="uk-UA"/>
        </w:rPr>
        <w:t>№</w:t>
      </w:r>
      <w:r w:rsidR="00E81B07" w:rsidRPr="00F0117E">
        <w:rPr>
          <w:lang w:val="uk-UA"/>
        </w:rPr>
        <w:t> 34503/97, §§ 140</w:t>
      </w:r>
      <w:r w:rsidR="00E81B07" w:rsidRPr="00F0117E">
        <w:rPr>
          <w:lang w:val="uk-UA"/>
        </w:rPr>
        <w:noBreakHyphen/>
        <w:t xml:space="preserve">46, ECHR 2008, </w:t>
      </w:r>
      <w:r w:rsidR="00F6758C" w:rsidRPr="00F0117E">
        <w:rPr>
          <w:lang w:val="uk-UA"/>
        </w:rPr>
        <w:t>для конкретного випадку громадських службовців</w:t>
      </w:r>
      <w:r w:rsidR="00E81B07" w:rsidRPr="00F0117E">
        <w:rPr>
          <w:lang w:val="uk-UA"/>
        </w:rPr>
        <w:t xml:space="preserve">). </w:t>
      </w:r>
      <w:r w:rsidR="00F6758C" w:rsidRPr="00F0117E">
        <w:rPr>
          <w:lang w:val="uk-UA"/>
        </w:rPr>
        <w:t>Також з матеріалів порівняльного права у розпорядженні Суду видається,</w:t>
      </w:r>
      <w:r w:rsidR="00E81B07" w:rsidRPr="00F0117E">
        <w:rPr>
          <w:lang w:val="uk-UA"/>
        </w:rPr>
        <w:t xml:space="preserve"> </w:t>
      </w:r>
      <w:r w:rsidR="00F6758C" w:rsidRPr="00F0117E">
        <w:rPr>
          <w:lang w:val="uk-UA"/>
        </w:rPr>
        <w:t>що не існує європейського консенсусу з цього питання</w:t>
      </w:r>
      <w:r w:rsidR="00E81B07" w:rsidRPr="00F0117E">
        <w:rPr>
          <w:lang w:val="uk-UA"/>
        </w:rPr>
        <w:t xml:space="preserve">. </w:t>
      </w:r>
      <w:r w:rsidR="00F6758C" w:rsidRPr="00F0117E">
        <w:rPr>
          <w:lang w:val="uk-UA"/>
        </w:rPr>
        <w:t>Декілька держав-членів чітко врегулювали питання</w:t>
      </w:r>
      <w:r w:rsidR="00E81B07" w:rsidRPr="00F0117E">
        <w:rPr>
          <w:lang w:val="uk-UA"/>
        </w:rPr>
        <w:t xml:space="preserve"> </w:t>
      </w:r>
      <w:r w:rsidR="00F6758C" w:rsidRPr="00F0117E">
        <w:rPr>
          <w:lang w:val="uk-UA"/>
        </w:rPr>
        <w:t>користування працівниками їх правом</w:t>
      </w:r>
      <w:r w:rsidR="00E81B07" w:rsidRPr="00F0117E">
        <w:rPr>
          <w:lang w:val="uk-UA"/>
        </w:rPr>
        <w:t xml:space="preserve"> </w:t>
      </w:r>
      <w:r w:rsidR="00F6758C" w:rsidRPr="00F0117E">
        <w:rPr>
          <w:lang w:val="uk-UA"/>
        </w:rPr>
        <w:t>на повагу до приватного життя</w:t>
      </w:r>
      <w:r w:rsidR="00E81B07" w:rsidRPr="00F0117E">
        <w:rPr>
          <w:lang w:val="uk-UA"/>
        </w:rPr>
        <w:t xml:space="preserve"> </w:t>
      </w:r>
      <w:r w:rsidR="00F6758C" w:rsidRPr="00F0117E">
        <w:rPr>
          <w:lang w:val="uk-UA"/>
        </w:rPr>
        <w:t>та кореспонденції на робочому місці</w:t>
      </w:r>
      <w:r w:rsidR="00E81B07" w:rsidRPr="00F0117E">
        <w:rPr>
          <w:lang w:val="uk-UA"/>
        </w:rPr>
        <w:t xml:space="preserve"> (</w:t>
      </w:r>
      <w:r w:rsidR="00F6758C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Dr_comp_absence_consensus \h  \* MERGEFORMAT ">
        <w:r w:rsidR="008B2B31" w:rsidRPr="00F0117E">
          <w:rPr>
            <w:lang w:val="uk-UA"/>
          </w:rPr>
          <w:t>52</w:t>
        </w:r>
      </w:fldSimple>
      <w:r w:rsidR="00E81B07" w:rsidRPr="00F0117E">
        <w:rPr>
          <w:lang w:val="uk-UA"/>
        </w:rPr>
        <w:t xml:space="preserve"> </w:t>
      </w:r>
      <w:r w:rsidR="00F6758C" w:rsidRPr="00F0117E">
        <w:rPr>
          <w:lang w:val="uk-UA"/>
        </w:rPr>
        <w:t>вище</w:t>
      </w:r>
      <w:r w:rsidR="00E81B07" w:rsidRPr="00F0117E">
        <w:rPr>
          <w:lang w:val="uk-UA"/>
        </w:rPr>
        <w:t>).</w:t>
      </w:r>
    </w:p>
    <w:bookmarkStart w:id="41" w:name="marge_appréciation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119</w:t>
      </w:r>
      <w:r w:rsidRPr="00F0117E">
        <w:rPr>
          <w:lang w:val="uk-UA"/>
        </w:rPr>
        <w:fldChar w:fldCharType="end"/>
      </w:r>
      <w:bookmarkEnd w:id="41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F6758C" w:rsidRPr="00F0117E">
        <w:rPr>
          <w:rFonts w:cstheme="minorHAnsi"/>
          <w:lang w:val="uk-UA"/>
        </w:rPr>
        <w:t>У світлі наведених вище міркувань Суд вважає,</w:t>
      </w:r>
      <w:r w:rsidR="00E81B07" w:rsidRPr="00F0117E">
        <w:rPr>
          <w:lang w:val="uk-UA"/>
        </w:rPr>
        <w:t xml:space="preserve"> </w:t>
      </w:r>
      <w:r w:rsidR="00F6758C" w:rsidRPr="00F0117E">
        <w:rPr>
          <w:lang w:val="uk-UA"/>
        </w:rPr>
        <w:t>що Договірні Держави повинні мати широку свободу розсуду</w:t>
      </w:r>
      <w:r w:rsidR="00E81B07" w:rsidRPr="00F0117E">
        <w:rPr>
          <w:lang w:val="uk-UA"/>
        </w:rPr>
        <w:t xml:space="preserve"> </w:t>
      </w:r>
      <w:r w:rsidR="00F6758C" w:rsidRPr="00F0117E">
        <w:rPr>
          <w:lang w:val="uk-UA"/>
        </w:rPr>
        <w:t>при оцінці необхідності встановлення юридичної системи,</w:t>
      </w:r>
      <w:r w:rsidR="00E81B07" w:rsidRPr="00F0117E">
        <w:rPr>
          <w:lang w:val="uk-UA"/>
        </w:rPr>
        <w:t xml:space="preserve"> </w:t>
      </w:r>
      <w:r w:rsidR="00F6758C" w:rsidRPr="00F0117E">
        <w:rPr>
          <w:lang w:val="uk-UA"/>
        </w:rPr>
        <w:t>яка регулює умови, за яких роботодавець</w:t>
      </w:r>
      <w:r w:rsidR="00E81B07" w:rsidRPr="00F0117E">
        <w:rPr>
          <w:lang w:val="uk-UA"/>
        </w:rPr>
        <w:t xml:space="preserve"> </w:t>
      </w:r>
      <w:r w:rsidR="00F6758C" w:rsidRPr="00F0117E">
        <w:rPr>
          <w:lang w:val="uk-UA"/>
        </w:rPr>
        <w:t>може регулювати електронне або інше спілкування</w:t>
      </w:r>
      <w:r w:rsidR="00E81B07" w:rsidRPr="00F0117E">
        <w:rPr>
          <w:lang w:val="uk-UA"/>
        </w:rPr>
        <w:t xml:space="preserve"> </w:t>
      </w:r>
      <w:r w:rsidR="00F6758C" w:rsidRPr="00F0117E">
        <w:rPr>
          <w:lang w:val="uk-UA"/>
        </w:rPr>
        <w:t>непрофесійного характеру, яке працівники здійснюють на робочому місці</w:t>
      </w:r>
      <w:r w:rsidR="00E81B07" w:rsidRPr="00F0117E">
        <w:rPr>
          <w:lang w:val="uk-UA"/>
        </w:rPr>
        <w:t>.</w:t>
      </w:r>
    </w:p>
    <w:bookmarkStart w:id="42" w:name="garanties_contre_abus"/>
    <w:p w:rsidR="00E36F4C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120</w:t>
      </w:r>
      <w:r w:rsidRPr="00F0117E">
        <w:rPr>
          <w:lang w:val="uk-UA"/>
        </w:rPr>
        <w:fldChar w:fldCharType="end"/>
      </w:r>
      <w:bookmarkEnd w:id="42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F6758C" w:rsidRPr="00F0117E">
        <w:rPr>
          <w:lang w:val="uk-UA"/>
        </w:rPr>
        <w:t xml:space="preserve">Однак, свобода розсуду, якою користуються держави </w:t>
      </w:r>
      <w:r w:rsidR="007A7349">
        <w:rPr>
          <w:lang w:val="uk-UA"/>
        </w:rPr>
        <w:t>стосовно цього</w:t>
      </w:r>
      <w:r w:rsidR="00F6758C" w:rsidRPr="00F0117E">
        <w:rPr>
          <w:lang w:val="uk-UA"/>
        </w:rPr>
        <w:t>,</w:t>
      </w:r>
      <w:r w:rsidR="00E81B07" w:rsidRPr="00F0117E">
        <w:rPr>
          <w:lang w:val="uk-UA"/>
        </w:rPr>
        <w:t xml:space="preserve"> </w:t>
      </w:r>
      <w:r w:rsidR="00F6758C" w:rsidRPr="00F0117E">
        <w:rPr>
          <w:lang w:val="uk-UA"/>
        </w:rPr>
        <w:t>не може бути необмеженою</w:t>
      </w:r>
      <w:r w:rsidR="00E81B07" w:rsidRPr="00F0117E">
        <w:rPr>
          <w:lang w:val="uk-UA"/>
        </w:rPr>
        <w:t xml:space="preserve">. </w:t>
      </w:r>
      <w:r w:rsidR="00F6758C" w:rsidRPr="00F0117E">
        <w:rPr>
          <w:lang w:val="uk-UA"/>
        </w:rPr>
        <w:t>Національні органи влади повинні забезпечити, щоб введення</w:t>
      </w:r>
      <w:r w:rsidR="00E81B07" w:rsidRPr="00F0117E">
        <w:rPr>
          <w:lang w:val="uk-UA"/>
        </w:rPr>
        <w:t xml:space="preserve"> </w:t>
      </w:r>
      <w:r w:rsidR="00F6758C" w:rsidRPr="00F0117E">
        <w:rPr>
          <w:lang w:val="uk-UA"/>
        </w:rPr>
        <w:t>роботодавцем заходів моніторингу кореспонденції</w:t>
      </w:r>
      <w:r w:rsidR="00E81B07" w:rsidRPr="00F0117E">
        <w:rPr>
          <w:lang w:val="uk-UA"/>
        </w:rPr>
        <w:t xml:space="preserve"> </w:t>
      </w:r>
      <w:r w:rsidR="00F6758C" w:rsidRPr="00F0117E">
        <w:rPr>
          <w:lang w:val="uk-UA"/>
        </w:rPr>
        <w:t>та інших комунікацій</w:t>
      </w:r>
      <w:r w:rsidR="00E81B07" w:rsidRPr="00F0117E">
        <w:rPr>
          <w:lang w:val="uk-UA"/>
        </w:rPr>
        <w:t xml:space="preserve">, </w:t>
      </w:r>
      <w:r w:rsidR="00F6758C" w:rsidRPr="00F0117E">
        <w:rPr>
          <w:lang w:val="uk-UA"/>
        </w:rPr>
        <w:t>незалежно від обсягу та тривалості таких заходів</w:t>
      </w:r>
      <w:r w:rsidR="00E81B07" w:rsidRPr="00F0117E">
        <w:rPr>
          <w:lang w:val="uk-UA"/>
        </w:rPr>
        <w:t xml:space="preserve">, </w:t>
      </w:r>
      <w:r w:rsidR="00F6758C" w:rsidRPr="00F0117E">
        <w:rPr>
          <w:lang w:val="uk-UA"/>
        </w:rPr>
        <w:t>супроводжувалося належними та достатніми гарантіями проти зловживання</w:t>
      </w:r>
      <w:r w:rsidR="00E81B07" w:rsidRPr="00F0117E">
        <w:rPr>
          <w:lang w:val="uk-UA"/>
        </w:rPr>
        <w:t xml:space="preserve"> (</w:t>
      </w:r>
      <w:r w:rsidR="00F6758C" w:rsidRPr="00F0117E">
        <w:rPr>
          <w:lang w:val="uk-UA"/>
        </w:rPr>
        <w:t>див., з необхідними змінами</w:t>
      </w:r>
      <w:r w:rsidR="00E81B07" w:rsidRPr="00F0117E">
        <w:rPr>
          <w:lang w:val="uk-UA"/>
        </w:rPr>
        <w:t xml:space="preserve">, </w:t>
      </w:r>
      <w:proofErr w:type="spellStart"/>
      <w:r w:rsidR="00E81B07" w:rsidRPr="00F0117E">
        <w:rPr>
          <w:i/>
          <w:lang w:val="uk-UA"/>
        </w:rPr>
        <w:t>Klass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and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Others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Germany</w:t>
      </w:r>
      <w:proofErr w:type="spellEnd"/>
      <w:r w:rsidR="00E81B07" w:rsidRPr="00F0117E">
        <w:rPr>
          <w:lang w:val="uk-UA"/>
        </w:rPr>
        <w:t xml:space="preserve">, 6 </w:t>
      </w:r>
      <w:r w:rsidR="00F6758C" w:rsidRPr="00F0117E">
        <w:rPr>
          <w:lang w:val="uk-UA"/>
        </w:rPr>
        <w:t>вересня</w:t>
      </w:r>
      <w:r w:rsidR="00E81B07" w:rsidRPr="00F0117E">
        <w:rPr>
          <w:lang w:val="uk-UA"/>
        </w:rPr>
        <w:t xml:space="preserve"> 1978</w:t>
      </w:r>
      <w:r w:rsidR="00F6758C" w:rsidRPr="00F0117E">
        <w:rPr>
          <w:lang w:val="uk-UA"/>
        </w:rPr>
        <w:t xml:space="preserve"> року</w:t>
      </w:r>
      <w:r w:rsidR="00E81B07" w:rsidRPr="00F0117E">
        <w:rPr>
          <w:lang w:val="uk-UA"/>
        </w:rPr>
        <w:t xml:space="preserve">, § 50, </w:t>
      </w:r>
      <w:r w:rsidR="00F6758C" w:rsidRPr="00F0117E">
        <w:rPr>
          <w:lang w:val="uk-UA"/>
        </w:rPr>
        <w:t>серія</w:t>
      </w:r>
      <w:r w:rsidR="00E81B07" w:rsidRPr="00F0117E">
        <w:rPr>
          <w:lang w:val="uk-UA"/>
        </w:rPr>
        <w:t xml:space="preserve"> A </w:t>
      </w:r>
      <w:r w:rsidR="00F6758C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 28, </w:t>
      </w:r>
      <w:r w:rsidR="00F6758C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Roman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Zakharov</w:t>
      </w:r>
      <w:proofErr w:type="spellEnd"/>
      <w:r w:rsidR="00E81B07" w:rsidRPr="00F0117E">
        <w:rPr>
          <w:lang w:val="uk-UA"/>
        </w:rPr>
        <w:t xml:space="preserve">, </w:t>
      </w:r>
      <w:proofErr w:type="spellStart"/>
      <w:r w:rsidR="00F6758C" w:rsidRPr="00F0117E">
        <w:rPr>
          <w:lang w:val="uk-UA"/>
        </w:rPr>
        <w:t>цит</w:t>
      </w:r>
      <w:proofErr w:type="spellEnd"/>
      <w:r w:rsidR="00F6758C" w:rsidRPr="00F0117E">
        <w:rPr>
          <w:lang w:val="uk-UA"/>
        </w:rPr>
        <w:t>. вище</w:t>
      </w:r>
      <w:r w:rsidR="00E81B07" w:rsidRPr="00F0117E">
        <w:rPr>
          <w:lang w:val="uk-UA"/>
        </w:rPr>
        <w:t>, §§ 232-34).</w:t>
      </w:r>
    </w:p>
    <w:bookmarkStart w:id="43" w:name="critères"/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121</w:t>
      </w:r>
      <w:r w:rsidRPr="00F0117E">
        <w:rPr>
          <w:lang w:val="uk-UA"/>
        </w:rPr>
        <w:fldChar w:fldCharType="end"/>
      </w:r>
      <w:bookmarkEnd w:id="43"/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F6758C" w:rsidRPr="00F0117E">
        <w:rPr>
          <w:lang w:val="uk-UA"/>
        </w:rPr>
        <w:t>Суд знає про швидкий розвиток цієї галузі</w:t>
      </w:r>
      <w:r w:rsidR="00E81B07" w:rsidRPr="00F0117E">
        <w:rPr>
          <w:lang w:val="uk-UA"/>
        </w:rPr>
        <w:t xml:space="preserve">. </w:t>
      </w:r>
      <w:r w:rsidR="00F6758C" w:rsidRPr="00F0117E">
        <w:rPr>
          <w:lang w:val="uk-UA"/>
        </w:rPr>
        <w:t>Однак, він вважає, що пропорційність та процесуальні гарантії проти свавілля є ключовими</w:t>
      </w:r>
      <w:r w:rsidR="00E81B07" w:rsidRPr="00F0117E">
        <w:rPr>
          <w:lang w:val="uk-UA"/>
        </w:rPr>
        <w:t xml:space="preserve">. </w:t>
      </w:r>
      <w:r w:rsidR="00F6758C" w:rsidRPr="00F0117E">
        <w:rPr>
          <w:lang w:val="uk-UA"/>
        </w:rPr>
        <w:t>У цьому контексті національні органи влади повинні</w:t>
      </w:r>
      <w:r w:rsidR="00E81B07" w:rsidRPr="00F0117E">
        <w:rPr>
          <w:lang w:val="uk-UA"/>
        </w:rPr>
        <w:t xml:space="preserve"> </w:t>
      </w:r>
      <w:r w:rsidR="00545C11" w:rsidRPr="00F0117E">
        <w:rPr>
          <w:lang w:val="uk-UA"/>
        </w:rPr>
        <w:t xml:space="preserve">розглядати як важливі </w:t>
      </w:r>
      <w:r w:rsidR="00F6758C" w:rsidRPr="00F0117E">
        <w:rPr>
          <w:lang w:val="uk-UA"/>
        </w:rPr>
        <w:t>наступні чинники</w:t>
      </w:r>
      <w:r w:rsidR="00E81B07" w:rsidRPr="00F0117E">
        <w:rPr>
          <w:lang w:val="uk-UA"/>
        </w:rPr>
        <w:t>:</w:t>
      </w:r>
    </w:p>
    <w:p w:rsidR="00E36F4C" w:rsidRPr="00F0117E" w:rsidRDefault="00E81B07" w:rsidP="008B2B31">
      <w:pPr>
        <w:pStyle w:val="ECHRPara"/>
        <w:rPr>
          <w:lang w:val="uk-UA"/>
        </w:rPr>
      </w:pPr>
      <w:r w:rsidRPr="00F0117E">
        <w:rPr>
          <w:lang w:val="uk-UA"/>
        </w:rPr>
        <w:lastRenderedPageBreak/>
        <w:t>(</w:t>
      </w:r>
      <w:r w:rsidRPr="00F0117E">
        <w:rPr>
          <w:i/>
          <w:lang w:val="uk-UA"/>
        </w:rPr>
        <w:t>i</w:t>
      </w:r>
      <w:r w:rsidRPr="00F0117E">
        <w:rPr>
          <w:lang w:val="uk-UA"/>
        </w:rPr>
        <w:t>)</w:t>
      </w:r>
      <w:r w:rsidR="00FA6D4F" w:rsidRPr="00F0117E">
        <w:rPr>
          <w:lang w:val="uk-UA"/>
        </w:rPr>
        <w:t xml:space="preserve"> </w:t>
      </w:r>
      <w:r w:rsidR="00B90220" w:rsidRPr="00F0117E">
        <w:rPr>
          <w:lang w:val="uk-UA"/>
        </w:rPr>
        <w:t>чи було повідомлено працівнику</w:t>
      </w:r>
      <w:r w:rsidRPr="00F0117E">
        <w:rPr>
          <w:lang w:val="uk-UA"/>
        </w:rPr>
        <w:t xml:space="preserve"> </w:t>
      </w:r>
      <w:r w:rsidR="00B90220" w:rsidRPr="00F0117E">
        <w:rPr>
          <w:lang w:val="uk-UA"/>
        </w:rPr>
        <w:t>про можливість того, що роботодавець може вжити заходи</w:t>
      </w:r>
      <w:r w:rsidRPr="00F0117E">
        <w:rPr>
          <w:lang w:val="uk-UA"/>
        </w:rPr>
        <w:t xml:space="preserve"> </w:t>
      </w:r>
      <w:r w:rsidR="00B90220" w:rsidRPr="00F0117E">
        <w:rPr>
          <w:lang w:val="uk-UA"/>
        </w:rPr>
        <w:t>для моніторингу кореспонденції</w:t>
      </w:r>
      <w:r w:rsidRPr="00F0117E">
        <w:rPr>
          <w:lang w:val="uk-UA"/>
        </w:rPr>
        <w:t xml:space="preserve"> </w:t>
      </w:r>
      <w:r w:rsidR="00B90220" w:rsidRPr="00F0117E">
        <w:rPr>
          <w:lang w:val="uk-UA"/>
        </w:rPr>
        <w:t>та інших комунікацій</w:t>
      </w:r>
      <w:r w:rsidRPr="00F0117E">
        <w:rPr>
          <w:lang w:val="uk-UA"/>
        </w:rPr>
        <w:t xml:space="preserve">, </w:t>
      </w:r>
      <w:r w:rsidR="00B90220" w:rsidRPr="00F0117E">
        <w:rPr>
          <w:lang w:val="uk-UA"/>
        </w:rPr>
        <w:t>і про втілення таких заходів</w:t>
      </w:r>
      <w:r w:rsidRPr="00F0117E">
        <w:rPr>
          <w:lang w:val="uk-UA"/>
        </w:rPr>
        <w:t xml:space="preserve">. </w:t>
      </w:r>
      <w:r w:rsidR="00B90220" w:rsidRPr="00F0117E">
        <w:rPr>
          <w:lang w:val="uk-UA"/>
        </w:rPr>
        <w:t>Хоча на практиці працівники можуть бути проінформовані</w:t>
      </w:r>
      <w:r w:rsidRPr="00F0117E">
        <w:rPr>
          <w:lang w:val="uk-UA"/>
        </w:rPr>
        <w:t xml:space="preserve"> </w:t>
      </w:r>
      <w:r w:rsidR="00B90220" w:rsidRPr="00F0117E">
        <w:rPr>
          <w:lang w:val="uk-UA"/>
        </w:rPr>
        <w:t>різними шляхами в залежності від конкретних</w:t>
      </w:r>
      <w:r w:rsidRPr="00F0117E">
        <w:rPr>
          <w:lang w:val="uk-UA"/>
        </w:rPr>
        <w:t xml:space="preserve"> </w:t>
      </w:r>
      <w:r w:rsidR="00B90220" w:rsidRPr="00F0117E">
        <w:rPr>
          <w:lang w:val="uk-UA"/>
        </w:rPr>
        <w:t>фактичних обставин кожної справи</w:t>
      </w:r>
      <w:r w:rsidRPr="00F0117E">
        <w:rPr>
          <w:lang w:val="uk-UA"/>
        </w:rPr>
        <w:t xml:space="preserve">, </w:t>
      </w:r>
      <w:r w:rsidR="00B90220" w:rsidRPr="00F0117E">
        <w:rPr>
          <w:lang w:val="uk-UA"/>
        </w:rPr>
        <w:t>Суд вважає, що для того, щоб заходи вважалися</w:t>
      </w:r>
      <w:r w:rsidRPr="00F0117E">
        <w:rPr>
          <w:lang w:val="uk-UA"/>
        </w:rPr>
        <w:t xml:space="preserve"> </w:t>
      </w:r>
      <w:r w:rsidR="00B90220" w:rsidRPr="00F0117E">
        <w:rPr>
          <w:lang w:val="uk-UA"/>
        </w:rPr>
        <w:t>тими, що відповідають вимогам статті</w:t>
      </w:r>
      <w:r w:rsidRPr="00F0117E">
        <w:rPr>
          <w:lang w:val="uk-UA"/>
        </w:rPr>
        <w:t xml:space="preserve"> 8 </w:t>
      </w:r>
      <w:r w:rsidR="00B90220" w:rsidRPr="00F0117E">
        <w:rPr>
          <w:lang w:val="uk-UA"/>
        </w:rPr>
        <w:t>Конвенції</w:t>
      </w:r>
      <w:r w:rsidRPr="00F0117E">
        <w:rPr>
          <w:lang w:val="uk-UA"/>
        </w:rPr>
        <w:t xml:space="preserve">, </w:t>
      </w:r>
      <w:r w:rsidR="00B90220" w:rsidRPr="00F0117E">
        <w:rPr>
          <w:lang w:val="uk-UA"/>
        </w:rPr>
        <w:t xml:space="preserve">повідомлення повинно бути чітким </w:t>
      </w:r>
      <w:r w:rsidR="0018459E" w:rsidRPr="00F0117E">
        <w:rPr>
          <w:lang w:val="uk-UA"/>
        </w:rPr>
        <w:t>щ</w:t>
      </w:r>
      <w:r w:rsidR="00B90220" w:rsidRPr="00F0117E">
        <w:rPr>
          <w:lang w:val="uk-UA"/>
        </w:rPr>
        <w:t>одо характеру</w:t>
      </w:r>
      <w:r w:rsidRPr="00F0117E">
        <w:rPr>
          <w:lang w:val="uk-UA"/>
        </w:rPr>
        <w:t xml:space="preserve"> </w:t>
      </w:r>
      <w:r w:rsidR="00B90220" w:rsidRPr="00F0117E">
        <w:rPr>
          <w:lang w:val="uk-UA"/>
        </w:rPr>
        <w:t>моніторингу та повинно надаватися заздалегідь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ECHRPara"/>
        <w:rPr>
          <w:lang w:val="uk-UA"/>
        </w:rPr>
      </w:pPr>
      <w:r w:rsidRPr="00F0117E">
        <w:rPr>
          <w:lang w:val="uk-UA"/>
        </w:rPr>
        <w:t>(</w:t>
      </w:r>
      <w:r w:rsidRPr="00F0117E">
        <w:rPr>
          <w:i/>
          <w:lang w:val="uk-UA"/>
        </w:rPr>
        <w:t>ii</w:t>
      </w:r>
      <w:r w:rsidRPr="00F0117E">
        <w:rPr>
          <w:lang w:val="uk-UA"/>
        </w:rPr>
        <w:t>)</w:t>
      </w:r>
      <w:r w:rsidR="00FA6D4F" w:rsidRPr="00F0117E">
        <w:rPr>
          <w:lang w:val="uk-UA"/>
        </w:rPr>
        <w:t xml:space="preserve"> </w:t>
      </w:r>
      <w:r w:rsidR="00433F5C" w:rsidRPr="00F0117E">
        <w:rPr>
          <w:lang w:val="uk-UA"/>
        </w:rPr>
        <w:t>о</w:t>
      </w:r>
      <w:r w:rsidR="0018459E" w:rsidRPr="00F0117E">
        <w:rPr>
          <w:lang w:val="uk-UA"/>
        </w:rPr>
        <w:t>бсяг моніторингу з боку роботодавця</w:t>
      </w:r>
      <w:r w:rsidRPr="00F0117E">
        <w:rPr>
          <w:lang w:val="uk-UA"/>
        </w:rPr>
        <w:t xml:space="preserve"> </w:t>
      </w:r>
      <w:r w:rsidR="0018459E" w:rsidRPr="00F0117E">
        <w:rPr>
          <w:lang w:val="uk-UA"/>
        </w:rPr>
        <w:t>та ступінь втручання у приватність працівника</w:t>
      </w:r>
      <w:r w:rsidRPr="00F0117E">
        <w:rPr>
          <w:lang w:val="uk-UA"/>
        </w:rPr>
        <w:t xml:space="preserve">. </w:t>
      </w:r>
      <w:r w:rsidR="0018459E" w:rsidRPr="00F0117E">
        <w:rPr>
          <w:lang w:val="uk-UA"/>
        </w:rPr>
        <w:t>У цьому відношенні слід розрізняти моніторинг</w:t>
      </w:r>
      <w:r w:rsidRPr="00F0117E">
        <w:rPr>
          <w:lang w:val="uk-UA"/>
        </w:rPr>
        <w:t xml:space="preserve"> </w:t>
      </w:r>
      <w:r w:rsidR="0018459E" w:rsidRPr="00F0117E">
        <w:rPr>
          <w:lang w:val="uk-UA"/>
        </w:rPr>
        <w:t>потоку повідомлень</w:t>
      </w:r>
      <w:r w:rsidRPr="00F0117E">
        <w:rPr>
          <w:lang w:val="uk-UA"/>
        </w:rPr>
        <w:t xml:space="preserve"> </w:t>
      </w:r>
      <w:r w:rsidR="0018459E" w:rsidRPr="00F0117E">
        <w:rPr>
          <w:lang w:val="uk-UA"/>
        </w:rPr>
        <w:t>та їх змісту</w:t>
      </w:r>
      <w:r w:rsidRPr="00F0117E">
        <w:rPr>
          <w:lang w:val="uk-UA"/>
        </w:rPr>
        <w:t xml:space="preserve">. </w:t>
      </w:r>
      <w:r w:rsidR="0018459E" w:rsidRPr="00F0117E">
        <w:rPr>
          <w:lang w:val="uk-UA"/>
        </w:rPr>
        <w:t>Слід також взяти до уваги те, чи усі повідомлення підлягали моніторингу, або лише їх частина</w:t>
      </w:r>
      <w:r w:rsidRPr="00F0117E">
        <w:rPr>
          <w:lang w:val="uk-UA"/>
        </w:rPr>
        <w:t xml:space="preserve">, </w:t>
      </w:r>
      <w:r w:rsidR="0018459E" w:rsidRPr="00F0117E">
        <w:rPr>
          <w:lang w:val="uk-UA"/>
        </w:rPr>
        <w:t>як і питання того, чи обмежувався моніторинг</w:t>
      </w:r>
      <w:r w:rsidRPr="00F0117E">
        <w:rPr>
          <w:lang w:val="uk-UA"/>
        </w:rPr>
        <w:t xml:space="preserve"> </w:t>
      </w:r>
      <w:r w:rsidR="0018459E" w:rsidRPr="00F0117E">
        <w:rPr>
          <w:lang w:val="uk-UA"/>
        </w:rPr>
        <w:t>часом та кількістю осіб, які мали доступ до результату</w:t>
      </w:r>
      <w:r w:rsidRPr="00F0117E">
        <w:rPr>
          <w:lang w:val="uk-UA"/>
        </w:rPr>
        <w:t xml:space="preserve"> (</w:t>
      </w:r>
      <w:r w:rsidR="00A629D7" w:rsidRPr="00F0117E">
        <w:rPr>
          <w:lang w:val="uk-UA"/>
        </w:rPr>
        <w:t>див.</w:t>
      </w:r>
      <w:r w:rsidRPr="00F0117E">
        <w:rPr>
          <w:lang w:val="uk-UA"/>
        </w:rPr>
        <w:t xml:space="preserve"> </w:t>
      </w:r>
      <w:proofErr w:type="spellStart"/>
      <w:r w:rsidRPr="00F0117E">
        <w:rPr>
          <w:i/>
          <w:lang w:val="uk-UA"/>
        </w:rPr>
        <w:t>Köpke</w:t>
      </w:r>
      <w:proofErr w:type="spellEnd"/>
      <w:r w:rsidRPr="00F0117E">
        <w:rPr>
          <w:lang w:val="uk-UA"/>
        </w:rPr>
        <w:t xml:space="preserve">, </w:t>
      </w:r>
      <w:proofErr w:type="spellStart"/>
      <w:r w:rsidR="00A629D7" w:rsidRPr="00F0117E">
        <w:rPr>
          <w:lang w:val="uk-UA"/>
        </w:rPr>
        <w:t>цит</w:t>
      </w:r>
      <w:proofErr w:type="spellEnd"/>
      <w:r w:rsidR="00A629D7" w:rsidRPr="00F0117E">
        <w:rPr>
          <w:lang w:val="uk-UA"/>
        </w:rPr>
        <w:t>. вище</w:t>
      </w:r>
      <w:r w:rsidRPr="00F0117E">
        <w:rPr>
          <w:lang w:val="uk-UA"/>
        </w:rPr>
        <w:t xml:space="preserve">). </w:t>
      </w:r>
      <w:r w:rsidR="00A629D7" w:rsidRPr="00F0117E">
        <w:rPr>
          <w:lang w:val="uk-UA"/>
        </w:rPr>
        <w:t>Це також стосується обмежень у просторі моніторингу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ECHRPara"/>
        <w:rPr>
          <w:lang w:val="uk-UA"/>
        </w:rPr>
      </w:pPr>
      <w:r w:rsidRPr="00F0117E">
        <w:rPr>
          <w:lang w:val="uk-UA"/>
        </w:rPr>
        <w:t>(</w:t>
      </w:r>
      <w:r w:rsidRPr="00F0117E">
        <w:rPr>
          <w:i/>
          <w:lang w:val="uk-UA"/>
        </w:rPr>
        <w:t>iii</w:t>
      </w:r>
      <w:r w:rsidRPr="00F0117E">
        <w:rPr>
          <w:lang w:val="uk-UA"/>
        </w:rPr>
        <w:t>)</w:t>
      </w:r>
      <w:r w:rsidR="00FA6D4F" w:rsidRPr="00F0117E">
        <w:rPr>
          <w:lang w:val="uk-UA"/>
        </w:rPr>
        <w:t xml:space="preserve"> </w:t>
      </w:r>
      <w:r w:rsidR="00433F5C" w:rsidRPr="00F0117E">
        <w:rPr>
          <w:lang w:val="uk-UA"/>
        </w:rPr>
        <w:t>чи надав роботодавець законні підстави для виправдання моніторингу</w:t>
      </w:r>
      <w:r w:rsidRPr="00F0117E">
        <w:rPr>
          <w:lang w:val="uk-UA"/>
        </w:rPr>
        <w:t xml:space="preserve"> </w:t>
      </w:r>
      <w:r w:rsidR="00433F5C" w:rsidRPr="00F0117E">
        <w:rPr>
          <w:lang w:val="uk-UA"/>
        </w:rPr>
        <w:t>повідомлень та доступу до їх фактичного контексту</w:t>
      </w:r>
      <w:r w:rsidRPr="00F0117E">
        <w:rPr>
          <w:lang w:val="uk-UA"/>
        </w:rPr>
        <w:t xml:space="preserve"> (</w:t>
      </w:r>
      <w:r w:rsidR="00433F5C" w:rsidRPr="00F0117E">
        <w:rPr>
          <w:lang w:val="uk-UA"/>
        </w:rPr>
        <w:t>див. пункти</w:t>
      </w:r>
      <w:r w:rsidRPr="00F0117E">
        <w:rPr>
          <w:lang w:val="uk-UA"/>
        </w:rPr>
        <w:t xml:space="preserve"> </w:t>
      </w:r>
      <w:fldSimple w:instr=" REF recueil_OIT \h  \* MERGEFORMAT ">
        <w:r w:rsidR="008B2B31" w:rsidRPr="00F0117E">
          <w:rPr>
            <w:lang w:val="uk-UA"/>
          </w:rPr>
          <w:t>38</w:t>
        </w:r>
      </w:fldSimple>
      <w:r w:rsidRPr="00F0117E">
        <w:rPr>
          <w:lang w:val="uk-UA"/>
        </w:rPr>
        <w:t xml:space="preserve">, </w:t>
      </w:r>
      <w:fldSimple w:instr=" REF CM_Rec2015 \h  \* MERGEFORMAT ">
        <w:r w:rsidR="008B2B31" w:rsidRPr="00F0117E">
          <w:rPr>
            <w:lang w:val="uk-UA"/>
          </w:rPr>
          <w:t>43</w:t>
        </w:r>
      </w:fldSimple>
      <w:r w:rsidRPr="00F0117E">
        <w:rPr>
          <w:lang w:val="uk-UA"/>
        </w:rPr>
        <w:t xml:space="preserve"> </w:t>
      </w:r>
      <w:r w:rsidR="00433F5C" w:rsidRPr="00F0117E">
        <w:rPr>
          <w:lang w:val="uk-UA"/>
        </w:rPr>
        <w:t>та</w:t>
      </w:r>
      <w:r w:rsidRPr="00F0117E">
        <w:rPr>
          <w:lang w:val="uk-UA"/>
        </w:rPr>
        <w:t xml:space="preserve"> </w:t>
      </w:r>
      <w:fldSimple w:instr=" REF Directive_UE \h  \* MERGEFORMAT ">
        <w:r w:rsidR="008B2B31" w:rsidRPr="00F0117E">
          <w:rPr>
            <w:lang w:val="uk-UA"/>
          </w:rPr>
          <w:t>45</w:t>
        </w:r>
      </w:fldSimple>
      <w:r w:rsidRPr="00F0117E">
        <w:rPr>
          <w:lang w:val="uk-UA"/>
        </w:rPr>
        <w:t xml:space="preserve"> </w:t>
      </w:r>
      <w:r w:rsidR="00433F5C" w:rsidRPr="00F0117E">
        <w:rPr>
          <w:lang w:val="uk-UA"/>
        </w:rPr>
        <w:t>вище для перегляду міжнародного</w:t>
      </w:r>
      <w:r w:rsidRPr="00F0117E">
        <w:rPr>
          <w:lang w:val="uk-UA"/>
        </w:rPr>
        <w:t xml:space="preserve"> </w:t>
      </w:r>
      <w:r w:rsidR="00433F5C" w:rsidRPr="00F0117E">
        <w:rPr>
          <w:lang w:val="uk-UA"/>
        </w:rPr>
        <w:t>та європейського права з цього питання</w:t>
      </w:r>
      <w:r w:rsidRPr="00F0117E">
        <w:rPr>
          <w:lang w:val="uk-UA"/>
        </w:rPr>
        <w:t xml:space="preserve">). </w:t>
      </w:r>
      <w:r w:rsidR="00433F5C" w:rsidRPr="00F0117E">
        <w:rPr>
          <w:lang w:val="uk-UA"/>
        </w:rPr>
        <w:t>Оскільки моніторинг змісту повідомлень є за своїм характером</w:t>
      </w:r>
      <w:r w:rsidRPr="00F0117E">
        <w:rPr>
          <w:lang w:val="uk-UA"/>
        </w:rPr>
        <w:t xml:space="preserve"> </w:t>
      </w:r>
      <w:r w:rsidR="00433F5C" w:rsidRPr="00F0117E">
        <w:rPr>
          <w:lang w:val="uk-UA"/>
        </w:rPr>
        <w:t>більш агресивним методом</w:t>
      </w:r>
      <w:r w:rsidRPr="00F0117E">
        <w:rPr>
          <w:lang w:val="uk-UA"/>
        </w:rPr>
        <w:t xml:space="preserve">, </w:t>
      </w:r>
      <w:r w:rsidR="00433F5C" w:rsidRPr="00F0117E">
        <w:rPr>
          <w:lang w:val="uk-UA"/>
        </w:rPr>
        <w:t>він потребує більш значного виправдання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ECHRPara"/>
        <w:rPr>
          <w:lang w:val="uk-UA"/>
        </w:rPr>
      </w:pPr>
      <w:r w:rsidRPr="00F0117E">
        <w:rPr>
          <w:lang w:val="uk-UA"/>
        </w:rPr>
        <w:t>(</w:t>
      </w:r>
      <w:r w:rsidRPr="00F0117E">
        <w:rPr>
          <w:i/>
          <w:lang w:val="uk-UA"/>
        </w:rPr>
        <w:t>iv</w:t>
      </w:r>
      <w:r w:rsidRPr="00F0117E">
        <w:rPr>
          <w:lang w:val="uk-UA"/>
        </w:rPr>
        <w:t>)</w:t>
      </w:r>
      <w:r w:rsidR="00FA6D4F" w:rsidRPr="00F0117E">
        <w:rPr>
          <w:lang w:val="uk-UA"/>
        </w:rPr>
        <w:t xml:space="preserve"> </w:t>
      </w:r>
      <w:r w:rsidR="00433F5C" w:rsidRPr="00F0117E">
        <w:rPr>
          <w:lang w:val="uk-UA"/>
        </w:rPr>
        <w:t>чи було можливо встановити</w:t>
      </w:r>
      <w:r w:rsidRPr="00F0117E">
        <w:rPr>
          <w:lang w:val="uk-UA"/>
        </w:rPr>
        <w:t xml:space="preserve"> </w:t>
      </w:r>
      <w:r w:rsidR="00433F5C" w:rsidRPr="00F0117E">
        <w:rPr>
          <w:lang w:val="uk-UA"/>
        </w:rPr>
        <w:t>систему моніторингу на основі менш агресивних методів</w:t>
      </w:r>
      <w:r w:rsidRPr="00F0117E">
        <w:rPr>
          <w:lang w:val="uk-UA"/>
        </w:rPr>
        <w:t xml:space="preserve"> </w:t>
      </w:r>
      <w:r w:rsidR="00433F5C" w:rsidRPr="00F0117E">
        <w:rPr>
          <w:lang w:val="uk-UA"/>
        </w:rPr>
        <w:t>та засобів, ніж прямий доступ до змісту повідомлень працівника</w:t>
      </w:r>
      <w:r w:rsidRPr="00F0117E">
        <w:rPr>
          <w:lang w:val="uk-UA"/>
        </w:rPr>
        <w:t xml:space="preserve">. </w:t>
      </w:r>
      <w:r w:rsidR="00433F5C" w:rsidRPr="00F0117E">
        <w:rPr>
          <w:lang w:val="uk-UA"/>
        </w:rPr>
        <w:t>У цьому зв’язку повинна мати місце оцінка</w:t>
      </w:r>
      <w:r w:rsidRPr="00F0117E">
        <w:rPr>
          <w:lang w:val="uk-UA"/>
        </w:rPr>
        <w:t xml:space="preserve"> </w:t>
      </w:r>
      <w:r w:rsidR="00433F5C" w:rsidRPr="00F0117E">
        <w:rPr>
          <w:lang w:val="uk-UA"/>
        </w:rPr>
        <w:t>того, чи могла мета, яку переслідував роботодавець, бути досягнута без прямого доступу до повного змісту повідомлень працівника, у світлі конкретних обставин кожної справи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ECHRPara"/>
        <w:rPr>
          <w:i/>
          <w:lang w:val="uk-UA"/>
        </w:rPr>
      </w:pPr>
      <w:r w:rsidRPr="00F0117E">
        <w:rPr>
          <w:lang w:val="uk-UA"/>
        </w:rPr>
        <w:t>(</w:t>
      </w:r>
      <w:r w:rsidRPr="00F0117E">
        <w:rPr>
          <w:i/>
          <w:lang w:val="uk-UA"/>
        </w:rPr>
        <w:t>v</w:t>
      </w:r>
      <w:r w:rsidRPr="00F0117E">
        <w:rPr>
          <w:lang w:val="uk-UA"/>
        </w:rPr>
        <w:t>)</w:t>
      </w:r>
      <w:r w:rsidR="00FA6D4F" w:rsidRPr="00F0117E">
        <w:rPr>
          <w:lang w:val="uk-UA"/>
        </w:rPr>
        <w:t xml:space="preserve"> </w:t>
      </w:r>
      <w:r w:rsidR="009B0A49" w:rsidRPr="00F0117E">
        <w:rPr>
          <w:lang w:val="uk-UA"/>
        </w:rPr>
        <w:t xml:space="preserve">наслідки моніторингу для працівника, який йому підлягає </w:t>
      </w:r>
      <w:r w:rsidRPr="00F0117E">
        <w:rPr>
          <w:lang w:val="uk-UA"/>
        </w:rPr>
        <w:t>(</w:t>
      </w:r>
      <w:r w:rsidR="009B0A49" w:rsidRPr="00F0117E">
        <w:rPr>
          <w:lang w:val="uk-UA"/>
        </w:rPr>
        <w:t>див., з необхідними змінами</w:t>
      </w:r>
      <w:r w:rsidRPr="00F0117E">
        <w:rPr>
          <w:lang w:val="uk-UA"/>
        </w:rPr>
        <w:t xml:space="preserve">, </w:t>
      </w:r>
      <w:r w:rsidR="009B0A49" w:rsidRPr="00F0117E">
        <w:rPr>
          <w:lang w:val="uk-UA"/>
        </w:rPr>
        <w:t>аналогічний критерій, який застосовується</w:t>
      </w:r>
      <w:r w:rsidRPr="00F0117E">
        <w:rPr>
          <w:lang w:val="uk-UA"/>
        </w:rPr>
        <w:t xml:space="preserve"> </w:t>
      </w:r>
      <w:r w:rsidR="009B0A49" w:rsidRPr="00F0117E">
        <w:rPr>
          <w:lang w:val="uk-UA"/>
        </w:rPr>
        <w:t>до оцінки пропорційності втручання</w:t>
      </w:r>
      <w:r w:rsidRPr="00F0117E">
        <w:rPr>
          <w:lang w:val="uk-UA"/>
        </w:rPr>
        <w:t xml:space="preserve"> </w:t>
      </w:r>
      <w:r w:rsidR="009B0A49" w:rsidRPr="00F0117E">
        <w:rPr>
          <w:lang w:val="uk-UA"/>
        </w:rPr>
        <w:t>у користування свободою ви</w:t>
      </w:r>
      <w:r w:rsidR="007A7349">
        <w:rPr>
          <w:lang w:val="uk-UA"/>
        </w:rPr>
        <w:t>раження</w:t>
      </w:r>
      <w:r w:rsidR="009B0A49" w:rsidRPr="00F0117E">
        <w:rPr>
          <w:lang w:val="uk-UA"/>
        </w:rPr>
        <w:t xml:space="preserve"> поглядів,</w:t>
      </w:r>
      <w:r w:rsidRPr="00F0117E">
        <w:rPr>
          <w:lang w:val="uk-UA"/>
        </w:rPr>
        <w:t xml:space="preserve"> </w:t>
      </w:r>
      <w:r w:rsidR="009B0A49" w:rsidRPr="00F0117E">
        <w:rPr>
          <w:lang w:val="uk-UA"/>
        </w:rPr>
        <w:t>захищену статтею</w:t>
      </w:r>
      <w:r w:rsidRPr="00F0117E">
        <w:rPr>
          <w:lang w:val="uk-UA"/>
        </w:rPr>
        <w:t xml:space="preserve"> 10 </w:t>
      </w:r>
      <w:r w:rsidR="009B0A49" w:rsidRPr="00F0117E">
        <w:rPr>
          <w:lang w:val="uk-UA"/>
        </w:rPr>
        <w:t>Конвенції, у справі</w:t>
      </w:r>
      <w:r w:rsidRPr="00F0117E">
        <w:rPr>
          <w:lang w:val="uk-UA"/>
        </w:rPr>
        <w:t xml:space="preserve"> </w:t>
      </w:r>
      <w:proofErr w:type="spellStart"/>
      <w:r w:rsidRPr="00F0117E">
        <w:rPr>
          <w:rStyle w:val="CLLItalic"/>
          <w:rFonts w:cs="Times New Roman"/>
          <w:lang w:val="uk-UA"/>
        </w:rPr>
        <w:t>Axel</w:t>
      </w:r>
      <w:proofErr w:type="spellEnd"/>
      <w:r w:rsidRPr="00F0117E">
        <w:rPr>
          <w:rStyle w:val="CLLItalic"/>
          <w:rFonts w:cs="Times New Roman"/>
          <w:lang w:val="uk-UA"/>
        </w:rPr>
        <w:t xml:space="preserve"> </w:t>
      </w:r>
      <w:proofErr w:type="spellStart"/>
      <w:r w:rsidRPr="00F0117E">
        <w:rPr>
          <w:rStyle w:val="CLLItalic"/>
          <w:rFonts w:cs="Times New Roman"/>
          <w:lang w:val="uk-UA"/>
        </w:rPr>
        <w:t>Springer</w:t>
      </w:r>
      <w:proofErr w:type="spellEnd"/>
      <w:r w:rsidRPr="00F0117E">
        <w:rPr>
          <w:rStyle w:val="CLLItalic"/>
          <w:rFonts w:cs="Times New Roman"/>
          <w:lang w:val="uk-UA"/>
        </w:rPr>
        <w:t xml:space="preserve"> AG v. </w:t>
      </w:r>
      <w:proofErr w:type="spellStart"/>
      <w:r w:rsidRPr="00F0117E">
        <w:rPr>
          <w:rStyle w:val="CLLItalic"/>
          <w:rFonts w:cs="Times New Roman"/>
          <w:lang w:val="uk-UA"/>
        </w:rPr>
        <w:t>Germany</w:t>
      </w:r>
      <w:proofErr w:type="spellEnd"/>
      <w:r w:rsidRPr="00F0117E">
        <w:rPr>
          <w:rStyle w:val="CLLItalic"/>
          <w:rFonts w:cs="Times New Roman"/>
          <w:lang w:val="uk-UA"/>
        </w:rPr>
        <w:t xml:space="preserve"> </w:t>
      </w:r>
      <w:r w:rsidRPr="00F0117E">
        <w:rPr>
          <w:rFonts w:cs="Times New Roman"/>
          <w:lang w:val="uk-UA"/>
        </w:rPr>
        <w:t xml:space="preserve">[GC], </w:t>
      </w:r>
      <w:r w:rsidR="009B0A49" w:rsidRPr="00F0117E">
        <w:rPr>
          <w:rFonts w:cs="Times New Roman"/>
          <w:lang w:val="uk-UA"/>
        </w:rPr>
        <w:t>№</w:t>
      </w:r>
      <w:r w:rsidRPr="00F0117E">
        <w:rPr>
          <w:rFonts w:cs="Times New Roman"/>
          <w:lang w:val="uk-UA"/>
        </w:rPr>
        <w:t> 39954/08</w:t>
      </w:r>
      <w:r w:rsidRPr="00F0117E">
        <w:rPr>
          <w:rFonts w:cs="Times New Roman"/>
          <w:snapToGrid w:val="0"/>
          <w:szCs w:val="24"/>
          <w:lang w:val="uk-UA"/>
        </w:rPr>
        <w:t xml:space="preserve">, § 95, </w:t>
      </w:r>
      <w:r w:rsidRPr="00F0117E">
        <w:rPr>
          <w:rFonts w:cs="Times New Roman"/>
          <w:szCs w:val="24"/>
          <w:lang w:val="uk-UA"/>
        </w:rPr>
        <w:t>7</w:t>
      </w:r>
      <w:r w:rsidRPr="00F0117E">
        <w:rPr>
          <w:rFonts w:cs="Times New Roman"/>
          <w:snapToGrid w:val="0"/>
          <w:szCs w:val="24"/>
          <w:lang w:val="uk-UA"/>
        </w:rPr>
        <w:t xml:space="preserve"> </w:t>
      </w:r>
      <w:r w:rsidR="00E50344" w:rsidRPr="00F0117E">
        <w:rPr>
          <w:rFonts w:cs="Times New Roman"/>
          <w:snapToGrid w:val="0"/>
          <w:szCs w:val="24"/>
          <w:lang w:val="uk-UA"/>
        </w:rPr>
        <w:t>лютого</w:t>
      </w:r>
      <w:r w:rsidRPr="00F0117E">
        <w:rPr>
          <w:rFonts w:cs="Times New Roman"/>
          <w:snapToGrid w:val="0"/>
          <w:szCs w:val="24"/>
          <w:lang w:val="uk-UA"/>
        </w:rPr>
        <w:t xml:space="preserve"> 2012</w:t>
      </w:r>
      <w:r w:rsidR="00E50344" w:rsidRPr="00F0117E">
        <w:rPr>
          <w:rFonts w:cs="Times New Roman"/>
          <w:snapToGrid w:val="0"/>
          <w:szCs w:val="24"/>
          <w:lang w:val="uk-UA"/>
        </w:rPr>
        <w:t xml:space="preserve"> року</w:t>
      </w:r>
      <w:r w:rsidRPr="00F0117E">
        <w:rPr>
          <w:rFonts w:cs="Times New Roman"/>
          <w:snapToGrid w:val="0"/>
          <w:szCs w:val="24"/>
          <w:lang w:val="uk-UA"/>
        </w:rPr>
        <w:t xml:space="preserve">, </w:t>
      </w:r>
      <w:r w:rsidR="00E50344" w:rsidRPr="00F0117E">
        <w:rPr>
          <w:rFonts w:cs="Times New Roman"/>
          <w:snapToGrid w:val="0"/>
          <w:szCs w:val="24"/>
          <w:lang w:val="uk-UA"/>
        </w:rPr>
        <w:t>з подальшими посиланнями</w:t>
      </w:r>
      <w:r w:rsidRPr="00F0117E">
        <w:rPr>
          <w:rFonts w:cs="Times New Roman"/>
          <w:snapToGrid w:val="0"/>
          <w:szCs w:val="24"/>
          <w:lang w:val="uk-UA"/>
        </w:rPr>
        <w:t>)</w:t>
      </w:r>
      <w:r w:rsidR="009F68D3" w:rsidRPr="00F0117E">
        <w:rPr>
          <w:rFonts w:cs="Times New Roman"/>
          <w:snapToGrid w:val="0"/>
          <w:szCs w:val="24"/>
          <w:lang w:val="uk-UA"/>
        </w:rPr>
        <w:t>,</w:t>
      </w:r>
      <w:r w:rsidRPr="00F0117E">
        <w:rPr>
          <w:rFonts w:cs="Times New Roman"/>
          <w:snapToGrid w:val="0"/>
          <w:szCs w:val="24"/>
          <w:lang w:val="uk-UA"/>
        </w:rPr>
        <w:t xml:space="preserve"> </w:t>
      </w:r>
      <w:r w:rsidR="00E50344" w:rsidRPr="00F0117E">
        <w:rPr>
          <w:rFonts w:cs="Times New Roman"/>
          <w:snapToGrid w:val="0"/>
          <w:szCs w:val="24"/>
          <w:lang w:val="uk-UA"/>
        </w:rPr>
        <w:t>і те, як роботодавець використовує результати</w:t>
      </w:r>
      <w:r w:rsidRPr="00F0117E">
        <w:rPr>
          <w:lang w:val="uk-UA"/>
        </w:rPr>
        <w:t xml:space="preserve"> </w:t>
      </w:r>
      <w:r w:rsidR="00E50344" w:rsidRPr="00F0117E">
        <w:rPr>
          <w:lang w:val="uk-UA"/>
        </w:rPr>
        <w:t>моніторингу</w:t>
      </w:r>
      <w:r w:rsidRPr="00F0117E">
        <w:rPr>
          <w:lang w:val="uk-UA"/>
        </w:rPr>
        <w:t xml:space="preserve">, </w:t>
      </w:r>
      <w:r w:rsidR="00E50344" w:rsidRPr="00F0117E">
        <w:rPr>
          <w:rFonts w:cs="Times New Roman"/>
          <w:snapToGrid w:val="0"/>
          <w:szCs w:val="24"/>
          <w:lang w:val="uk-UA"/>
        </w:rPr>
        <w:t>зокрема, чи були результати використані для досягнення</w:t>
      </w:r>
      <w:r w:rsidRPr="00F0117E">
        <w:rPr>
          <w:rFonts w:cs="Times New Roman"/>
          <w:snapToGrid w:val="0"/>
          <w:szCs w:val="24"/>
          <w:lang w:val="uk-UA"/>
        </w:rPr>
        <w:t xml:space="preserve"> </w:t>
      </w:r>
      <w:r w:rsidR="00E50344" w:rsidRPr="00F0117E">
        <w:rPr>
          <w:rFonts w:cs="Times New Roman"/>
          <w:snapToGrid w:val="0"/>
          <w:szCs w:val="24"/>
          <w:lang w:val="uk-UA"/>
        </w:rPr>
        <w:t>заявленої мети заходу</w:t>
      </w:r>
      <w:r w:rsidRPr="00F0117E">
        <w:rPr>
          <w:rFonts w:cs="Times New Roman"/>
          <w:snapToGrid w:val="0"/>
          <w:szCs w:val="24"/>
          <w:lang w:val="uk-UA"/>
        </w:rPr>
        <w:t xml:space="preserve"> </w:t>
      </w:r>
      <w:r w:rsidRPr="00F0117E">
        <w:rPr>
          <w:lang w:val="uk-UA"/>
        </w:rPr>
        <w:t>(</w:t>
      </w:r>
      <w:r w:rsidR="00E50344" w:rsidRPr="00F0117E">
        <w:rPr>
          <w:lang w:val="uk-UA"/>
        </w:rPr>
        <w:t>див.</w:t>
      </w:r>
      <w:r w:rsidRPr="00F0117E">
        <w:rPr>
          <w:lang w:val="uk-UA"/>
        </w:rPr>
        <w:t xml:space="preserve"> </w:t>
      </w:r>
      <w:proofErr w:type="spellStart"/>
      <w:r w:rsidRPr="00F0117E">
        <w:rPr>
          <w:i/>
          <w:lang w:val="uk-UA"/>
        </w:rPr>
        <w:t>Köpke</w:t>
      </w:r>
      <w:proofErr w:type="spellEnd"/>
      <w:r w:rsidRPr="00F0117E">
        <w:rPr>
          <w:lang w:val="uk-UA"/>
        </w:rPr>
        <w:t xml:space="preserve">, </w:t>
      </w:r>
      <w:proofErr w:type="spellStart"/>
      <w:r w:rsidR="00E50344" w:rsidRPr="00F0117E">
        <w:rPr>
          <w:lang w:val="uk-UA"/>
        </w:rPr>
        <w:t>цит</w:t>
      </w:r>
      <w:proofErr w:type="spellEnd"/>
      <w:r w:rsidR="00E50344" w:rsidRPr="00F0117E">
        <w:rPr>
          <w:lang w:val="uk-UA"/>
        </w:rPr>
        <w:t>. вище</w:t>
      </w:r>
      <w:r w:rsidRPr="00F0117E">
        <w:rPr>
          <w:lang w:val="uk-UA"/>
        </w:rPr>
        <w:t>);</w:t>
      </w:r>
    </w:p>
    <w:p w:rsidR="00E81B07" w:rsidRPr="00F0117E" w:rsidRDefault="00E81B07" w:rsidP="008B2B31">
      <w:pPr>
        <w:pStyle w:val="ECHRPara"/>
        <w:rPr>
          <w:lang w:val="uk-UA"/>
        </w:rPr>
      </w:pPr>
      <w:r w:rsidRPr="00F0117E">
        <w:rPr>
          <w:lang w:val="uk-UA"/>
        </w:rPr>
        <w:t>(</w:t>
      </w:r>
      <w:r w:rsidRPr="00F0117E">
        <w:rPr>
          <w:i/>
          <w:lang w:val="uk-UA"/>
        </w:rPr>
        <w:t>vi</w:t>
      </w:r>
      <w:r w:rsidRPr="00F0117E">
        <w:rPr>
          <w:lang w:val="uk-UA"/>
        </w:rPr>
        <w:t>)</w:t>
      </w:r>
      <w:r w:rsidR="00FA6D4F" w:rsidRPr="00F0117E">
        <w:rPr>
          <w:lang w:val="uk-UA"/>
        </w:rPr>
        <w:t xml:space="preserve"> </w:t>
      </w:r>
      <w:r w:rsidR="001823BE" w:rsidRPr="00F0117E">
        <w:rPr>
          <w:lang w:val="uk-UA"/>
        </w:rPr>
        <w:t>чи надавалися працівнику належні гарантії</w:t>
      </w:r>
      <w:r w:rsidRPr="00F0117E">
        <w:rPr>
          <w:lang w:val="uk-UA"/>
        </w:rPr>
        <w:t xml:space="preserve">, </w:t>
      </w:r>
      <w:r w:rsidR="001823BE" w:rsidRPr="00F0117E">
        <w:rPr>
          <w:lang w:val="uk-UA"/>
        </w:rPr>
        <w:t>особливо коли моніторинг, здійснюваний роботодавцем, носив агресивний характер</w:t>
      </w:r>
      <w:r w:rsidRPr="00F0117E">
        <w:rPr>
          <w:lang w:val="uk-UA"/>
        </w:rPr>
        <w:t xml:space="preserve">. </w:t>
      </w:r>
      <w:r w:rsidR="001823BE" w:rsidRPr="00F0117E">
        <w:rPr>
          <w:lang w:val="uk-UA"/>
        </w:rPr>
        <w:t>Такі гарантії повинні забезпечити, зокрема,</w:t>
      </w:r>
      <w:r w:rsidRPr="00F0117E">
        <w:rPr>
          <w:lang w:val="uk-UA"/>
        </w:rPr>
        <w:t xml:space="preserve"> </w:t>
      </w:r>
      <w:r w:rsidR="001823BE" w:rsidRPr="00F0117E">
        <w:rPr>
          <w:lang w:val="uk-UA"/>
        </w:rPr>
        <w:t>щоб роботодавець не міг отримати доступ</w:t>
      </w:r>
      <w:r w:rsidRPr="00F0117E">
        <w:rPr>
          <w:lang w:val="uk-UA"/>
        </w:rPr>
        <w:t xml:space="preserve"> </w:t>
      </w:r>
      <w:r w:rsidR="001823BE" w:rsidRPr="00F0117E">
        <w:rPr>
          <w:lang w:val="uk-UA"/>
        </w:rPr>
        <w:t>до фактичного змісту відповідних повідомлень,</w:t>
      </w:r>
      <w:r w:rsidRPr="00F0117E">
        <w:rPr>
          <w:lang w:val="uk-UA"/>
        </w:rPr>
        <w:t xml:space="preserve"> </w:t>
      </w:r>
      <w:r w:rsidR="001823BE" w:rsidRPr="00F0117E">
        <w:rPr>
          <w:lang w:val="uk-UA"/>
        </w:rPr>
        <w:t>якщо працівник не міг бути проінформований заздалегідь про таку можливість</w:t>
      </w:r>
      <w:r w:rsidRPr="00F0117E">
        <w:rPr>
          <w:lang w:val="uk-UA"/>
        </w:rPr>
        <w:t>.</w:t>
      </w:r>
    </w:p>
    <w:p w:rsidR="00E81B07" w:rsidRPr="00F0117E" w:rsidRDefault="001823BE" w:rsidP="008B2B31">
      <w:pPr>
        <w:pStyle w:val="ECHRPara"/>
        <w:rPr>
          <w:lang w:val="uk-UA"/>
        </w:rPr>
      </w:pPr>
      <w:r w:rsidRPr="00F0117E">
        <w:rPr>
          <w:lang w:val="uk-UA"/>
        </w:rPr>
        <w:t>У цьому контексті слід повторити, що для того, щоб бути плодотворними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робочі відносини повинні ґрунтуватися на взаємній довірі</w:t>
      </w:r>
      <w:r w:rsidR="00E81B07" w:rsidRPr="00F0117E">
        <w:rPr>
          <w:lang w:val="uk-UA"/>
        </w:rPr>
        <w:t xml:space="preserve"> (</w:t>
      </w:r>
      <w:r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Palomo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Sánchez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and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Others</w:t>
      </w:r>
      <w:proofErr w:type="spellEnd"/>
      <w:r w:rsidR="00E81B07" w:rsidRPr="00F0117E">
        <w:rPr>
          <w:lang w:val="uk-UA"/>
        </w:rPr>
        <w:t xml:space="preserve">, </w:t>
      </w:r>
      <w:proofErr w:type="spellStart"/>
      <w:r w:rsidRPr="00F0117E">
        <w:rPr>
          <w:lang w:val="uk-UA"/>
        </w:rPr>
        <w:t>цит</w:t>
      </w:r>
      <w:proofErr w:type="spellEnd"/>
      <w:r w:rsidRPr="00F0117E">
        <w:rPr>
          <w:lang w:val="uk-UA"/>
        </w:rPr>
        <w:t>. вище</w:t>
      </w:r>
      <w:r w:rsidR="00E81B07" w:rsidRPr="00F0117E">
        <w:rPr>
          <w:lang w:val="uk-UA"/>
        </w:rPr>
        <w:t>, § 76).</w:t>
      </w:r>
    </w:p>
    <w:p w:rsidR="00E36F4C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lastRenderedPageBreak/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122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1823BE" w:rsidRPr="00F0117E">
        <w:rPr>
          <w:lang w:val="uk-UA"/>
        </w:rPr>
        <w:t>Нарешті, національні органи влади повинні забезпечити,</w:t>
      </w:r>
      <w:r w:rsidR="00E81B07" w:rsidRPr="00F0117E">
        <w:rPr>
          <w:lang w:val="uk-UA"/>
        </w:rPr>
        <w:t xml:space="preserve"> </w:t>
      </w:r>
      <w:r w:rsidR="001823BE" w:rsidRPr="00F0117E">
        <w:rPr>
          <w:lang w:val="uk-UA"/>
        </w:rPr>
        <w:t>щоб працівник, спілкування якого підлягало моніторингу,</w:t>
      </w:r>
      <w:r w:rsidR="00E81B07" w:rsidRPr="00F0117E">
        <w:rPr>
          <w:lang w:val="uk-UA"/>
        </w:rPr>
        <w:t xml:space="preserve"> </w:t>
      </w:r>
      <w:r w:rsidR="001823BE" w:rsidRPr="00F0117E">
        <w:rPr>
          <w:lang w:val="uk-UA"/>
        </w:rPr>
        <w:t>мав доступ до засобу правового захисту</w:t>
      </w:r>
      <w:r w:rsidR="00E81B07" w:rsidRPr="00F0117E">
        <w:rPr>
          <w:lang w:val="uk-UA"/>
        </w:rPr>
        <w:t xml:space="preserve"> </w:t>
      </w:r>
      <w:r w:rsidR="001823BE" w:rsidRPr="00F0117E">
        <w:rPr>
          <w:lang w:val="uk-UA"/>
        </w:rPr>
        <w:t>в органі судової влади, який має юрисдикцію</w:t>
      </w:r>
      <w:r w:rsidR="00E81B07" w:rsidRPr="00F0117E">
        <w:rPr>
          <w:lang w:val="uk-UA"/>
        </w:rPr>
        <w:t xml:space="preserve"> </w:t>
      </w:r>
      <w:r w:rsidR="001823BE" w:rsidRPr="00F0117E">
        <w:rPr>
          <w:lang w:val="uk-UA"/>
        </w:rPr>
        <w:t>щодо визначення, хоча б по суті</w:t>
      </w:r>
      <w:r w:rsidR="00E81B07" w:rsidRPr="00F0117E">
        <w:rPr>
          <w:lang w:val="uk-UA"/>
        </w:rPr>
        <w:t xml:space="preserve">, </w:t>
      </w:r>
      <w:r w:rsidR="001823BE" w:rsidRPr="00F0117E">
        <w:rPr>
          <w:lang w:val="uk-UA"/>
        </w:rPr>
        <w:t>того, як наведені вище критерії були дотримані,</w:t>
      </w:r>
      <w:r w:rsidR="00E81B07" w:rsidRPr="00F0117E">
        <w:rPr>
          <w:lang w:val="uk-UA"/>
        </w:rPr>
        <w:t xml:space="preserve"> </w:t>
      </w:r>
      <w:r w:rsidR="001823BE" w:rsidRPr="00F0117E">
        <w:rPr>
          <w:lang w:val="uk-UA"/>
        </w:rPr>
        <w:t>та чи були оскаржувані заходи законними</w:t>
      </w:r>
      <w:r w:rsidR="00E81B07" w:rsidRPr="00F0117E">
        <w:rPr>
          <w:lang w:val="uk-UA"/>
        </w:rPr>
        <w:t xml:space="preserve"> (</w:t>
      </w:r>
      <w:r w:rsidR="001823BE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Obst</w:t>
      </w:r>
      <w:proofErr w:type="spellEnd"/>
      <w:r w:rsidR="00E81B07" w:rsidRPr="00F0117E">
        <w:rPr>
          <w:lang w:val="uk-UA"/>
        </w:rPr>
        <w:t xml:space="preserve">, </w:t>
      </w:r>
      <w:proofErr w:type="spellStart"/>
      <w:r w:rsidR="001823BE" w:rsidRPr="00F0117E">
        <w:rPr>
          <w:lang w:val="uk-UA"/>
        </w:rPr>
        <w:t>цит</w:t>
      </w:r>
      <w:proofErr w:type="spellEnd"/>
      <w:r w:rsidR="001823BE" w:rsidRPr="00F0117E">
        <w:rPr>
          <w:lang w:val="uk-UA"/>
        </w:rPr>
        <w:t>. вище</w:t>
      </w:r>
      <w:r w:rsidR="00E81B07" w:rsidRPr="00F0117E">
        <w:rPr>
          <w:lang w:val="uk-UA"/>
        </w:rPr>
        <w:t xml:space="preserve">, § 45, </w:t>
      </w:r>
      <w:r w:rsidR="001823BE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Köpke</w:t>
      </w:r>
      <w:proofErr w:type="spellEnd"/>
      <w:r w:rsidR="00E81B07" w:rsidRPr="00F0117E">
        <w:rPr>
          <w:lang w:val="uk-UA"/>
        </w:rPr>
        <w:t xml:space="preserve">, </w:t>
      </w:r>
      <w:proofErr w:type="spellStart"/>
      <w:r w:rsidR="001823BE" w:rsidRPr="00F0117E">
        <w:rPr>
          <w:lang w:val="uk-UA"/>
        </w:rPr>
        <w:t>цит</w:t>
      </w:r>
      <w:proofErr w:type="spellEnd"/>
      <w:r w:rsidR="001823BE" w:rsidRPr="00F0117E">
        <w:rPr>
          <w:lang w:val="uk-UA"/>
        </w:rPr>
        <w:t>. вище</w:t>
      </w:r>
      <w:r w:rsidR="00E81B07" w:rsidRPr="00F0117E">
        <w:rPr>
          <w:lang w:val="uk-UA"/>
        </w:rPr>
        <w:t>).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123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726904" w:rsidRPr="00F0117E">
        <w:rPr>
          <w:lang w:val="uk-UA"/>
        </w:rPr>
        <w:t>У даній справі Суд розгляне, як національні суди,</w:t>
      </w:r>
      <w:r w:rsidR="00E81B07" w:rsidRPr="00F0117E">
        <w:rPr>
          <w:lang w:val="uk-UA"/>
        </w:rPr>
        <w:t xml:space="preserve"> </w:t>
      </w:r>
      <w:r w:rsidR="00726904" w:rsidRPr="00F0117E">
        <w:rPr>
          <w:lang w:val="uk-UA"/>
        </w:rPr>
        <w:t xml:space="preserve">до яких звертався заявник, розглянули його </w:t>
      </w:r>
      <w:r w:rsidR="00246E0B" w:rsidRPr="00F0117E">
        <w:rPr>
          <w:lang w:val="uk-UA"/>
        </w:rPr>
        <w:t xml:space="preserve">скаргу </w:t>
      </w:r>
      <w:r w:rsidR="00726904" w:rsidRPr="00F0117E">
        <w:rPr>
          <w:lang w:val="uk-UA"/>
        </w:rPr>
        <w:t>на порушення роботодавцем його права</w:t>
      </w:r>
      <w:r w:rsidR="00E81B07" w:rsidRPr="00F0117E">
        <w:rPr>
          <w:lang w:val="uk-UA"/>
        </w:rPr>
        <w:t xml:space="preserve"> </w:t>
      </w:r>
      <w:r w:rsidR="00726904" w:rsidRPr="00F0117E">
        <w:rPr>
          <w:lang w:val="uk-UA"/>
        </w:rPr>
        <w:t>на повагу до приватного життя та кореспонденції</w:t>
      </w:r>
      <w:r w:rsidR="00E81B07" w:rsidRPr="00F0117E">
        <w:rPr>
          <w:lang w:val="uk-UA"/>
        </w:rPr>
        <w:t xml:space="preserve"> </w:t>
      </w:r>
      <w:r w:rsidR="00726904" w:rsidRPr="00F0117E">
        <w:rPr>
          <w:lang w:val="uk-UA"/>
        </w:rPr>
        <w:t>у контексті працевлаштування</w:t>
      </w:r>
      <w:r w:rsidR="00E81B07" w:rsidRPr="00F0117E">
        <w:rPr>
          <w:lang w:val="uk-UA"/>
        </w:rPr>
        <w:t>.</w:t>
      </w:r>
    </w:p>
    <w:p w:rsidR="00E36F4C" w:rsidRPr="00F0117E" w:rsidRDefault="00E81B07" w:rsidP="008B2B31">
      <w:pPr>
        <w:pStyle w:val="ECHRHeading4"/>
        <w:rPr>
          <w:lang w:val="uk-UA"/>
        </w:rPr>
      </w:pPr>
      <w:r w:rsidRPr="00F0117E">
        <w:rPr>
          <w:lang w:val="uk-UA"/>
        </w:rPr>
        <w:t>(c)</w:t>
      </w:r>
      <w:r w:rsidR="00FA6D4F" w:rsidRPr="00F0117E">
        <w:rPr>
          <w:lang w:val="uk-UA"/>
        </w:rPr>
        <w:t xml:space="preserve"> </w:t>
      </w:r>
      <w:r w:rsidR="005A3501" w:rsidRPr="00F0117E">
        <w:rPr>
          <w:lang w:val="uk-UA"/>
        </w:rPr>
        <w:t>Застосування наведених вище загальних принципів у даній справі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124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A3501" w:rsidRPr="00F0117E">
        <w:rPr>
          <w:lang w:val="uk-UA"/>
        </w:rPr>
        <w:t>Суд зауважує, що національні суди</w:t>
      </w:r>
      <w:r w:rsidR="00E81B07" w:rsidRPr="00F0117E">
        <w:rPr>
          <w:lang w:val="uk-UA"/>
        </w:rPr>
        <w:t xml:space="preserve"> </w:t>
      </w:r>
      <w:r w:rsidR="005A3501" w:rsidRPr="00F0117E">
        <w:rPr>
          <w:lang w:val="uk-UA"/>
        </w:rPr>
        <w:t>постановили, що інтересами на кону в даній справі були, з одного боку,</w:t>
      </w:r>
      <w:r w:rsidR="00E81B07" w:rsidRPr="00F0117E">
        <w:rPr>
          <w:lang w:val="uk-UA"/>
        </w:rPr>
        <w:t xml:space="preserve"> </w:t>
      </w:r>
      <w:r w:rsidR="005A3501" w:rsidRPr="00F0117E">
        <w:rPr>
          <w:lang w:val="uk-UA"/>
        </w:rPr>
        <w:t>право заявника на повагу до приватного життя</w:t>
      </w:r>
      <w:r w:rsidR="00E81B07" w:rsidRPr="00F0117E">
        <w:rPr>
          <w:lang w:val="uk-UA"/>
        </w:rPr>
        <w:t xml:space="preserve">, </w:t>
      </w:r>
      <w:r w:rsidR="005A3501" w:rsidRPr="00F0117E">
        <w:rPr>
          <w:lang w:val="uk-UA"/>
        </w:rPr>
        <w:t>і, з іншого боку, право роботодавця здійснювати моніторинг</w:t>
      </w:r>
      <w:r w:rsidR="00E81B07" w:rsidRPr="00F0117E">
        <w:rPr>
          <w:lang w:val="uk-UA"/>
        </w:rPr>
        <w:t xml:space="preserve">, </w:t>
      </w:r>
      <w:r w:rsidR="005A3501" w:rsidRPr="00F0117E">
        <w:rPr>
          <w:lang w:val="uk-UA"/>
        </w:rPr>
        <w:t>і в тому числі – відповідні дисциплінарні повноваження</w:t>
      </w:r>
      <w:r w:rsidR="00E81B07" w:rsidRPr="00F0117E">
        <w:rPr>
          <w:lang w:val="uk-UA"/>
        </w:rPr>
        <w:t xml:space="preserve">, </w:t>
      </w:r>
      <w:r w:rsidR="005A3501" w:rsidRPr="00F0117E">
        <w:rPr>
          <w:lang w:val="uk-UA"/>
        </w:rPr>
        <w:t>для забезпечення безперебійного функціонування компанії</w:t>
      </w:r>
      <w:r w:rsidR="00E81B07" w:rsidRPr="00F0117E">
        <w:rPr>
          <w:lang w:val="uk-UA"/>
        </w:rPr>
        <w:t xml:space="preserve"> (</w:t>
      </w:r>
      <w:r w:rsidR="005A3501" w:rsidRPr="00F0117E">
        <w:rPr>
          <w:lang w:val="uk-UA"/>
        </w:rPr>
        <w:t>див. пункти</w:t>
      </w:r>
      <w:r w:rsidR="00E81B07" w:rsidRPr="00F0117E">
        <w:rPr>
          <w:lang w:val="uk-UA"/>
        </w:rPr>
        <w:t xml:space="preserve"> </w:t>
      </w:r>
      <w:fldSimple w:instr=" REF TMB_fond \h  \* MERGEFORMAT ">
        <w:r w:rsidR="008B2B31" w:rsidRPr="00F0117E">
          <w:rPr>
            <w:lang w:val="uk-UA"/>
          </w:rPr>
          <w:t>28</w:t>
        </w:r>
      </w:fldSimple>
      <w:r w:rsidR="00E81B07" w:rsidRPr="00F0117E">
        <w:rPr>
          <w:lang w:val="uk-UA"/>
        </w:rPr>
        <w:t xml:space="preserve"> </w:t>
      </w:r>
      <w:r w:rsidR="005A3501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</w:t>
      </w:r>
      <w:fldSimple w:instr=" REF hotarare_CAB \h  \* MERGEFORMAT ">
        <w:r w:rsidR="008B2B31" w:rsidRPr="00F0117E">
          <w:rPr>
            <w:lang w:val="uk-UA"/>
          </w:rPr>
          <w:t>30</w:t>
        </w:r>
      </w:fldSimple>
      <w:r w:rsidR="00E81B07" w:rsidRPr="00F0117E">
        <w:rPr>
          <w:lang w:val="uk-UA"/>
        </w:rPr>
        <w:t xml:space="preserve"> </w:t>
      </w:r>
      <w:r w:rsidR="005A3501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). </w:t>
      </w:r>
      <w:r w:rsidR="005A3501" w:rsidRPr="00F0117E">
        <w:rPr>
          <w:lang w:val="uk-UA"/>
        </w:rPr>
        <w:t>Він вважає, що в силу позитивних зобов’язань держави відповідно до статті</w:t>
      </w:r>
      <w:r w:rsidR="00E81B07" w:rsidRPr="00F0117E">
        <w:rPr>
          <w:lang w:val="uk-UA"/>
        </w:rPr>
        <w:t xml:space="preserve"> 8 </w:t>
      </w:r>
      <w:r w:rsidR="005A3501" w:rsidRPr="00F0117E">
        <w:rPr>
          <w:lang w:val="uk-UA"/>
        </w:rPr>
        <w:t>Конвенції, національні органи влади</w:t>
      </w:r>
      <w:r w:rsidR="00E81B07" w:rsidRPr="00F0117E">
        <w:rPr>
          <w:lang w:val="uk-UA"/>
        </w:rPr>
        <w:t xml:space="preserve"> </w:t>
      </w:r>
      <w:r w:rsidR="005A3501" w:rsidRPr="00F0117E">
        <w:rPr>
          <w:lang w:val="uk-UA"/>
        </w:rPr>
        <w:t>повинні були урівноважити ці інтереси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b/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125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A3501" w:rsidRPr="00F0117E">
        <w:rPr>
          <w:lang w:val="uk-UA"/>
        </w:rPr>
        <w:t>Суд зауважує, що точною темою поданої до нього скарги</w:t>
      </w:r>
      <w:r w:rsidR="00E81B07" w:rsidRPr="00F0117E">
        <w:rPr>
          <w:lang w:val="uk-UA"/>
        </w:rPr>
        <w:t xml:space="preserve"> </w:t>
      </w:r>
      <w:r w:rsidR="005A3501" w:rsidRPr="00F0117E">
        <w:rPr>
          <w:lang w:val="uk-UA"/>
        </w:rPr>
        <w:t>є стверджувана нездатність національних судів, у контексті спору щодо трудового права, захистити право заявника, відповідно до статті 8 Конвенції, на повагу до його приватного життя та кореспонденції у контексті працевлаштування</w:t>
      </w:r>
      <w:r w:rsidR="00E81B07" w:rsidRPr="00F0117E">
        <w:rPr>
          <w:lang w:val="uk-UA"/>
        </w:rPr>
        <w:t xml:space="preserve">. </w:t>
      </w:r>
      <w:r w:rsidR="005A3501" w:rsidRPr="00F0117E">
        <w:rPr>
          <w:lang w:val="uk-UA"/>
        </w:rPr>
        <w:t>Упродовж проваджень заявник скаржився, зокрема</w:t>
      </w:r>
      <w:r w:rsidR="00E81B07" w:rsidRPr="00F0117E">
        <w:rPr>
          <w:lang w:val="uk-UA"/>
        </w:rPr>
        <w:t xml:space="preserve">, </w:t>
      </w:r>
      <w:r w:rsidR="00CB6219" w:rsidRPr="00F0117E">
        <w:rPr>
          <w:lang w:val="uk-UA"/>
        </w:rPr>
        <w:t>у національних судах та в Суді</w:t>
      </w:r>
      <w:r w:rsidR="00E81B07" w:rsidRPr="00F0117E">
        <w:rPr>
          <w:lang w:val="uk-UA"/>
        </w:rPr>
        <w:t xml:space="preserve">, </w:t>
      </w:r>
      <w:r w:rsidR="00CB6219" w:rsidRPr="00F0117E">
        <w:rPr>
          <w:lang w:val="uk-UA"/>
        </w:rPr>
        <w:t>на те, що роботодавець здійснював моніторинг його спілкування за допомогою</w:t>
      </w:r>
      <w:r w:rsidR="00E81B07" w:rsidRPr="00F0117E">
        <w:rPr>
          <w:lang w:val="uk-UA"/>
        </w:rPr>
        <w:t xml:space="preserve"> </w:t>
      </w:r>
      <w:r w:rsidR="00CB6219" w:rsidRPr="00F0117E">
        <w:rPr>
          <w:lang w:val="uk-UA"/>
        </w:rPr>
        <w:t xml:space="preserve">відповідних </w:t>
      </w:r>
      <w:proofErr w:type="spellStart"/>
      <w:r w:rsidR="00CB6219" w:rsidRPr="00F0117E">
        <w:rPr>
          <w:lang w:val="uk-UA"/>
        </w:rPr>
        <w:t>акаунтів</w:t>
      </w:r>
      <w:proofErr w:type="spellEnd"/>
      <w:r w:rsidR="00CB6219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 </w:t>
      </w:r>
      <w:r w:rsidR="00CB6219" w:rsidRPr="00F0117E">
        <w:rPr>
          <w:lang w:val="uk-UA"/>
        </w:rPr>
        <w:t xml:space="preserve">та використав зміст спілкування у подальших </w:t>
      </w:r>
      <w:r w:rsidR="00BF5DD1" w:rsidRPr="00F0117E">
        <w:rPr>
          <w:lang w:val="uk-UA"/>
        </w:rPr>
        <w:t>дисциплінарних</w:t>
      </w:r>
      <w:r w:rsidR="00CB6219" w:rsidRPr="00F0117E">
        <w:rPr>
          <w:lang w:val="uk-UA"/>
        </w:rPr>
        <w:t xml:space="preserve"> провадженнях проти заявника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126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F5DD1" w:rsidRPr="00F0117E">
        <w:rPr>
          <w:lang w:val="uk-UA"/>
        </w:rPr>
        <w:t>Щодо того, чи розкрив роботодавець зміст спілкування співробітникам заявника</w:t>
      </w:r>
      <w:r w:rsidR="00E81B07" w:rsidRPr="00F0117E">
        <w:rPr>
          <w:lang w:val="uk-UA"/>
        </w:rPr>
        <w:t xml:space="preserve"> (</w:t>
      </w:r>
      <w:r w:rsidR="00BF5DD1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disclose_colleagues \h  \* MERGEFORMAT ">
        <w:r w:rsidR="008B2B31" w:rsidRPr="00F0117E">
          <w:rPr>
            <w:lang w:val="uk-UA"/>
          </w:rPr>
          <w:t>26</w:t>
        </w:r>
      </w:fldSimple>
      <w:r w:rsidR="00E81B07" w:rsidRPr="00F0117E">
        <w:rPr>
          <w:lang w:val="uk-UA"/>
        </w:rPr>
        <w:t xml:space="preserve"> </w:t>
      </w:r>
      <w:r w:rsidR="00BF5DD1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), </w:t>
      </w:r>
      <w:r w:rsidR="00BF5DD1" w:rsidRPr="00F0117E">
        <w:rPr>
          <w:lang w:val="uk-UA"/>
        </w:rPr>
        <w:t>Суд зауважує, що цей аргумент недостатньо підтверджується</w:t>
      </w:r>
      <w:r w:rsidR="00E81B07" w:rsidRPr="00F0117E">
        <w:rPr>
          <w:lang w:val="uk-UA"/>
        </w:rPr>
        <w:t xml:space="preserve"> </w:t>
      </w:r>
      <w:r w:rsidR="00BF5DD1" w:rsidRPr="00F0117E">
        <w:rPr>
          <w:lang w:val="uk-UA"/>
        </w:rPr>
        <w:t>матеріалами справи, і що заявник</w:t>
      </w:r>
      <w:r w:rsidR="00E81B07" w:rsidRPr="00F0117E">
        <w:rPr>
          <w:lang w:val="uk-UA"/>
        </w:rPr>
        <w:t xml:space="preserve"> </w:t>
      </w:r>
      <w:r w:rsidR="00BF5DD1" w:rsidRPr="00F0117E">
        <w:rPr>
          <w:lang w:val="uk-UA"/>
        </w:rPr>
        <w:t>не надав ніяких подальших доказів на слуханні у Великій Палаті</w:t>
      </w:r>
      <w:r w:rsidR="00E81B07" w:rsidRPr="00F0117E">
        <w:rPr>
          <w:lang w:val="uk-UA"/>
        </w:rPr>
        <w:t xml:space="preserve"> (</w:t>
      </w:r>
      <w:r w:rsidR="00BF5DD1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R_audience_divulguation \h  \* MERGEFORMAT ">
        <w:r w:rsidR="008B2B31" w:rsidRPr="00F0117E">
          <w:rPr>
            <w:lang w:val="uk-UA"/>
          </w:rPr>
          <w:t>91</w:t>
        </w:r>
      </w:fldSimple>
      <w:r w:rsidR="00E81B07" w:rsidRPr="00F0117E">
        <w:rPr>
          <w:lang w:val="uk-UA"/>
        </w:rPr>
        <w:t xml:space="preserve"> </w:t>
      </w:r>
      <w:r w:rsidR="00BF5DD1" w:rsidRPr="00F0117E">
        <w:rPr>
          <w:lang w:val="uk-UA"/>
        </w:rPr>
        <w:t>вище</w:t>
      </w:r>
      <w:r w:rsidR="00E81B07" w:rsidRPr="00F0117E">
        <w:rPr>
          <w:lang w:val="uk-UA"/>
        </w:rPr>
        <w:t>).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127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F63F2D" w:rsidRPr="00F0117E">
        <w:rPr>
          <w:lang w:val="uk-UA"/>
        </w:rPr>
        <w:t>Тому Суд вважає, що скарга стосується</w:t>
      </w:r>
      <w:r w:rsidR="00E81B07" w:rsidRPr="00F0117E">
        <w:rPr>
          <w:lang w:val="uk-UA"/>
        </w:rPr>
        <w:t xml:space="preserve"> </w:t>
      </w:r>
      <w:r w:rsidR="00F63F2D" w:rsidRPr="00F0117E">
        <w:rPr>
          <w:lang w:val="uk-UA"/>
        </w:rPr>
        <w:t>звільнення заявника на основі моніторингу, який здійснював його роботодавець</w:t>
      </w:r>
      <w:r w:rsidR="00E81B07" w:rsidRPr="00F0117E">
        <w:rPr>
          <w:lang w:val="uk-UA"/>
        </w:rPr>
        <w:t xml:space="preserve">. </w:t>
      </w:r>
      <w:r w:rsidR="00F63F2D" w:rsidRPr="00F0117E">
        <w:rPr>
          <w:lang w:val="uk-UA"/>
        </w:rPr>
        <w:t>Більш конкретно, він повинен уточнити в даній справі,</w:t>
      </w:r>
      <w:r w:rsidR="00E81B07" w:rsidRPr="00F0117E">
        <w:rPr>
          <w:lang w:val="uk-UA"/>
        </w:rPr>
        <w:t xml:space="preserve"> </w:t>
      </w:r>
      <w:r w:rsidR="00F63F2D" w:rsidRPr="00F0117E">
        <w:rPr>
          <w:lang w:val="uk-UA"/>
        </w:rPr>
        <w:t>чи здійснювали національні органи влади урівноваження</w:t>
      </w:r>
      <w:r w:rsidR="00E81B07" w:rsidRPr="00F0117E">
        <w:rPr>
          <w:lang w:val="uk-UA"/>
        </w:rPr>
        <w:t xml:space="preserve">, </w:t>
      </w:r>
      <w:r w:rsidR="00F63F2D" w:rsidRPr="00F0117E">
        <w:rPr>
          <w:lang w:val="uk-UA"/>
        </w:rPr>
        <w:t>відповідно до вимог статті 8 Конвенції</w:t>
      </w:r>
      <w:r w:rsidR="00E81B07" w:rsidRPr="00F0117E">
        <w:rPr>
          <w:lang w:val="uk-UA"/>
        </w:rPr>
        <w:t xml:space="preserve">, </w:t>
      </w:r>
      <w:r w:rsidR="00F63F2D" w:rsidRPr="00F0117E">
        <w:rPr>
          <w:lang w:val="uk-UA"/>
        </w:rPr>
        <w:t>між правом заявника на повагу до приватного життя і кореспонденції</w:t>
      </w:r>
      <w:r w:rsidR="00E81B07" w:rsidRPr="00F0117E">
        <w:rPr>
          <w:lang w:val="uk-UA"/>
        </w:rPr>
        <w:t xml:space="preserve"> </w:t>
      </w:r>
      <w:r w:rsidR="00F63F2D" w:rsidRPr="00F0117E">
        <w:rPr>
          <w:lang w:val="uk-UA"/>
        </w:rPr>
        <w:t>та інтересами роботодавця</w:t>
      </w:r>
      <w:r w:rsidR="00E81B07" w:rsidRPr="00F0117E">
        <w:rPr>
          <w:lang w:val="uk-UA"/>
        </w:rPr>
        <w:t xml:space="preserve">. </w:t>
      </w:r>
      <w:r w:rsidR="00F63F2D" w:rsidRPr="00F0117E">
        <w:rPr>
          <w:lang w:val="uk-UA"/>
        </w:rPr>
        <w:t>Тому його задача полягає у визначенні того,</w:t>
      </w:r>
      <w:r w:rsidR="00E81B07" w:rsidRPr="00F0117E">
        <w:rPr>
          <w:lang w:val="uk-UA"/>
        </w:rPr>
        <w:t xml:space="preserve"> </w:t>
      </w:r>
      <w:r w:rsidR="00F63F2D" w:rsidRPr="00F0117E">
        <w:rPr>
          <w:lang w:val="uk-UA"/>
        </w:rPr>
        <w:t>чи досягли компетентні національні органи влади</w:t>
      </w:r>
      <w:r w:rsidR="00E81B07" w:rsidRPr="00F0117E">
        <w:rPr>
          <w:lang w:val="uk-UA"/>
        </w:rPr>
        <w:t xml:space="preserve">, </w:t>
      </w:r>
      <w:r w:rsidR="00F63F2D" w:rsidRPr="00F0117E">
        <w:rPr>
          <w:lang w:val="uk-UA"/>
        </w:rPr>
        <w:t>у світлі усіх обставин справи, справедливого балансу</w:t>
      </w:r>
      <w:r w:rsidR="00E81B07" w:rsidRPr="00F0117E">
        <w:rPr>
          <w:bCs/>
          <w:lang w:val="uk-UA"/>
        </w:rPr>
        <w:t xml:space="preserve"> </w:t>
      </w:r>
      <w:r w:rsidR="00F63F2D" w:rsidRPr="00F0117E">
        <w:rPr>
          <w:bCs/>
          <w:lang w:val="uk-UA"/>
        </w:rPr>
        <w:t>між конкуруючими інтересами</w:t>
      </w:r>
      <w:r w:rsidR="00E81B07" w:rsidRPr="00F0117E">
        <w:rPr>
          <w:bCs/>
          <w:lang w:val="uk-UA"/>
        </w:rPr>
        <w:t xml:space="preserve"> </w:t>
      </w:r>
      <w:r w:rsidR="00F63F2D" w:rsidRPr="00F0117E">
        <w:rPr>
          <w:bCs/>
          <w:lang w:val="uk-UA"/>
        </w:rPr>
        <w:t>при прийнятті моніторингових заходів, яким підлягав заявник</w:t>
      </w:r>
      <w:r w:rsidR="00E81B07" w:rsidRPr="00F0117E">
        <w:rPr>
          <w:lang w:val="uk-UA"/>
        </w:rPr>
        <w:t xml:space="preserve"> (</w:t>
      </w:r>
      <w:r w:rsidR="00F63F2D" w:rsidRPr="00F0117E">
        <w:rPr>
          <w:lang w:val="uk-UA"/>
        </w:rPr>
        <w:t>див., з необхідними змінами</w:t>
      </w:r>
      <w:r w:rsidR="00E81B07" w:rsidRPr="00F0117E">
        <w:rPr>
          <w:lang w:val="uk-UA"/>
        </w:rPr>
        <w:t xml:space="preserve">, </w:t>
      </w:r>
      <w:proofErr w:type="spellStart"/>
      <w:r w:rsidR="00E81B07" w:rsidRPr="00F0117E">
        <w:rPr>
          <w:i/>
          <w:lang w:val="uk-UA"/>
        </w:rPr>
        <w:t>Palomo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S</w:t>
      </w:r>
      <w:r w:rsidR="00E81B07" w:rsidRPr="00F0117E">
        <w:rPr>
          <w:rFonts w:cstheme="minorHAnsi"/>
          <w:i/>
          <w:lang w:val="uk-UA"/>
        </w:rPr>
        <w:t>á</w:t>
      </w:r>
      <w:r w:rsidR="00E81B07" w:rsidRPr="00F0117E">
        <w:rPr>
          <w:i/>
          <w:lang w:val="uk-UA"/>
        </w:rPr>
        <w:t>nchez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and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Others</w:t>
      </w:r>
      <w:proofErr w:type="spellEnd"/>
      <w:r w:rsidR="00E81B07" w:rsidRPr="00F0117E">
        <w:rPr>
          <w:lang w:val="uk-UA"/>
        </w:rPr>
        <w:t xml:space="preserve">, </w:t>
      </w:r>
      <w:proofErr w:type="spellStart"/>
      <w:r w:rsidR="00F63F2D" w:rsidRPr="00F0117E">
        <w:rPr>
          <w:lang w:val="uk-UA"/>
        </w:rPr>
        <w:t>цит</w:t>
      </w:r>
      <w:proofErr w:type="spellEnd"/>
      <w:r w:rsidR="00F63F2D" w:rsidRPr="00F0117E">
        <w:rPr>
          <w:lang w:val="uk-UA"/>
        </w:rPr>
        <w:t xml:space="preserve">. </w:t>
      </w:r>
      <w:r w:rsidR="00F63F2D" w:rsidRPr="00F0117E">
        <w:rPr>
          <w:lang w:val="uk-UA"/>
        </w:rPr>
        <w:lastRenderedPageBreak/>
        <w:t>вище</w:t>
      </w:r>
      <w:r w:rsidR="00E81B07" w:rsidRPr="00F0117E">
        <w:rPr>
          <w:lang w:val="uk-UA"/>
        </w:rPr>
        <w:t xml:space="preserve">, § 62). </w:t>
      </w:r>
      <w:r w:rsidR="00F63F2D" w:rsidRPr="00F0117E">
        <w:rPr>
          <w:lang w:val="uk-UA"/>
        </w:rPr>
        <w:t xml:space="preserve">Він визнає, що </w:t>
      </w:r>
      <w:r w:rsidR="00FA7322" w:rsidRPr="00F0117E">
        <w:rPr>
          <w:lang w:val="uk-UA"/>
        </w:rPr>
        <w:t>роботодавець</w:t>
      </w:r>
      <w:r w:rsidR="00F63F2D" w:rsidRPr="00F0117E">
        <w:rPr>
          <w:lang w:val="uk-UA"/>
        </w:rPr>
        <w:t xml:space="preserve"> мав законний інтерес</w:t>
      </w:r>
      <w:r w:rsidR="00E81B07" w:rsidRPr="00F0117E">
        <w:rPr>
          <w:lang w:val="uk-UA"/>
        </w:rPr>
        <w:t xml:space="preserve"> </w:t>
      </w:r>
      <w:r w:rsidR="00F63F2D" w:rsidRPr="00F0117E">
        <w:rPr>
          <w:lang w:val="uk-UA"/>
        </w:rPr>
        <w:t>у забезпеченні безперебійного функціонування компанії</w:t>
      </w:r>
      <w:r w:rsidR="00E81B07" w:rsidRPr="00F0117E">
        <w:rPr>
          <w:lang w:val="uk-UA"/>
        </w:rPr>
        <w:t xml:space="preserve">, </w:t>
      </w:r>
      <w:r w:rsidR="00F63F2D" w:rsidRPr="00F0117E">
        <w:rPr>
          <w:lang w:val="uk-UA"/>
        </w:rPr>
        <w:t>і що цього можна було досягти шляхом встановлення механізмів</w:t>
      </w:r>
      <w:r w:rsidR="00E81B07" w:rsidRPr="00F0117E">
        <w:rPr>
          <w:lang w:val="uk-UA"/>
        </w:rPr>
        <w:t xml:space="preserve"> </w:t>
      </w:r>
      <w:r w:rsidR="00F63F2D" w:rsidRPr="00F0117E">
        <w:rPr>
          <w:lang w:val="uk-UA"/>
        </w:rPr>
        <w:t>для перевірки того, чи виконують працівники свої професійні обов’язки</w:t>
      </w:r>
      <w:r w:rsidR="00E81B07" w:rsidRPr="00F0117E">
        <w:rPr>
          <w:lang w:val="uk-UA"/>
        </w:rPr>
        <w:t xml:space="preserve"> </w:t>
      </w:r>
      <w:r w:rsidR="00F63F2D" w:rsidRPr="00F0117E">
        <w:rPr>
          <w:lang w:val="uk-UA"/>
        </w:rPr>
        <w:t>належно та з необхідною ретельністю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128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864F5C" w:rsidRPr="00F0117E">
        <w:rPr>
          <w:lang w:val="uk-UA"/>
        </w:rPr>
        <w:t>У світлі наведених вище міркувань</w:t>
      </w:r>
      <w:r w:rsidR="00E81B07" w:rsidRPr="00F0117E">
        <w:rPr>
          <w:lang w:val="uk-UA"/>
        </w:rPr>
        <w:t xml:space="preserve"> </w:t>
      </w:r>
      <w:r w:rsidR="00864F5C" w:rsidRPr="00F0117E">
        <w:rPr>
          <w:lang w:val="uk-UA"/>
        </w:rPr>
        <w:t xml:space="preserve">Суд спочатку розгляне </w:t>
      </w:r>
      <w:r w:rsidR="00A01FCA" w:rsidRPr="00F0117E">
        <w:rPr>
          <w:lang w:val="uk-UA"/>
        </w:rPr>
        <w:t>спосіб, в який</w:t>
      </w:r>
      <w:r w:rsidR="00864F5C" w:rsidRPr="00F0117E">
        <w:rPr>
          <w:lang w:val="uk-UA"/>
        </w:rPr>
        <w:t xml:space="preserve"> національні суди встановили</w:t>
      </w:r>
      <w:r w:rsidR="00E81B07" w:rsidRPr="00F0117E">
        <w:rPr>
          <w:lang w:val="uk-UA"/>
        </w:rPr>
        <w:t xml:space="preserve"> </w:t>
      </w:r>
      <w:r w:rsidR="00864F5C" w:rsidRPr="00F0117E">
        <w:rPr>
          <w:lang w:val="uk-UA"/>
        </w:rPr>
        <w:t>відповідні факти у даній справі</w:t>
      </w:r>
      <w:r w:rsidR="00E81B07" w:rsidRPr="00F0117E">
        <w:rPr>
          <w:lang w:val="uk-UA"/>
        </w:rPr>
        <w:t xml:space="preserve">. </w:t>
      </w:r>
      <w:r w:rsidR="00864F5C" w:rsidRPr="00F0117E">
        <w:rPr>
          <w:lang w:val="uk-UA"/>
        </w:rPr>
        <w:t>Як окружний суд, так і апеляційний суд</w:t>
      </w:r>
      <w:r w:rsidR="00E81B07" w:rsidRPr="00F0117E">
        <w:rPr>
          <w:lang w:val="uk-UA"/>
        </w:rPr>
        <w:t xml:space="preserve"> </w:t>
      </w:r>
      <w:r w:rsidR="00864F5C" w:rsidRPr="00F0117E">
        <w:rPr>
          <w:lang w:val="uk-UA"/>
        </w:rPr>
        <w:t>постановили, що заявник отримав попереднє повідомлення</w:t>
      </w:r>
      <w:r w:rsidR="00E81B07" w:rsidRPr="00F0117E">
        <w:rPr>
          <w:lang w:val="uk-UA"/>
        </w:rPr>
        <w:t xml:space="preserve"> </w:t>
      </w:r>
      <w:r w:rsidR="00864F5C" w:rsidRPr="00F0117E">
        <w:rPr>
          <w:lang w:val="uk-UA"/>
        </w:rPr>
        <w:t>від роботодавця</w:t>
      </w:r>
      <w:r w:rsidR="00E81B07" w:rsidRPr="00F0117E">
        <w:rPr>
          <w:lang w:val="uk-UA"/>
        </w:rPr>
        <w:t xml:space="preserve"> (</w:t>
      </w:r>
      <w:r w:rsidR="00864F5C" w:rsidRPr="00F0117E">
        <w:rPr>
          <w:lang w:val="uk-UA"/>
        </w:rPr>
        <w:t>див. пункти</w:t>
      </w:r>
      <w:r w:rsidR="00E81B07" w:rsidRPr="00F0117E">
        <w:rPr>
          <w:lang w:val="uk-UA"/>
        </w:rPr>
        <w:t xml:space="preserve"> </w:t>
      </w:r>
      <w:fldSimple w:instr=" REF TMB_fond \h  \* MERGEFORMAT ">
        <w:r w:rsidR="008B2B31" w:rsidRPr="00F0117E">
          <w:rPr>
            <w:lang w:val="uk-UA"/>
          </w:rPr>
          <w:t>28</w:t>
        </w:r>
      </w:fldSimple>
      <w:r w:rsidR="00E81B07" w:rsidRPr="00F0117E">
        <w:rPr>
          <w:lang w:val="uk-UA"/>
        </w:rPr>
        <w:t xml:space="preserve"> </w:t>
      </w:r>
      <w:r w:rsidR="00864F5C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</w:t>
      </w:r>
      <w:fldSimple w:instr=" REF hotarare_CAB \h  \* MERGEFORMAT ">
        <w:r w:rsidR="008B2B31" w:rsidRPr="00F0117E">
          <w:rPr>
            <w:lang w:val="uk-UA"/>
          </w:rPr>
          <w:t>30</w:t>
        </w:r>
      </w:fldSimple>
      <w:r w:rsidR="00E81B07" w:rsidRPr="00F0117E">
        <w:rPr>
          <w:lang w:val="uk-UA"/>
        </w:rPr>
        <w:t xml:space="preserve"> </w:t>
      </w:r>
      <w:r w:rsidR="00864F5C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). </w:t>
      </w:r>
      <w:r w:rsidR="00864F5C" w:rsidRPr="00F0117E">
        <w:rPr>
          <w:lang w:val="uk-UA"/>
        </w:rPr>
        <w:t>Тому Суд повинен переконатися,</w:t>
      </w:r>
      <w:r w:rsidR="00E81B07" w:rsidRPr="00F0117E">
        <w:rPr>
          <w:lang w:val="uk-UA"/>
        </w:rPr>
        <w:t xml:space="preserve"> </w:t>
      </w:r>
      <w:r w:rsidR="00864F5C" w:rsidRPr="00F0117E">
        <w:rPr>
          <w:lang w:val="uk-UA"/>
        </w:rPr>
        <w:t>чи дотримали національні суди вимоги Конвенції при розгляді справи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i/>
          <w:szCs w:val="24"/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129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864F5C" w:rsidRPr="00F0117E">
        <w:rPr>
          <w:rFonts w:cstheme="minorHAnsi"/>
          <w:lang w:val="uk-UA"/>
        </w:rPr>
        <w:t>На цій стадії Суд вважає корисним повторити,</w:t>
      </w:r>
      <w:r w:rsidR="00E81B07" w:rsidRPr="00F0117E">
        <w:rPr>
          <w:lang w:val="uk-UA"/>
        </w:rPr>
        <w:t xml:space="preserve"> </w:t>
      </w:r>
      <w:r w:rsidR="00864F5C" w:rsidRPr="00F0117E">
        <w:rPr>
          <w:lang w:val="uk-UA"/>
        </w:rPr>
        <w:t>що коли справа стосується встановлення фактів</w:t>
      </w:r>
      <w:r w:rsidR="00E81B07" w:rsidRPr="00F0117E">
        <w:rPr>
          <w:lang w:val="uk-UA"/>
        </w:rPr>
        <w:t xml:space="preserve">, </w:t>
      </w:r>
      <w:r w:rsidR="00864F5C" w:rsidRPr="00F0117E">
        <w:rPr>
          <w:lang w:val="uk-UA"/>
        </w:rPr>
        <w:t>він пам’ятає про субсидіарний характер своєї задачі,</w:t>
      </w:r>
      <w:r w:rsidR="00E81B07" w:rsidRPr="00F0117E">
        <w:rPr>
          <w:lang w:val="uk-UA"/>
        </w:rPr>
        <w:t xml:space="preserve"> </w:t>
      </w:r>
      <w:r w:rsidR="00864F5C" w:rsidRPr="00F0117E">
        <w:rPr>
          <w:lang w:val="uk-UA"/>
        </w:rPr>
        <w:t>і повинен бути обережним при виконанні ролі</w:t>
      </w:r>
      <w:r w:rsidR="00E81B07" w:rsidRPr="00F0117E">
        <w:rPr>
          <w:lang w:val="uk-UA"/>
        </w:rPr>
        <w:t xml:space="preserve"> </w:t>
      </w:r>
      <w:r w:rsidR="00864F5C" w:rsidRPr="00F0117E">
        <w:rPr>
          <w:lang w:val="uk-UA"/>
        </w:rPr>
        <w:t>суду факту першої інстанції</w:t>
      </w:r>
      <w:r w:rsidR="00E81B07" w:rsidRPr="00F0117E">
        <w:rPr>
          <w:lang w:val="uk-UA"/>
        </w:rPr>
        <w:t xml:space="preserve">, </w:t>
      </w:r>
      <w:r w:rsidR="00864F5C" w:rsidRPr="00F0117E">
        <w:rPr>
          <w:lang w:val="uk-UA"/>
        </w:rPr>
        <w:t>якщо це не роблять неминучим</w:t>
      </w:r>
      <w:r w:rsidR="00E81B07" w:rsidRPr="00F0117E">
        <w:rPr>
          <w:lang w:val="uk-UA"/>
        </w:rPr>
        <w:t xml:space="preserve"> </w:t>
      </w:r>
      <w:r w:rsidR="00864F5C" w:rsidRPr="00F0117E">
        <w:rPr>
          <w:lang w:val="uk-UA"/>
        </w:rPr>
        <w:t>обставини конкретної справи</w:t>
      </w:r>
      <w:r w:rsidR="00E81B07" w:rsidRPr="00F0117E">
        <w:rPr>
          <w:lang w:val="uk-UA"/>
        </w:rPr>
        <w:t xml:space="preserve"> (</w:t>
      </w:r>
      <w:r w:rsidR="00864F5C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Mustafa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Tunç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and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Fecire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Tunç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Turkey</w:t>
      </w:r>
      <w:proofErr w:type="spellEnd"/>
      <w:r w:rsidR="00E81B07" w:rsidRPr="00F0117E">
        <w:rPr>
          <w:i/>
          <w:lang w:val="uk-UA"/>
        </w:rPr>
        <w:t xml:space="preserve"> </w:t>
      </w:r>
      <w:r w:rsidR="00E81B07" w:rsidRPr="00F0117E">
        <w:rPr>
          <w:lang w:val="uk-UA"/>
        </w:rPr>
        <w:t xml:space="preserve">[GC], </w:t>
      </w:r>
      <w:r w:rsidR="00864F5C" w:rsidRPr="00F0117E">
        <w:rPr>
          <w:lang w:val="uk-UA"/>
        </w:rPr>
        <w:t>№</w:t>
      </w:r>
      <w:r w:rsidR="00E81B07" w:rsidRPr="00F0117E">
        <w:rPr>
          <w:lang w:val="uk-UA"/>
        </w:rPr>
        <w:t> 24014/05</w:t>
      </w:r>
      <w:r w:rsidR="00E81B07" w:rsidRPr="00F0117E">
        <w:rPr>
          <w:snapToGrid w:val="0"/>
          <w:lang w:val="uk-UA"/>
        </w:rPr>
        <w:t xml:space="preserve">, § 182, </w:t>
      </w:r>
      <w:r w:rsidR="00E81B07" w:rsidRPr="00F0117E">
        <w:rPr>
          <w:lang w:val="uk-UA"/>
        </w:rPr>
        <w:t xml:space="preserve">14 </w:t>
      </w:r>
      <w:r w:rsidR="00864F5C" w:rsidRPr="00F0117E">
        <w:rPr>
          <w:lang w:val="uk-UA"/>
        </w:rPr>
        <w:t>квітня</w:t>
      </w:r>
      <w:r w:rsidR="00E81B07" w:rsidRPr="00F0117E">
        <w:rPr>
          <w:snapToGrid w:val="0"/>
          <w:lang w:val="uk-UA"/>
        </w:rPr>
        <w:t xml:space="preserve"> 2015</w:t>
      </w:r>
      <w:r w:rsidR="00864F5C" w:rsidRPr="00F0117E">
        <w:rPr>
          <w:snapToGrid w:val="0"/>
          <w:lang w:val="uk-UA"/>
        </w:rPr>
        <w:t xml:space="preserve"> року</w:t>
      </w:r>
      <w:r w:rsidR="00E81B07" w:rsidRPr="00F0117E">
        <w:rPr>
          <w:lang w:val="uk-UA"/>
        </w:rPr>
        <w:t xml:space="preserve">). </w:t>
      </w:r>
      <w:r w:rsidR="00143EF1" w:rsidRPr="00F0117E">
        <w:rPr>
          <w:lang w:val="uk-UA"/>
        </w:rPr>
        <w:t>Якщо національні провадження вже відбулися</w:t>
      </w:r>
      <w:r w:rsidR="00E81B07" w:rsidRPr="00F0117E">
        <w:rPr>
          <w:lang w:val="uk-UA"/>
        </w:rPr>
        <w:t xml:space="preserve">, </w:t>
      </w:r>
      <w:r w:rsidR="00143EF1" w:rsidRPr="00F0117E">
        <w:rPr>
          <w:lang w:val="uk-UA"/>
        </w:rPr>
        <w:t>задача Суду не полягає</w:t>
      </w:r>
      <w:r w:rsidR="00E81B07" w:rsidRPr="00F0117E">
        <w:rPr>
          <w:lang w:val="uk-UA"/>
        </w:rPr>
        <w:t xml:space="preserve"> </w:t>
      </w:r>
      <w:r w:rsidR="00143EF1" w:rsidRPr="00F0117E">
        <w:rPr>
          <w:lang w:val="uk-UA"/>
        </w:rPr>
        <w:t>в заміні оцінки фактів, зробленої національними судами, власною оцінкою,</w:t>
      </w:r>
      <w:r w:rsidR="00E81B07" w:rsidRPr="00F0117E">
        <w:rPr>
          <w:lang w:val="uk-UA"/>
        </w:rPr>
        <w:t xml:space="preserve"> </w:t>
      </w:r>
      <w:r w:rsidR="00143EF1" w:rsidRPr="00F0117E">
        <w:rPr>
          <w:lang w:val="uk-UA"/>
        </w:rPr>
        <w:t>і саме національні суди повинні встановити факти на основі</w:t>
      </w:r>
      <w:r w:rsidR="00E81B07" w:rsidRPr="00F0117E">
        <w:rPr>
          <w:lang w:val="uk-UA"/>
        </w:rPr>
        <w:t xml:space="preserve"> </w:t>
      </w:r>
      <w:r w:rsidR="00143EF1" w:rsidRPr="00F0117E">
        <w:rPr>
          <w:lang w:val="uk-UA"/>
        </w:rPr>
        <w:t>доказів</w:t>
      </w:r>
      <w:r w:rsidR="00EE2474" w:rsidRPr="00F0117E">
        <w:rPr>
          <w:lang w:val="uk-UA"/>
        </w:rPr>
        <w:t>, які є в</w:t>
      </w:r>
      <w:r w:rsidR="00143EF1" w:rsidRPr="00F0117E">
        <w:rPr>
          <w:lang w:val="uk-UA"/>
        </w:rPr>
        <w:t xml:space="preserve"> їх розпорядженні</w:t>
      </w:r>
      <w:r w:rsidR="00E81B07" w:rsidRPr="00F0117E">
        <w:rPr>
          <w:lang w:val="uk-UA"/>
        </w:rPr>
        <w:t xml:space="preserve"> (</w:t>
      </w:r>
      <w:r w:rsidR="00A537FA" w:rsidRPr="00F0117E">
        <w:rPr>
          <w:lang w:val="uk-UA"/>
        </w:rPr>
        <w:t>див., серед інших</w:t>
      </w:r>
      <w:r w:rsidR="00E81B07" w:rsidRPr="00F0117E">
        <w:rPr>
          <w:lang w:val="uk-UA"/>
        </w:rPr>
        <w:t xml:space="preserve">, </w:t>
      </w:r>
      <w:proofErr w:type="spellStart"/>
      <w:r w:rsidR="00E81B07" w:rsidRPr="00F0117E">
        <w:rPr>
          <w:i/>
          <w:lang w:val="uk-UA"/>
        </w:rPr>
        <w:t>Edwards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the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United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Kingdom</w:t>
      </w:r>
      <w:proofErr w:type="spellEnd"/>
      <w:r w:rsidR="00E81B07" w:rsidRPr="00F0117E">
        <w:rPr>
          <w:lang w:val="uk-UA"/>
        </w:rPr>
        <w:t xml:space="preserve">, 16 </w:t>
      </w:r>
      <w:r w:rsidR="00A537FA" w:rsidRPr="00F0117E">
        <w:rPr>
          <w:lang w:val="uk-UA"/>
        </w:rPr>
        <w:t>грудня</w:t>
      </w:r>
      <w:r w:rsidR="00E81B07" w:rsidRPr="00F0117E">
        <w:rPr>
          <w:lang w:val="uk-UA"/>
        </w:rPr>
        <w:t xml:space="preserve"> 1992, § 34, </w:t>
      </w:r>
      <w:r w:rsidR="00A537FA" w:rsidRPr="00F0117E">
        <w:rPr>
          <w:lang w:val="uk-UA"/>
        </w:rPr>
        <w:t>серія А №</w:t>
      </w:r>
      <w:r w:rsidR="00E81B07" w:rsidRPr="00F0117E">
        <w:rPr>
          <w:lang w:val="uk-UA"/>
        </w:rPr>
        <w:t> 247</w:t>
      </w:r>
      <w:r w:rsidR="00E81B07" w:rsidRPr="00F0117E">
        <w:rPr>
          <w:lang w:val="uk-UA"/>
        </w:rPr>
        <w:noBreakHyphen/>
        <w:t xml:space="preserve">B). </w:t>
      </w:r>
      <w:r w:rsidR="00A537FA" w:rsidRPr="00F0117E">
        <w:rPr>
          <w:lang w:val="uk-UA"/>
        </w:rPr>
        <w:t>Хоча Суд не зв’язаний висновками національних судів</w:t>
      </w:r>
      <w:r w:rsidR="00E81B07" w:rsidRPr="00F0117E">
        <w:rPr>
          <w:lang w:val="uk-UA"/>
        </w:rPr>
        <w:t xml:space="preserve"> </w:t>
      </w:r>
      <w:r w:rsidR="00A537FA" w:rsidRPr="00F0117E">
        <w:rPr>
          <w:lang w:val="uk-UA"/>
        </w:rPr>
        <w:t>та має право робити власну оцінку</w:t>
      </w:r>
      <w:r w:rsidR="00E81B07" w:rsidRPr="00F0117E">
        <w:rPr>
          <w:lang w:val="uk-UA"/>
        </w:rPr>
        <w:t xml:space="preserve"> </w:t>
      </w:r>
      <w:r w:rsidR="00A537FA" w:rsidRPr="00F0117E">
        <w:rPr>
          <w:lang w:val="uk-UA"/>
        </w:rPr>
        <w:t>у світлі усіх матеріалів у своєму розпорядженні</w:t>
      </w:r>
      <w:r w:rsidR="00E81B07" w:rsidRPr="00F0117E">
        <w:rPr>
          <w:lang w:val="uk-UA"/>
        </w:rPr>
        <w:t xml:space="preserve">, </w:t>
      </w:r>
      <w:r w:rsidR="00A537FA" w:rsidRPr="00F0117E">
        <w:rPr>
          <w:lang w:val="uk-UA"/>
        </w:rPr>
        <w:t>за нормальних обставин він потребує</w:t>
      </w:r>
      <w:r w:rsidR="00E81B07" w:rsidRPr="00F0117E">
        <w:rPr>
          <w:lang w:val="uk-UA"/>
        </w:rPr>
        <w:t xml:space="preserve"> </w:t>
      </w:r>
      <w:r w:rsidR="00A537FA" w:rsidRPr="00F0117E">
        <w:rPr>
          <w:lang w:val="uk-UA"/>
        </w:rPr>
        <w:t>переконливі елементи</w:t>
      </w:r>
      <w:r w:rsidR="00E81B07" w:rsidRPr="00F0117E">
        <w:rPr>
          <w:lang w:val="uk-UA"/>
        </w:rPr>
        <w:t xml:space="preserve"> </w:t>
      </w:r>
      <w:r w:rsidR="00A537FA" w:rsidRPr="00F0117E">
        <w:rPr>
          <w:lang w:val="uk-UA"/>
        </w:rPr>
        <w:t>для того, щоб відхилитися від фактичних висновків,</w:t>
      </w:r>
      <w:r w:rsidR="00E81B07" w:rsidRPr="00F0117E">
        <w:rPr>
          <w:lang w:val="uk-UA"/>
        </w:rPr>
        <w:t xml:space="preserve"> </w:t>
      </w:r>
      <w:r w:rsidR="00A537FA" w:rsidRPr="00F0117E">
        <w:rPr>
          <w:lang w:val="uk-UA"/>
        </w:rPr>
        <w:t>досягнутих національними судами</w:t>
      </w:r>
      <w:r w:rsidR="00E81B07" w:rsidRPr="00F0117E">
        <w:rPr>
          <w:lang w:val="uk-UA"/>
        </w:rPr>
        <w:t xml:space="preserve"> (</w:t>
      </w:r>
      <w:r w:rsidR="00A537FA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Giuliani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and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Gaggio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Italy</w:t>
      </w:r>
      <w:proofErr w:type="spellEnd"/>
      <w:r w:rsidR="00E81B07" w:rsidRPr="00F0117E">
        <w:rPr>
          <w:i/>
          <w:lang w:val="uk-UA"/>
        </w:rPr>
        <w:t xml:space="preserve"> </w:t>
      </w:r>
      <w:r w:rsidR="00E81B07" w:rsidRPr="00F0117E">
        <w:rPr>
          <w:lang w:val="uk-UA"/>
        </w:rPr>
        <w:t xml:space="preserve">[GC], </w:t>
      </w:r>
      <w:r w:rsidR="00A537FA" w:rsidRPr="00F0117E">
        <w:rPr>
          <w:lang w:val="uk-UA"/>
        </w:rPr>
        <w:t>№</w:t>
      </w:r>
      <w:r w:rsidR="00E81B07" w:rsidRPr="00F0117E">
        <w:rPr>
          <w:lang w:val="uk-UA"/>
        </w:rPr>
        <w:t> 23458/02, § 180, ECHR 2011 (</w:t>
      </w:r>
      <w:r w:rsidR="00A537FA" w:rsidRPr="00F0117E">
        <w:rPr>
          <w:lang w:val="uk-UA"/>
        </w:rPr>
        <w:t>витяги</w:t>
      </w:r>
      <w:r w:rsidR="00E81B07" w:rsidRPr="00F0117E">
        <w:rPr>
          <w:lang w:val="uk-UA"/>
        </w:rPr>
        <w:t xml:space="preserve">), </w:t>
      </w:r>
      <w:r w:rsidR="00A537FA" w:rsidRPr="00F0117E">
        <w:rPr>
          <w:lang w:val="uk-UA"/>
        </w:rPr>
        <w:t>і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Aydan</w:t>
      </w:r>
      <w:proofErr w:type="spellEnd"/>
      <w:r w:rsidR="00E81B07" w:rsidRPr="00F0117E">
        <w:rPr>
          <w:i/>
          <w:lang w:val="uk-UA"/>
        </w:rPr>
        <w:t xml:space="preserve"> v. </w:t>
      </w:r>
      <w:proofErr w:type="spellStart"/>
      <w:r w:rsidR="00E81B07" w:rsidRPr="00F0117E">
        <w:rPr>
          <w:i/>
          <w:lang w:val="uk-UA"/>
        </w:rPr>
        <w:t>Turkey</w:t>
      </w:r>
      <w:proofErr w:type="spellEnd"/>
      <w:r w:rsidR="00E81B07" w:rsidRPr="00F0117E">
        <w:rPr>
          <w:lang w:val="uk-UA"/>
        </w:rPr>
        <w:t xml:space="preserve">, </w:t>
      </w:r>
      <w:r w:rsidR="00A537FA" w:rsidRPr="00F0117E">
        <w:rPr>
          <w:lang w:val="uk-UA"/>
        </w:rPr>
        <w:t>№</w:t>
      </w:r>
      <w:r w:rsidR="00E81B07" w:rsidRPr="00F0117E">
        <w:rPr>
          <w:lang w:val="uk-UA"/>
        </w:rPr>
        <w:t xml:space="preserve"> 16281/10, § 69, 12 </w:t>
      </w:r>
      <w:r w:rsidR="00A537FA" w:rsidRPr="00F0117E">
        <w:rPr>
          <w:lang w:val="uk-UA"/>
        </w:rPr>
        <w:t>березня</w:t>
      </w:r>
      <w:r w:rsidR="00E81B07" w:rsidRPr="00F0117E">
        <w:rPr>
          <w:lang w:val="uk-UA"/>
        </w:rPr>
        <w:t xml:space="preserve"> 2013).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130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A537FA" w:rsidRPr="00F0117E">
        <w:rPr>
          <w:lang w:val="uk-UA"/>
        </w:rPr>
        <w:t>Надані до Суду докази вказують</w:t>
      </w:r>
      <w:r w:rsidR="00E81B07" w:rsidRPr="00F0117E">
        <w:rPr>
          <w:lang w:val="uk-UA"/>
        </w:rPr>
        <w:t xml:space="preserve"> </w:t>
      </w:r>
      <w:r w:rsidR="00A537FA" w:rsidRPr="00F0117E">
        <w:rPr>
          <w:lang w:val="uk-UA"/>
        </w:rPr>
        <w:t>на те, що заявник був проінформований про внутрішні розпорядження роботодавця</w:t>
      </w:r>
      <w:r w:rsidR="00E81B07" w:rsidRPr="00F0117E">
        <w:rPr>
          <w:lang w:val="uk-UA"/>
        </w:rPr>
        <w:t xml:space="preserve">, </w:t>
      </w:r>
      <w:r w:rsidR="00A537FA" w:rsidRPr="00F0117E">
        <w:rPr>
          <w:lang w:val="uk-UA"/>
        </w:rPr>
        <w:t xml:space="preserve">які забороняли користування ресурсами компанії </w:t>
      </w:r>
      <w:r w:rsidR="0057309C" w:rsidRPr="00F0117E">
        <w:rPr>
          <w:lang w:val="uk-UA"/>
        </w:rPr>
        <w:t>в особистих</w:t>
      </w:r>
      <w:r w:rsidR="00A537FA" w:rsidRPr="00F0117E">
        <w:rPr>
          <w:lang w:val="uk-UA"/>
        </w:rPr>
        <w:t xml:space="preserve"> цілях</w:t>
      </w:r>
      <w:r w:rsidR="00E81B07" w:rsidRPr="00F0117E">
        <w:rPr>
          <w:lang w:val="uk-UA"/>
        </w:rPr>
        <w:t xml:space="preserve"> (</w:t>
      </w:r>
      <w:r w:rsidR="00A537FA" w:rsidRPr="00F0117E">
        <w:rPr>
          <w:lang w:val="uk-UA"/>
        </w:rPr>
        <w:t>див. пункт</w:t>
      </w:r>
      <w:r w:rsidR="00E81B07" w:rsidRPr="00F0117E">
        <w:rPr>
          <w:lang w:val="uk-UA"/>
        </w:rPr>
        <w:t> </w:t>
      </w:r>
      <w:fldSimple w:instr=" REF ROI \h  \* MERGEFORMAT ">
        <w:r w:rsidR="008B2B31" w:rsidRPr="00F0117E">
          <w:rPr>
            <w:lang w:val="uk-UA"/>
          </w:rPr>
          <w:t>12</w:t>
        </w:r>
      </w:fldSimple>
      <w:r w:rsidR="00E81B07" w:rsidRPr="00F0117E">
        <w:rPr>
          <w:lang w:val="uk-UA"/>
        </w:rPr>
        <w:t xml:space="preserve"> </w:t>
      </w:r>
      <w:r w:rsidR="00A537FA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). </w:t>
      </w:r>
      <w:r w:rsidR="00A537FA" w:rsidRPr="00F0117E">
        <w:rPr>
          <w:lang w:val="uk-UA"/>
        </w:rPr>
        <w:t>Він визнав зміст відповідного документу</w:t>
      </w:r>
      <w:r w:rsidR="00E81B07" w:rsidRPr="00F0117E">
        <w:rPr>
          <w:lang w:val="uk-UA"/>
        </w:rPr>
        <w:t xml:space="preserve"> </w:t>
      </w:r>
      <w:r w:rsidR="00A537FA" w:rsidRPr="00F0117E">
        <w:rPr>
          <w:lang w:val="uk-UA"/>
        </w:rPr>
        <w:t>та підписав його копію</w:t>
      </w:r>
      <w:r w:rsidR="00E81B07" w:rsidRPr="00F0117E">
        <w:rPr>
          <w:lang w:val="uk-UA"/>
        </w:rPr>
        <w:t xml:space="preserve"> 20 </w:t>
      </w:r>
      <w:r w:rsidR="00A537FA" w:rsidRPr="00F0117E">
        <w:rPr>
          <w:lang w:val="uk-UA"/>
        </w:rPr>
        <w:t>грудня</w:t>
      </w:r>
      <w:r w:rsidR="00E81B07" w:rsidRPr="00F0117E">
        <w:rPr>
          <w:lang w:val="uk-UA"/>
        </w:rPr>
        <w:t xml:space="preserve"> 2006</w:t>
      </w:r>
      <w:r w:rsidR="00A537FA" w:rsidRPr="00F0117E">
        <w:rPr>
          <w:lang w:val="uk-UA"/>
        </w:rPr>
        <w:t xml:space="preserve"> року</w:t>
      </w:r>
      <w:r w:rsidR="00E81B07" w:rsidRPr="00F0117E">
        <w:rPr>
          <w:lang w:val="uk-UA"/>
        </w:rPr>
        <w:t xml:space="preserve"> (</w:t>
      </w:r>
      <w:r w:rsidR="00A537FA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R_ia_cunostinta_ROI \h  \* MERGEFORMAT ">
        <w:r w:rsidR="008B2B31" w:rsidRPr="00F0117E">
          <w:rPr>
            <w:lang w:val="uk-UA"/>
          </w:rPr>
          <w:t>14</w:t>
        </w:r>
      </w:fldSimple>
      <w:r w:rsidR="00E81B07" w:rsidRPr="00F0117E">
        <w:rPr>
          <w:lang w:val="uk-UA"/>
        </w:rPr>
        <w:t xml:space="preserve"> </w:t>
      </w:r>
      <w:r w:rsidR="00A537FA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). </w:t>
      </w:r>
      <w:r w:rsidR="00A537FA" w:rsidRPr="00F0117E">
        <w:rPr>
          <w:lang w:val="uk-UA"/>
        </w:rPr>
        <w:t>Крім того, роботодавець надіслав усім працівникам</w:t>
      </w:r>
      <w:r w:rsidR="00E81B07" w:rsidRPr="00F0117E">
        <w:rPr>
          <w:lang w:val="uk-UA"/>
        </w:rPr>
        <w:t xml:space="preserve"> </w:t>
      </w:r>
      <w:r w:rsidR="00A537FA" w:rsidRPr="00F0117E">
        <w:rPr>
          <w:lang w:val="uk-UA"/>
        </w:rPr>
        <w:t xml:space="preserve">інформаційне повідомлення, датоване 26 червня </w:t>
      </w:r>
      <w:r w:rsidR="00E81B07" w:rsidRPr="00F0117E">
        <w:rPr>
          <w:lang w:val="uk-UA"/>
        </w:rPr>
        <w:t xml:space="preserve">2007 </w:t>
      </w:r>
      <w:r w:rsidR="00A537FA" w:rsidRPr="00F0117E">
        <w:rPr>
          <w:lang w:val="uk-UA"/>
        </w:rPr>
        <w:t>року, в якому їм нагадувалося, що використання ресурсів компанії в особистих цілях заборонялося,</w:t>
      </w:r>
      <w:r w:rsidR="00E81B07" w:rsidRPr="00F0117E">
        <w:rPr>
          <w:lang w:val="uk-UA"/>
        </w:rPr>
        <w:t xml:space="preserve"> </w:t>
      </w:r>
      <w:r w:rsidR="00A537FA" w:rsidRPr="00F0117E">
        <w:rPr>
          <w:lang w:val="uk-UA"/>
        </w:rPr>
        <w:t>і пояснялося, що працівник був звільнений за порушення цього правила</w:t>
      </w:r>
      <w:r w:rsidR="00E81B07" w:rsidRPr="00F0117E">
        <w:rPr>
          <w:lang w:val="uk-UA"/>
        </w:rPr>
        <w:t xml:space="preserve"> (</w:t>
      </w:r>
      <w:r w:rsidR="00A537FA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nota_informativa_3iulie \h  \* MERGEFORMAT ">
        <w:r w:rsidR="008B2B31" w:rsidRPr="00F0117E">
          <w:rPr>
            <w:lang w:val="uk-UA"/>
          </w:rPr>
          <w:t>15</w:t>
        </w:r>
      </w:fldSimple>
      <w:r w:rsidR="00E81B07" w:rsidRPr="00F0117E">
        <w:rPr>
          <w:lang w:val="uk-UA"/>
        </w:rPr>
        <w:t xml:space="preserve"> </w:t>
      </w:r>
      <w:r w:rsidR="00A537FA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). </w:t>
      </w:r>
      <w:r w:rsidR="00A537FA" w:rsidRPr="00F0117E">
        <w:rPr>
          <w:lang w:val="uk-UA"/>
        </w:rPr>
        <w:t>Заявник ознайомився з повідомленням та підписав його копію</w:t>
      </w:r>
      <w:r w:rsidR="00E81B07" w:rsidRPr="00F0117E">
        <w:rPr>
          <w:lang w:val="uk-UA"/>
        </w:rPr>
        <w:t xml:space="preserve"> </w:t>
      </w:r>
      <w:r w:rsidR="00A537FA" w:rsidRPr="00F0117E">
        <w:rPr>
          <w:lang w:val="uk-UA"/>
        </w:rPr>
        <w:t>у невстановлений день з</w:t>
      </w:r>
      <w:r w:rsidR="00E81B07" w:rsidRPr="00F0117E">
        <w:rPr>
          <w:lang w:val="uk-UA"/>
        </w:rPr>
        <w:t xml:space="preserve"> 3 </w:t>
      </w:r>
      <w:r w:rsidR="00A537FA" w:rsidRPr="00F0117E">
        <w:rPr>
          <w:lang w:val="uk-UA"/>
        </w:rPr>
        <w:t>до 13 липня</w:t>
      </w:r>
      <w:r w:rsidR="00E81B07" w:rsidRPr="00F0117E">
        <w:rPr>
          <w:lang w:val="uk-UA"/>
        </w:rPr>
        <w:t xml:space="preserve"> 2007</w:t>
      </w:r>
      <w:r w:rsidR="00A537FA" w:rsidRPr="00F0117E">
        <w:rPr>
          <w:lang w:val="uk-UA"/>
        </w:rPr>
        <w:t xml:space="preserve"> року</w:t>
      </w:r>
      <w:r w:rsidR="00E81B07" w:rsidRPr="00F0117E">
        <w:rPr>
          <w:lang w:val="uk-UA"/>
        </w:rPr>
        <w:t xml:space="preserve"> (</w:t>
      </w:r>
      <w:r w:rsidR="00A537FA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R_ia_cunostinta_nota_informativa \h  \* MERGEFORMAT ">
        <w:r w:rsidR="008B2B31" w:rsidRPr="00F0117E">
          <w:rPr>
            <w:lang w:val="uk-UA"/>
          </w:rPr>
          <w:t>16</w:t>
        </w:r>
      </w:fldSimple>
      <w:r w:rsidR="00E81B07" w:rsidRPr="00F0117E">
        <w:rPr>
          <w:lang w:val="uk-UA"/>
        </w:rPr>
        <w:t xml:space="preserve"> </w:t>
      </w:r>
      <w:r w:rsidR="00A537FA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). </w:t>
      </w:r>
      <w:r w:rsidR="00A537FA" w:rsidRPr="00F0117E">
        <w:rPr>
          <w:lang w:val="uk-UA"/>
        </w:rPr>
        <w:t>Нарешті, Суд зазначає, що 13 липня</w:t>
      </w:r>
      <w:r w:rsidR="00E81B07" w:rsidRPr="00F0117E">
        <w:rPr>
          <w:lang w:val="uk-UA"/>
        </w:rPr>
        <w:t xml:space="preserve"> 2007 </w:t>
      </w:r>
      <w:r w:rsidR="00A537FA" w:rsidRPr="00F0117E">
        <w:rPr>
          <w:lang w:val="uk-UA"/>
        </w:rPr>
        <w:t>року заявник був двічі викликаний</w:t>
      </w:r>
      <w:r w:rsidR="00E81B07" w:rsidRPr="00F0117E">
        <w:rPr>
          <w:lang w:val="uk-UA"/>
        </w:rPr>
        <w:t xml:space="preserve"> </w:t>
      </w:r>
      <w:r w:rsidR="00A537FA" w:rsidRPr="00F0117E">
        <w:rPr>
          <w:lang w:val="uk-UA"/>
        </w:rPr>
        <w:t>роботодавцем для надання пояснень</w:t>
      </w:r>
      <w:r w:rsidR="00E81B07" w:rsidRPr="00F0117E">
        <w:rPr>
          <w:lang w:val="uk-UA"/>
        </w:rPr>
        <w:t xml:space="preserve"> </w:t>
      </w:r>
      <w:r w:rsidR="00A537FA" w:rsidRPr="00F0117E">
        <w:rPr>
          <w:lang w:val="uk-UA"/>
        </w:rPr>
        <w:t>щодо користування інтернетом в особистих цілях</w:t>
      </w:r>
      <w:r w:rsidR="00E81B07" w:rsidRPr="00F0117E">
        <w:rPr>
          <w:lang w:val="uk-UA"/>
        </w:rPr>
        <w:t xml:space="preserve"> (</w:t>
      </w:r>
      <w:r w:rsidR="00A537FA" w:rsidRPr="00F0117E">
        <w:rPr>
          <w:lang w:val="uk-UA"/>
        </w:rPr>
        <w:t>див. пункти</w:t>
      </w:r>
      <w:r w:rsidR="00E81B07" w:rsidRPr="00F0117E">
        <w:rPr>
          <w:lang w:val="uk-UA"/>
        </w:rPr>
        <w:t xml:space="preserve"> </w:t>
      </w:r>
      <w:fldSimple w:instr=" REF prima_convocare_1630 \h  \* MERGEFORMAT ">
        <w:r w:rsidR="008B2B31" w:rsidRPr="00F0117E">
          <w:rPr>
            <w:lang w:val="uk-UA"/>
          </w:rPr>
          <w:t>18</w:t>
        </w:r>
      </w:fldSimple>
      <w:r w:rsidR="00E81B07" w:rsidRPr="00F0117E">
        <w:rPr>
          <w:lang w:val="uk-UA"/>
        </w:rPr>
        <w:t xml:space="preserve"> </w:t>
      </w:r>
      <w:r w:rsidR="00A537FA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</w:t>
      </w:r>
      <w:fldSimple w:instr=" REF a_doua_convocare_1720 \h  \* MERGEFORMAT ">
        <w:r w:rsidR="008B2B31" w:rsidRPr="00F0117E">
          <w:rPr>
            <w:lang w:val="uk-UA"/>
          </w:rPr>
          <w:t>20</w:t>
        </w:r>
      </w:fldSimple>
      <w:r w:rsidR="00E81B07" w:rsidRPr="00F0117E">
        <w:rPr>
          <w:lang w:val="uk-UA"/>
        </w:rPr>
        <w:t xml:space="preserve"> </w:t>
      </w:r>
      <w:r w:rsidR="00A537FA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). </w:t>
      </w:r>
      <w:r w:rsidR="000216D9" w:rsidRPr="00F0117E">
        <w:rPr>
          <w:lang w:val="uk-UA"/>
        </w:rPr>
        <w:t>Спочатку, після демонстрації діаграм, які демонстрували</w:t>
      </w:r>
      <w:r w:rsidR="00E81B07" w:rsidRPr="00F0117E">
        <w:rPr>
          <w:lang w:val="uk-UA"/>
        </w:rPr>
        <w:t xml:space="preserve"> </w:t>
      </w:r>
      <w:r w:rsidR="000216D9" w:rsidRPr="00F0117E">
        <w:rPr>
          <w:lang w:val="uk-UA"/>
        </w:rPr>
        <w:t>його діяльність в інтернеті</w:t>
      </w:r>
      <w:r w:rsidR="00E81B07" w:rsidRPr="00F0117E">
        <w:rPr>
          <w:lang w:val="uk-UA"/>
        </w:rPr>
        <w:t xml:space="preserve"> </w:t>
      </w:r>
      <w:r w:rsidR="000216D9" w:rsidRPr="00F0117E">
        <w:rPr>
          <w:lang w:val="uk-UA"/>
        </w:rPr>
        <w:t>та діяльність його колег</w:t>
      </w:r>
      <w:r w:rsidR="00E81B07" w:rsidRPr="00F0117E">
        <w:rPr>
          <w:lang w:val="uk-UA"/>
        </w:rPr>
        <w:t xml:space="preserve">, </w:t>
      </w:r>
      <w:r w:rsidR="000216D9" w:rsidRPr="00F0117E">
        <w:rPr>
          <w:lang w:val="uk-UA"/>
        </w:rPr>
        <w:t xml:space="preserve">заявник стверджував, </w:t>
      </w:r>
      <w:r w:rsidR="000216D9" w:rsidRPr="00F0117E">
        <w:rPr>
          <w:lang w:val="uk-UA"/>
        </w:rPr>
        <w:lastRenderedPageBreak/>
        <w:t xml:space="preserve">що користувався </w:t>
      </w:r>
      <w:proofErr w:type="spellStart"/>
      <w:r w:rsidR="000216D9" w:rsidRPr="00F0117E">
        <w:rPr>
          <w:lang w:val="uk-UA"/>
        </w:rPr>
        <w:t>акаунтом</w:t>
      </w:r>
      <w:proofErr w:type="spellEnd"/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 </w:t>
      </w:r>
      <w:r w:rsidR="000216D9" w:rsidRPr="00F0117E">
        <w:rPr>
          <w:lang w:val="uk-UA"/>
        </w:rPr>
        <w:t>лише у робочих цілях</w:t>
      </w:r>
      <w:r w:rsidR="00E81B07" w:rsidRPr="00F0117E">
        <w:rPr>
          <w:lang w:val="uk-UA"/>
        </w:rPr>
        <w:t xml:space="preserve"> (</w:t>
      </w:r>
      <w:r w:rsidR="000216D9" w:rsidRPr="00F0117E">
        <w:rPr>
          <w:lang w:val="uk-UA"/>
        </w:rPr>
        <w:t>див. пункти</w:t>
      </w:r>
      <w:r w:rsidR="00E81B07" w:rsidRPr="00F0117E">
        <w:rPr>
          <w:lang w:val="uk-UA"/>
        </w:rPr>
        <w:t xml:space="preserve"> </w:t>
      </w:r>
      <w:fldSimple w:instr=" REF prima_convocare_1630 \h  \* MERGEFORMAT ">
        <w:r w:rsidR="008B2B31" w:rsidRPr="00F0117E">
          <w:rPr>
            <w:lang w:val="uk-UA"/>
          </w:rPr>
          <w:t>18</w:t>
        </w:r>
      </w:fldSimple>
      <w:r w:rsidR="00E81B07" w:rsidRPr="00F0117E">
        <w:rPr>
          <w:lang w:val="uk-UA"/>
        </w:rPr>
        <w:t xml:space="preserve"> </w:t>
      </w:r>
      <w:r w:rsidR="000216D9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</w:t>
      </w:r>
      <w:fldSimple w:instr=" REF usage_professionnel \h  \* MERGEFORMAT ">
        <w:r w:rsidR="008B2B31" w:rsidRPr="00F0117E">
          <w:rPr>
            <w:lang w:val="uk-UA"/>
          </w:rPr>
          <w:t>19</w:t>
        </w:r>
      </w:fldSimple>
      <w:r w:rsidR="00E81B07" w:rsidRPr="00F0117E">
        <w:rPr>
          <w:lang w:val="uk-UA"/>
        </w:rPr>
        <w:t xml:space="preserve"> </w:t>
      </w:r>
      <w:r w:rsidR="000216D9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). </w:t>
      </w:r>
      <w:r w:rsidR="000216D9" w:rsidRPr="00F0117E">
        <w:rPr>
          <w:lang w:val="uk-UA"/>
        </w:rPr>
        <w:t>У подальшому, через сорок п’ять хвилин, після отримання сорока п’яти листів розшифровки</w:t>
      </w:r>
      <w:r w:rsidR="00E81B07" w:rsidRPr="00F0117E">
        <w:rPr>
          <w:lang w:val="uk-UA"/>
        </w:rPr>
        <w:t xml:space="preserve"> </w:t>
      </w:r>
      <w:r w:rsidR="000216D9" w:rsidRPr="00F0117E">
        <w:rPr>
          <w:lang w:val="uk-UA"/>
        </w:rPr>
        <w:t>свого спілкування з братом та нареченою</w:t>
      </w:r>
      <w:r w:rsidR="00E81B07" w:rsidRPr="00F0117E">
        <w:rPr>
          <w:lang w:val="uk-UA"/>
        </w:rPr>
        <w:t xml:space="preserve">, </w:t>
      </w:r>
      <w:r w:rsidR="000216D9" w:rsidRPr="00F0117E">
        <w:rPr>
          <w:lang w:val="uk-UA"/>
        </w:rPr>
        <w:t>заявник проінформував роботодавця про те, що, на його думку, роботодавець скоїв кримінальне правопорушення,</w:t>
      </w:r>
      <w:r w:rsidR="00E81B07" w:rsidRPr="00F0117E">
        <w:rPr>
          <w:lang w:val="uk-UA"/>
        </w:rPr>
        <w:t xml:space="preserve"> </w:t>
      </w:r>
      <w:r w:rsidR="000216D9" w:rsidRPr="00F0117E">
        <w:rPr>
          <w:lang w:val="uk-UA"/>
        </w:rPr>
        <w:t xml:space="preserve">а саме – порушив таємницю кореспонденції </w:t>
      </w:r>
      <w:r w:rsidR="00E81B07" w:rsidRPr="00F0117E">
        <w:rPr>
          <w:lang w:val="uk-UA"/>
        </w:rPr>
        <w:t>(</w:t>
      </w:r>
      <w:r w:rsidR="000216D9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accusation_infraction \h  \* MERGEFORMAT ">
        <w:r w:rsidR="008B2B31" w:rsidRPr="00F0117E">
          <w:rPr>
            <w:lang w:val="uk-UA"/>
          </w:rPr>
          <w:t>22</w:t>
        </w:r>
      </w:fldSimple>
      <w:r w:rsidR="00E81B07" w:rsidRPr="00F0117E">
        <w:rPr>
          <w:lang w:val="uk-UA"/>
        </w:rPr>
        <w:t xml:space="preserve"> </w:t>
      </w:r>
      <w:r w:rsidR="000216D9" w:rsidRPr="00F0117E">
        <w:rPr>
          <w:lang w:val="uk-UA"/>
        </w:rPr>
        <w:t>вище</w:t>
      </w:r>
      <w:r w:rsidR="00E81B07" w:rsidRPr="00F0117E">
        <w:rPr>
          <w:lang w:val="uk-UA"/>
        </w:rPr>
        <w:t>).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131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96459" w:rsidRPr="00F0117E">
        <w:rPr>
          <w:lang w:val="uk-UA"/>
        </w:rPr>
        <w:t>Суд зазначає, що національні суди правильно</w:t>
      </w:r>
      <w:r w:rsidR="00E81B07" w:rsidRPr="00F0117E">
        <w:rPr>
          <w:lang w:val="uk-UA"/>
        </w:rPr>
        <w:t xml:space="preserve"> </w:t>
      </w:r>
      <w:r w:rsidR="00596459" w:rsidRPr="00F0117E">
        <w:rPr>
          <w:lang w:val="uk-UA"/>
        </w:rPr>
        <w:t>визначили інтереси, які необхідно врівноважити</w:t>
      </w:r>
      <w:r w:rsidR="00E81B07" w:rsidRPr="00F0117E">
        <w:rPr>
          <w:lang w:val="uk-UA"/>
        </w:rPr>
        <w:t xml:space="preserve"> – </w:t>
      </w:r>
      <w:r w:rsidR="00596459" w:rsidRPr="00F0117E">
        <w:rPr>
          <w:lang w:val="uk-UA"/>
        </w:rPr>
        <w:t>шляхом прямого посилання на право заявника на повагу</w:t>
      </w:r>
      <w:r w:rsidR="00E81B07" w:rsidRPr="00F0117E">
        <w:rPr>
          <w:lang w:val="uk-UA"/>
        </w:rPr>
        <w:t xml:space="preserve"> </w:t>
      </w:r>
      <w:r w:rsidR="00596459" w:rsidRPr="00F0117E">
        <w:rPr>
          <w:lang w:val="uk-UA"/>
        </w:rPr>
        <w:t>до приватного життя</w:t>
      </w:r>
      <w:r w:rsidR="00E81B07" w:rsidRPr="00F0117E">
        <w:rPr>
          <w:lang w:val="uk-UA"/>
        </w:rPr>
        <w:t xml:space="preserve"> – </w:t>
      </w:r>
      <w:r w:rsidR="00596459" w:rsidRPr="00F0117E">
        <w:rPr>
          <w:lang w:val="uk-UA"/>
        </w:rPr>
        <w:t>і застосовні правові принципи</w:t>
      </w:r>
      <w:r w:rsidR="00E81B07" w:rsidRPr="00F0117E">
        <w:rPr>
          <w:lang w:val="uk-UA"/>
        </w:rPr>
        <w:t xml:space="preserve"> (</w:t>
      </w:r>
      <w:r w:rsidR="00596459" w:rsidRPr="00F0117E">
        <w:rPr>
          <w:lang w:val="uk-UA"/>
        </w:rPr>
        <w:t>див. пункти</w:t>
      </w:r>
      <w:r w:rsidR="00E81B07" w:rsidRPr="00F0117E">
        <w:rPr>
          <w:lang w:val="uk-UA"/>
        </w:rPr>
        <w:t xml:space="preserve"> </w:t>
      </w:r>
      <w:fldSimple w:instr=" REF TMB_fond \h  \* MERGEFORMAT ">
        <w:r w:rsidR="008B2B31" w:rsidRPr="00F0117E">
          <w:rPr>
            <w:lang w:val="uk-UA"/>
          </w:rPr>
          <w:t>28</w:t>
        </w:r>
      </w:fldSimple>
      <w:r w:rsidR="00E81B07" w:rsidRPr="00F0117E">
        <w:rPr>
          <w:lang w:val="uk-UA"/>
        </w:rPr>
        <w:t> </w:t>
      </w:r>
      <w:r w:rsidR="00596459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</w:t>
      </w:r>
      <w:fldSimple w:instr=" REF hotarare_CAB \h  \* MERGEFORMAT ">
        <w:r w:rsidR="008B2B31" w:rsidRPr="00F0117E">
          <w:rPr>
            <w:lang w:val="uk-UA"/>
          </w:rPr>
          <w:t>30</w:t>
        </w:r>
      </w:fldSimple>
      <w:r w:rsidR="00E81B07" w:rsidRPr="00F0117E">
        <w:rPr>
          <w:lang w:val="uk-UA"/>
        </w:rPr>
        <w:t xml:space="preserve"> </w:t>
      </w:r>
      <w:r w:rsidR="00596459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). </w:t>
      </w:r>
      <w:r w:rsidR="00596459" w:rsidRPr="00F0117E">
        <w:rPr>
          <w:lang w:val="uk-UA"/>
        </w:rPr>
        <w:t>Зокрема, апеляційний суд зробив чітке посилання</w:t>
      </w:r>
      <w:r w:rsidR="00E81B07" w:rsidRPr="00F0117E">
        <w:rPr>
          <w:lang w:val="uk-UA"/>
        </w:rPr>
        <w:t xml:space="preserve"> </w:t>
      </w:r>
      <w:r w:rsidR="00596459" w:rsidRPr="00F0117E">
        <w:rPr>
          <w:lang w:val="uk-UA"/>
        </w:rPr>
        <w:t>на принципи необхідності</w:t>
      </w:r>
      <w:r w:rsidR="00E81B07" w:rsidRPr="00F0117E">
        <w:rPr>
          <w:lang w:val="uk-UA"/>
        </w:rPr>
        <w:t xml:space="preserve">, </w:t>
      </w:r>
      <w:r w:rsidR="00596459" w:rsidRPr="00F0117E">
        <w:rPr>
          <w:lang w:val="uk-UA"/>
        </w:rPr>
        <w:t>уточнення цілі</w:t>
      </w:r>
      <w:r w:rsidR="00E81B07" w:rsidRPr="00F0117E">
        <w:rPr>
          <w:lang w:val="uk-UA"/>
        </w:rPr>
        <w:t xml:space="preserve">, </w:t>
      </w:r>
      <w:r w:rsidR="00596459" w:rsidRPr="00F0117E">
        <w:rPr>
          <w:lang w:val="uk-UA"/>
        </w:rPr>
        <w:t>транспарентності, законності</w:t>
      </w:r>
      <w:r w:rsidR="00E81B07" w:rsidRPr="00F0117E">
        <w:rPr>
          <w:lang w:val="uk-UA"/>
        </w:rPr>
        <w:t xml:space="preserve">, </w:t>
      </w:r>
      <w:r w:rsidR="00596459" w:rsidRPr="00F0117E">
        <w:rPr>
          <w:lang w:val="uk-UA"/>
        </w:rPr>
        <w:t>пропорційності та безпеки,</w:t>
      </w:r>
      <w:r w:rsidR="00E81B07" w:rsidRPr="00F0117E">
        <w:rPr>
          <w:lang w:val="uk-UA"/>
        </w:rPr>
        <w:t xml:space="preserve"> </w:t>
      </w:r>
      <w:r w:rsidR="00596459" w:rsidRPr="00F0117E">
        <w:rPr>
          <w:lang w:val="uk-UA"/>
        </w:rPr>
        <w:t>встановлені у Директиві</w:t>
      </w:r>
      <w:r w:rsidR="00E81B07" w:rsidRPr="00F0117E">
        <w:rPr>
          <w:lang w:val="uk-UA"/>
        </w:rPr>
        <w:t xml:space="preserve"> 95/46/EC, </w:t>
      </w:r>
      <w:r w:rsidR="00596459" w:rsidRPr="00F0117E">
        <w:rPr>
          <w:lang w:val="uk-UA"/>
        </w:rPr>
        <w:t>і зауважив, що моніторинг користування інтернетом</w:t>
      </w:r>
      <w:r w:rsidR="00E81B07" w:rsidRPr="00F0117E">
        <w:rPr>
          <w:lang w:val="uk-UA"/>
        </w:rPr>
        <w:t xml:space="preserve"> </w:t>
      </w:r>
      <w:r w:rsidR="00596459" w:rsidRPr="00F0117E">
        <w:rPr>
          <w:lang w:val="uk-UA"/>
        </w:rPr>
        <w:t>та електронними засобами зв’язку на робочому місці</w:t>
      </w:r>
      <w:r w:rsidR="00E81B07" w:rsidRPr="00F0117E">
        <w:rPr>
          <w:lang w:val="uk-UA"/>
        </w:rPr>
        <w:t xml:space="preserve"> </w:t>
      </w:r>
      <w:r w:rsidR="00596459" w:rsidRPr="00F0117E">
        <w:rPr>
          <w:lang w:val="uk-UA"/>
        </w:rPr>
        <w:t>регулювався цими принципами</w:t>
      </w:r>
      <w:r w:rsidR="00E81B07" w:rsidRPr="00F0117E">
        <w:rPr>
          <w:lang w:val="uk-UA"/>
        </w:rPr>
        <w:t xml:space="preserve"> (</w:t>
      </w:r>
      <w:r w:rsidR="00E048ED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hotarare_CAB \h  \* MERGEFORMAT ">
        <w:r w:rsidR="008B2B31" w:rsidRPr="00F0117E">
          <w:rPr>
            <w:lang w:val="uk-UA"/>
          </w:rPr>
          <w:t>30</w:t>
        </w:r>
      </w:fldSimple>
      <w:r w:rsidR="00E81B07" w:rsidRPr="00F0117E">
        <w:rPr>
          <w:lang w:val="uk-UA"/>
        </w:rPr>
        <w:t xml:space="preserve"> </w:t>
      </w:r>
      <w:r w:rsidR="00E048ED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). </w:t>
      </w:r>
      <w:r w:rsidR="00E048ED" w:rsidRPr="00F0117E">
        <w:rPr>
          <w:lang w:val="uk-UA"/>
        </w:rPr>
        <w:t>Національні суди також розглянули,</w:t>
      </w:r>
      <w:r w:rsidR="00E81B07" w:rsidRPr="00F0117E">
        <w:rPr>
          <w:lang w:val="uk-UA"/>
        </w:rPr>
        <w:t xml:space="preserve"> </w:t>
      </w:r>
      <w:r w:rsidR="00E048ED" w:rsidRPr="00F0117E">
        <w:rPr>
          <w:lang w:val="uk-UA"/>
        </w:rPr>
        <w:t>чи проводилися дисциплінарні провадження у змагальному порядку</w:t>
      </w:r>
      <w:r w:rsidR="00E81B07" w:rsidRPr="00F0117E">
        <w:rPr>
          <w:lang w:val="uk-UA"/>
        </w:rPr>
        <w:t xml:space="preserve"> </w:t>
      </w:r>
      <w:r w:rsidR="00E048ED" w:rsidRPr="00F0117E">
        <w:rPr>
          <w:lang w:val="uk-UA"/>
        </w:rPr>
        <w:t>та чи отримав заявник можливість висунути свої аргументи</w:t>
      </w:r>
      <w:r w:rsidR="00E81B07" w:rsidRPr="00F0117E">
        <w:rPr>
          <w:lang w:val="uk-UA"/>
        </w:rPr>
        <w:t>.</w:t>
      </w:r>
    </w:p>
    <w:p w:rsidR="00E36F4C" w:rsidRPr="00F0117E" w:rsidRDefault="0002542A" w:rsidP="008B2B31">
      <w:pPr>
        <w:pStyle w:val="ECHRPara"/>
        <w:rPr>
          <w:b/>
          <w:i/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132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A3753D" w:rsidRPr="00F0117E">
        <w:rPr>
          <w:lang w:val="uk-UA"/>
        </w:rPr>
        <w:t>Залишається визначити, як національні органи влади</w:t>
      </w:r>
      <w:r w:rsidR="00E81B07" w:rsidRPr="00F0117E">
        <w:rPr>
          <w:lang w:val="uk-UA"/>
        </w:rPr>
        <w:t xml:space="preserve"> </w:t>
      </w:r>
      <w:r w:rsidR="00A3753D" w:rsidRPr="00F0117E">
        <w:rPr>
          <w:lang w:val="uk-UA"/>
        </w:rPr>
        <w:t>взяли до уваги наведені вище критерії</w:t>
      </w:r>
      <w:r w:rsidR="00E81B07" w:rsidRPr="00F0117E">
        <w:rPr>
          <w:lang w:val="uk-UA"/>
        </w:rPr>
        <w:t xml:space="preserve"> (</w:t>
      </w:r>
      <w:r w:rsidR="00A3753D" w:rsidRPr="00F0117E">
        <w:rPr>
          <w:lang w:val="uk-UA"/>
        </w:rPr>
        <w:t>див. пункт</w:t>
      </w:r>
      <w:r w:rsidR="00E81B07" w:rsidRPr="00F0117E">
        <w:rPr>
          <w:lang w:val="uk-UA"/>
        </w:rPr>
        <w:t> </w:t>
      </w:r>
      <w:fldSimple w:instr=" REF critères \h  \* MERGEFORMAT ">
        <w:r w:rsidR="008B2B31" w:rsidRPr="00F0117E">
          <w:rPr>
            <w:lang w:val="uk-UA"/>
          </w:rPr>
          <w:t>121</w:t>
        </w:r>
      </w:fldSimple>
      <w:r w:rsidR="00E81B07" w:rsidRPr="00F0117E">
        <w:rPr>
          <w:lang w:val="uk-UA"/>
        </w:rPr>
        <w:t xml:space="preserve">) </w:t>
      </w:r>
      <w:r w:rsidR="00A3753D" w:rsidRPr="00F0117E">
        <w:rPr>
          <w:lang w:val="uk-UA"/>
        </w:rPr>
        <w:t>у своєму обґрунтуванні при урівноваженні</w:t>
      </w:r>
      <w:r w:rsidR="00E81B07" w:rsidRPr="00F0117E">
        <w:rPr>
          <w:lang w:val="uk-UA"/>
        </w:rPr>
        <w:t xml:space="preserve"> </w:t>
      </w:r>
      <w:r w:rsidR="00A3753D" w:rsidRPr="00F0117E">
        <w:rPr>
          <w:lang w:val="uk-UA"/>
        </w:rPr>
        <w:t>права заявника на повагу до приватного життя і кореспонденції</w:t>
      </w:r>
      <w:r w:rsidR="00E81B07" w:rsidRPr="00F0117E">
        <w:rPr>
          <w:lang w:val="uk-UA"/>
        </w:rPr>
        <w:t xml:space="preserve"> </w:t>
      </w:r>
      <w:r w:rsidR="00A3753D" w:rsidRPr="00F0117E">
        <w:rPr>
          <w:lang w:val="uk-UA"/>
        </w:rPr>
        <w:t>проти права роботодавця на здійснення моніторингу</w:t>
      </w:r>
      <w:r w:rsidR="00E81B07" w:rsidRPr="00F0117E">
        <w:rPr>
          <w:lang w:val="uk-UA"/>
        </w:rPr>
        <w:t xml:space="preserve">, </w:t>
      </w:r>
      <w:r w:rsidR="00A3753D" w:rsidRPr="00F0117E">
        <w:rPr>
          <w:lang w:val="uk-UA"/>
        </w:rPr>
        <w:t>у тому числі відповідних дисциплінарних повноважень</w:t>
      </w:r>
      <w:r w:rsidR="00E81B07" w:rsidRPr="00F0117E">
        <w:rPr>
          <w:lang w:val="uk-UA"/>
        </w:rPr>
        <w:t xml:space="preserve">, </w:t>
      </w:r>
      <w:r w:rsidR="00A3753D" w:rsidRPr="00F0117E">
        <w:rPr>
          <w:lang w:val="uk-UA"/>
        </w:rPr>
        <w:t>для забезпечення безперебійного функціонування компанії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133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9F3D5D" w:rsidRPr="00F0117E">
        <w:rPr>
          <w:lang w:val="uk-UA"/>
        </w:rPr>
        <w:t>Що стосується того, чи отримав заявник</w:t>
      </w:r>
      <w:r w:rsidR="00E81B07" w:rsidRPr="00F0117E">
        <w:rPr>
          <w:lang w:val="uk-UA"/>
        </w:rPr>
        <w:t xml:space="preserve"> </w:t>
      </w:r>
      <w:r w:rsidR="009F3D5D" w:rsidRPr="00F0117E">
        <w:rPr>
          <w:lang w:val="uk-UA"/>
        </w:rPr>
        <w:t>попереднє повідомлення від роботодавця</w:t>
      </w:r>
      <w:r w:rsidR="00E81B07" w:rsidRPr="00F0117E">
        <w:rPr>
          <w:lang w:val="uk-UA"/>
        </w:rPr>
        <w:t xml:space="preserve">, </w:t>
      </w:r>
      <w:r w:rsidR="009F3D5D" w:rsidRPr="00F0117E">
        <w:rPr>
          <w:lang w:val="uk-UA"/>
        </w:rPr>
        <w:t>Суд зауважує, що вже дійшов висновку про те,</w:t>
      </w:r>
      <w:r w:rsidR="00E81B07" w:rsidRPr="00F0117E">
        <w:rPr>
          <w:lang w:val="uk-UA"/>
        </w:rPr>
        <w:t xml:space="preserve"> </w:t>
      </w:r>
      <w:r w:rsidR="009F3D5D" w:rsidRPr="00F0117E">
        <w:rPr>
          <w:lang w:val="uk-UA"/>
        </w:rPr>
        <w:t>що заявник не був проінформований заздалегідь</w:t>
      </w:r>
      <w:r w:rsidR="00E81B07" w:rsidRPr="00F0117E">
        <w:rPr>
          <w:lang w:val="uk-UA"/>
        </w:rPr>
        <w:t xml:space="preserve"> </w:t>
      </w:r>
      <w:r w:rsidR="009F3D5D" w:rsidRPr="00F0117E">
        <w:rPr>
          <w:lang w:val="uk-UA"/>
        </w:rPr>
        <w:t>про ступінь та характер моніторингу, який здійснював роботодавець</w:t>
      </w:r>
      <w:r w:rsidR="00E81B07" w:rsidRPr="00F0117E">
        <w:rPr>
          <w:lang w:val="uk-UA"/>
        </w:rPr>
        <w:t xml:space="preserve">, </w:t>
      </w:r>
      <w:r w:rsidR="009F3D5D" w:rsidRPr="00F0117E">
        <w:rPr>
          <w:lang w:val="uk-UA"/>
        </w:rPr>
        <w:t>або про можливість того, що роботодавець міг мати доступ</w:t>
      </w:r>
      <w:r w:rsidR="00E81B07" w:rsidRPr="00F0117E">
        <w:rPr>
          <w:lang w:val="uk-UA"/>
        </w:rPr>
        <w:t xml:space="preserve"> </w:t>
      </w:r>
      <w:r w:rsidR="009F3D5D" w:rsidRPr="00F0117E">
        <w:rPr>
          <w:lang w:val="uk-UA"/>
        </w:rPr>
        <w:t>до фактичного змісту його повідомлень</w:t>
      </w:r>
      <w:r w:rsidR="00E81B07" w:rsidRPr="00F0117E">
        <w:rPr>
          <w:lang w:val="uk-UA"/>
        </w:rPr>
        <w:t xml:space="preserve"> (</w:t>
      </w:r>
      <w:r w:rsidR="009F3D5D" w:rsidRPr="00F0117E">
        <w:rPr>
          <w:lang w:val="uk-UA"/>
        </w:rPr>
        <w:t>див. пункт</w:t>
      </w:r>
      <w:r w:rsidR="00E81B07" w:rsidRPr="00F0117E">
        <w:rPr>
          <w:lang w:val="uk-UA"/>
        </w:rPr>
        <w:t> </w:t>
      </w:r>
      <w:fldSimple w:instr=" REF incertitude_info_étendue_surveillance \h  \* MERGEFORMAT ">
        <w:r w:rsidR="008B2B31" w:rsidRPr="00F0117E">
          <w:rPr>
            <w:lang w:val="uk-UA"/>
          </w:rPr>
          <w:t>78</w:t>
        </w:r>
      </w:fldSimple>
      <w:r w:rsidR="00E81B07" w:rsidRPr="00F0117E">
        <w:rPr>
          <w:lang w:val="uk-UA"/>
        </w:rPr>
        <w:t xml:space="preserve"> </w:t>
      </w:r>
      <w:r w:rsidR="009F3D5D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). </w:t>
      </w:r>
      <w:r w:rsidR="009F3D5D" w:rsidRPr="00F0117E">
        <w:rPr>
          <w:lang w:val="uk-UA"/>
        </w:rPr>
        <w:t>Стосовно можливості моніторингу</w:t>
      </w:r>
      <w:r w:rsidR="00E81B07" w:rsidRPr="00F0117E">
        <w:rPr>
          <w:lang w:val="uk-UA"/>
        </w:rPr>
        <w:t xml:space="preserve"> </w:t>
      </w:r>
      <w:r w:rsidR="009F3D5D" w:rsidRPr="00F0117E">
        <w:rPr>
          <w:lang w:val="uk-UA"/>
        </w:rPr>
        <w:t>Суд зазначає, що окружний суд зауважив</w:t>
      </w:r>
      <w:r w:rsidR="0032457A" w:rsidRPr="00F0117E">
        <w:rPr>
          <w:lang w:val="uk-UA"/>
        </w:rPr>
        <w:t>,</w:t>
      </w:r>
      <w:r w:rsidR="00E81B07" w:rsidRPr="00F0117E">
        <w:rPr>
          <w:lang w:val="uk-UA"/>
        </w:rPr>
        <w:t xml:space="preserve"> </w:t>
      </w:r>
      <w:r w:rsidR="0032457A" w:rsidRPr="00F0117E">
        <w:rPr>
          <w:lang w:val="uk-UA"/>
        </w:rPr>
        <w:t>що «увага працівників була звернута на той факт,</w:t>
      </w:r>
      <w:r w:rsidR="00E81B07" w:rsidRPr="00F0117E">
        <w:rPr>
          <w:lang w:val="uk-UA"/>
        </w:rPr>
        <w:t xml:space="preserve"> </w:t>
      </w:r>
      <w:r w:rsidR="0032457A" w:rsidRPr="00F0117E">
        <w:rPr>
          <w:lang w:val="uk-UA"/>
        </w:rPr>
        <w:t>що незадовго до дисциплінарної санкції заявника</w:t>
      </w:r>
      <w:r w:rsidR="00E81B07" w:rsidRPr="00F0117E">
        <w:rPr>
          <w:lang w:val="uk-UA"/>
        </w:rPr>
        <w:t xml:space="preserve"> </w:t>
      </w:r>
      <w:r w:rsidR="0032457A" w:rsidRPr="00F0117E">
        <w:rPr>
          <w:lang w:val="uk-UA"/>
        </w:rPr>
        <w:t>інший працівник був звільнений»</w:t>
      </w:r>
      <w:r w:rsidR="00E81B07" w:rsidRPr="00F0117E">
        <w:rPr>
          <w:lang w:val="uk-UA"/>
        </w:rPr>
        <w:t xml:space="preserve"> (</w:t>
      </w:r>
      <w:r w:rsidR="0032457A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TMB_fond \h  \* MERGEFORMAT ">
        <w:r w:rsidR="008B2B31" w:rsidRPr="00F0117E">
          <w:rPr>
            <w:lang w:val="uk-UA"/>
          </w:rPr>
          <w:t>28</w:t>
        </w:r>
      </w:fldSimple>
      <w:r w:rsidR="00E81B07" w:rsidRPr="00F0117E">
        <w:rPr>
          <w:lang w:val="uk-UA"/>
        </w:rPr>
        <w:t xml:space="preserve"> </w:t>
      </w:r>
      <w:r w:rsidR="0032457A" w:rsidRPr="00F0117E">
        <w:rPr>
          <w:lang w:val="uk-UA"/>
        </w:rPr>
        <w:t>вище</w:t>
      </w:r>
      <w:r w:rsidR="00E81B07" w:rsidRPr="00F0117E">
        <w:rPr>
          <w:lang w:val="uk-UA"/>
        </w:rPr>
        <w:t>)</w:t>
      </w:r>
      <w:r w:rsidR="0032457A" w:rsidRPr="00F0117E">
        <w:rPr>
          <w:lang w:val="uk-UA"/>
        </w:rPr>
        <w:t>,</w:t>
      </w:r>
      <w:r w:rsidR="00E81B07" w:rsidRPr="00F0117E">
        <w:rPr>
          <w:lang w:val="uk-UA"/>
        </w:rPr>
        <w:t xml:space="preserve"> </w:t>
      </w:r>
      <w:r w:rsidR="0032457A" w:rsidRPr="00F0117E">
        <w:rPr>
          <w:lang w:val="uk-UA"/>
        </w:rPr>
        <w:t>і що апеляційний суд виявив, що заявник був попереджений</w:t>
      </w:r>
      <w:r w:rsidR="00E81B07" w:rsidRPr="00F0117E">
        <w:rPr>
          <w:lang w:val="uk-UA"/>
        </w:rPr>
        <w:t xml:space="preserve"> </w:t>
      </w:r>
      <w:r w:rsidR="0032457A" w:rsidRPr="00F0117E">
        <w:rPr>
          <w:lang w:val="uk-UA"/>
        </w:rPr>
        <w:t>про те, що йому не слід користуватися ресурсами компанії в особистих цілях</w:t>
      </w:r>
      <w:r w:rsidR="00E81B07" w:rsidRPr="00F0117E">
        <w:rPr>
          <w:lang w:val="uk-UA"/>
        </w:rPr>
        <w:t xml:space="preserve"> (</w:t>
      </w:r>
      <w:r w:rsidR="0032457A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hotarare_CAB \h  \* MERGEFORMAT ">
        <w:r w:rsidR="008B2B31" w:rsidRPr="00F0117E">
          <w:rPr>
            <w:lang w:val="uk-UA"/>
          </w:rPr>
          <w:t>30</w:t>
        </w:r>
      </w:fldSimple>
      <w:r w:rsidR="00E81B07" w:rsidRPr="00F0117E">
        <w:rPr>
          <w:lang w:val="uk-UA"/>
        </w:rPr>
        <w:t xml:space="preserve"> </w:t>
      </w:r>
      <w:r w:rsidR="0032457A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). </w:t>
      </w:r>
      <w:r w:rsidR="001D73EC" w:rsidRPr="00F0117E">
        <w:rPr>
          <w:lang w:val="uk-UA"/>
        </w:rPr>
        <w:t>Відповідно, національні суди не визначили,</w:t>
      </w:r>
      <w:r w:rsidR="00E81B07" w:rsidRPr="00F0117E">
        <w:rPr>
          <w:lang w:val="uk-UA"/>
        </w:rPr>
        <w:t xml:space="preserve"> </w:t>
      </w:r>
      <w:r w:rsidR="001D73EC" w:rsidRPr="00F0117E">
        <w:rPr>
          <w:lang w:val="uk-UA"/>
        </w:rPr>
        <w:t>чи було заявникові повідомлено заздалегідь</w:t>
      </w:r>
      <w:r w:rsidR="00E81B07" w:rsidRPr="00F0117E">
        <w:rPr>
          <w:lang w:val="uk-UA"/>
        </w:rPr>
        <w:t xml:space="preserve"> </w:t>
      </w:r>
      <w:r w:rsidR="001D73EC" w:rsidRPr="00F0117E">
        <w:rPr>
          <w:lang w:val="uk-UA"/>
        </w:rPr>
        <w:t>про можливість того, що роботодавець міг розпочати моніторинг</w:t>
      </w:r>
      <w:r w:rsidR="00E81B07" w:rsidRPr="00F0117E">
        <w:rPr>
          <w:lang w:val="uk-UA"/>
        </w:rPr>
        <w:t xml:space="preserve">, </w:t>
      </w:r>
      <w:r w:rsidR="001D73EC" w:rsidRPr="00F0117E">
        <w:rPr>
          <w:lang w:val="uk-UA"/>
        </w:rPr>
        <w:t>а також про обсяг та характер такого заходу</w:t>
      </w:r>
      <w:r w:rsidR="00E81B07" w:rsidRPr="00F0117E">
        <w:rPr>
          <w:lang w:val="uk-UA"/>
        </w:rPr>
        <w:t xml:space="preserve">. </w:t>
      </w:r>
      <w:r w:rsidR="001D73EC" w:rsidRPr="00F0117E">
        <w:rPr>
          <w:lang w:val="uk-UA"/>
        </w:rPr>
        <w:t>Суд вважає, що для того, щоб розцінювати попередження</w:t>
      </w:r>
      <w:r w:rsidR="0032752A" w:rsidRPr="00F0117E">
        <w:rPr>
          <w:lang w:val="uk-UA"/>
        </w:rPr>
        <w:t xml:space="preserve"> від роботодавця</w:t>
      </w:r>
      <w:r w:rsidR="001D73EC" w:rsidRPr="00F0117E">
        <w:rPr>
          <w:lang w:val="uk-UA"/>
        </w:rPr>
        <w:t>, як попереднє повідомлення</w:t>
      </w:r>
      <w:r w:rsidR="00E81B07" w:rsidRPr="00F0117E">
        <w:rPr>
          <w:lang w:val="uk-UA"/>
        </w:rPr>
        <w:t xml:space="preserve">, </w:t>
      </w:r>
      <w:r w:rsidR="0032752A" w:rsidRPr="00F0117E">
        <w:rPr>
          <w:lang w:val="uk-UA"/>
        </w:rPr>
        <w:t>воно повинно надаватися до початку моніторингу</w:t>
      </w:r>
      <w:r w:rsidR="00E81B07" w:rsidRPr="00F0117E">
        <w:rPr>
          <w:lang w:val="uk-UA"/>
        </w:rPr>
        <w:t xml:space="preserve">, </w:t>
      </w:r>
      <w:r w:rsidR="0032752A" w:rsidRPr="00F0117E">
        <w:rPr>
          <w:lang w:val="uk-UA"/>
        </w:rPr>
        <w:t>особливо якщо моніторинг призведе до доступу до змісту повідомлень</w:t>
      </w:r>
      <w:r w:rsidR="00E81B07" w:rsidRPr="00F0117E">
        <w:rPr>
          <w:lang w:val="uk-UA"/>
        </w:rPr>
        <w:t xml:space="preserve"> </w:t>
      </w:r>
      <w:r w:rsidR="0032752A" w:rsidRPr="00F0117E">
        <w:rPr>
          <w:lang w:val="uk-UA"/>
        </w:rPr>
        <w:t>працівників</w:t>
      </w:r>
      <w:r w:rsidR="00E81B07" w:rsidRPr="00F0117E">
        <w:rPr>
          <w:lang w:val="uk-UA"/>
        </w:rPr>
        <w:t xml:space="preserve">. </w:t>
      </w:r>
      <w:r w:rsidR="0032752A" w:rsidRPr="00F0117E">
        <w:rPr>
          <w:lang w:val="uk-UA"/>
        </w:rPr>
        <w:t xml:space="preserve">Міжнародні та європейські стандарти вказують у цьому напрямку та потребують, щоб суб’єкт даних був </w:t>
      </w:r>
      <w:r w:rsidR="0032752A" w:rsidRPr="00F0117E">
        <w:rPr>
          <w:lang w:val="uk-UA"/>
        </w:rPr>
        <w:lastRenderedPageBreak/>
        <w:t>проінформований</w:t>
      </w:r>
      <w:r w:rsidR="00E81B07" w:rsidRPr="00F0117E">
        <w:rPr>
          <w:lang w:val="uk-UA"/>
        </w:rPr>
        <w:t xml:space="preserve"> </w:t>
      </w:r>
      <w:r w:rsidR="0032752A" w:rsidRPr="00F0117E">
        <w:rPr>
          <w:lang w:val="uk-UA"/>
        </w:rPr>
        <w:t>до проведення будь-якого моніторингу</w:t>
      </w:r>
      <w:r w:rsidR="00E81B07" w:rsidRPr="00F0117E">
        <w:rPr>
          <w:lang w:val="uk-UA"/>
        </w:rPr>
        <w:t xml:space="preserve"> (</w:t>
      </w:r>
      <w:r w:rsidR="0032752A" w:rsidRPr="00F0117E">
        <w:rPr>
          <w:lang w:val="uk-UA"/>
        </w:rPr>
        <w:t>див. пункти</w:t>
      </w:r>
      <w:r w:rsidR="00E81B07" w:rsidRPr="00F0117E">
        <w:rPr>
          <w:lang w:val="uk-UA"/>
        </w:rPr>
        <w:t xml:space="preserve"> </w:t>
      </w:r>
      <w:fldSimple w:instr=" REF recueil_OIT \h  \* MERGEFORMAT ">
        <w:r w:rsidR="008B2B31" w:rsidRPr="00F0117E">
          <w:rPr>
            <w:lang w:val="uk-UA"/>
          </w:rPr>
          <w:t>38</w:t>
        </w:r>
      </w:fldSimple>
      <w:r w:rsidR="00E81B07" w:rsidRPr="00F0117E">
        <w:rPr>
          <w:lang w:val="uk-UA"/>
        </w:rPr>
        <w:t xml:space="preserve"> </w:t>
      </w:r>
      <w:r w:rsidR="0032752A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</w:t>
      </w:r>
      <w:fldSimple w:instr=" REF CM_Rec2015 \h  \* MERGEFORMAT ">
        <w:r w:rsidR="008B2B31" w:rsidRPr="00F0117E">
          <w:rPr>
            <w:lang w:val="uk-UA"/>
          </w:rPr>
          <w:t>43</w:t>
        </w:r>
      </w:fldSimple>
      <w:r w:rsidR="00E81B07" w:rsidRPr="00F0117E">
        <w:rPr>
          <w:lang w:val="uk-UA"/>
        </w:rPr>
        <w:t> </w:t>
      </w:r>
      <w:r w:rsidR="0032752A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; </w:t>
      </w:r>
      <w:r w:rsidR="0032752A" w:rsidRPr="00F0117E">
        <w:rPr>
          <w:lang w:val="uk-UA"/>
        </w:rPr>
        <w:t>див. також, з перспективи порівняльного права</w:t>
      </w:r>
      <w:r w:rsidR="00E81B07" w:rsidRPr="00F0117E">
        <w:rPr>
          <w:lang w:val="uk-UA"/>
        </w:rPr>
        <w:t xml:space="preserve">, </w:t>
      </w:r>
      <w:r w:rsidR="0032752A" w:rsidRPr="00F0117E">
        <w:rPr>
          <w:lang w:val="uk-UA"/>
        </w:rPr>
        <w:t>пункт</w:t>
      </w:r>
      <w:r w:rsidR="00E81B07" w:rsidRPr="00F0117E">
        <w:rPr>
          <w:lang w:val="uk-UA"/>
        </w:rPr>
        <w:t xml:space="preserve"> </w:t>
      </w:r>
      <w:fldSimple w:instr=" REF drcomp_avertissement_préalable \h  \* MERGEFORMAT ">
        <w:r w:rsidR="008B2B31" w:rsidRPr="00F0117E">
          <w:rPr>
            <w:lang w:val="uk-UA"/>
          </w:rPr>
          <w:t>53</w:t>
        </w:r>
      </w:fldSimple>
      <w:r w:rsidR="00E81B07" w:rsidRPr="00F0117E">
        <w:rPr>
          <w:lang w:val="uk-UA"/>
        </w:rPr>
        <w:t xml:space="preserve"> </w:t>
      </w:r>
      <w:r w:rsidR="0032752A" w:rsidRPr="00F0117E">
        <w:rPr>
          <w:lang w:val="uk-UA"/>
        </w:rPr>
        <w:t>вище</w:t>
      </w:r>
      <w:r w:rsidR="00E81B07" w:rsidRPr="00F0117E">
        <w:rPr>
          <w:lang w:val="uk-UA"/>
        </w:rPr>
        <w:t>).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134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66ED7" w:rsidRPr="00F0117E">
        <w:rPr>
          <w:lang w:val="uk-UA"/>
        </w:rPr>
        <w:t>Що стосується обсягу моніторингу та рівня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втручання у приватність заявника</w:t>
      </w:r>
      <w:r w:rsidR="00E81B07" w:rsidRPr="00F0117E">
        <w:rPr>
          <w:lang w:val="uk-UA"/>
        </w:rPr>
        <w:t xml:space="preserve">, </w:t>
      </w:r>
      <w:r w:rsidR="00566ED7" w:rsidRPr="00F0117E">
        <w:rPr>
          <w:lang w:val="uk-UA"/>
        </w:rPr>
        <w:t>Суд зауважує, що це питання не розглянули ані окружний суд,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ані апеляційний суд</w:t>
      </w:r>
      <w:r w:rsidR="00E81B07" w:rsidRPr="00F0117E">
        <w:rPr>
          <w:lang w:val="uk-UA"/>
        </w:rPr>
        <w:t xml:space="preserve"> (</w:t>
      </w:r>
      <w:r w:rsidR="00566ED7" w:rsidRPr="00F0117E">
        <w:rPr>
          <w:lang w:val="uk-UA"/>
        </w:rPr>
        <w:t>див. пункти</w:t>
      </w:r>
      <w:r w:rsidR="00E81B07" w:rsidRPr="00F0117E">
        <w:rPr>
          <w:lang w:val="uk-UA"/>
        </w:rPr>
        <w:t xml:space="preserve"> </w:t>
      </w:r>
      <w:fldSimple w:instr=" REF TMB_fond \h  \* MERGEFORMAT ">
        <w:r w:rsidR="008B2B31" w:rsidRPr="00F0117E">
          <w:rPr>
            <w:lang w:val="uk-UA"/>
          </w:rPr>
          <w:t>28</w:t>
        </w:r>
      </w:fldSimple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</w:t>
      </w:r>
      <w:fldSimple w:instr=" REF hotarare_CAB \h  \* MERGEFORMAT ">
        <w:r w:rsidR="008B2B31" w:rsidRPr="00F0117E">
          <w:rPr>
            <w:lang w:val="uk-UA"/>
          </w:rPr>
          <w:t>30</w:t>
        </w:r>
      </w:fldSimple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), </w:t>
      </w:r>
      <w:r w:rsidR="00566ED7" w:rsidRPr="00F0117E">
        <w:rPr>
          <w:lang w:val="uk-UA"/>
        </w:rPr>
        <w:t>незважаючи на те, що видається, що роботодавець записував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усе спілкування заявника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упродовж періоду моніторингу у режимі реального часу</w:t>
      </w:r>
      <w:r w:rsidR="00E81B07" w:rsidRPr="00F0117E">
        <w:rPr>
          <w:lang w:val="uk-UA"/>
        </w:rPr>
        <w:t xml:space="preserve">, </w:t>
      </w:r>
      <w:r w:rsidR="00566ED7" w:rsidRPr="00F0117E">
        <w:rPr>
          <w:lang w:val="uk-UA"/>
        </w:rPr>
        <w:t>мав доступ до розмов та друкував їх зміст</w:t>
      </w:r>
      <w:r w:rsidR="00E81B07" w:rsidRPr="00F0117E">
        <w:rPr>
          <w:lang w:val="uk-UA"/>
        </w:rPr>
        <w:t xml:space="preserve"> (</w:t>
      </w:r>
      <w:r w:rsidR="00566ED7" w:rsidRPr="00F0117E">
        <w:rPr>
          <w:lang w:val="uk-UA"/>
        </w:rPr>
        <w:t>див. пункти</w:t>
      </w:r>
      <w:r w:rsidR="00E81B07" w:rsidRPr="00F0117E">
        <w:rPr>
          <w:lang w:val="uk-UA"/>
        </w:rPr>
        <w:t xml:space="preserve"> </w:t>
      </w:r>
      <w:fldSimple w:instr=" REF recording_messages \h  \* MERGEFORMAT ">
        <w:r w:rsidR="008B2B31" w:rsidRPr="00F0117E">
          <w:rPr>
            <w:lang w:val="uk-UA"/>
          </w:rPr>
          <w:t>17</w:t>
        </w:r>
      </w:fldSimple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</w:t>
      </w:r>
      <w:fldSimple w:instr=" REF content_messages \h  \* MERGEFORMAT ">
        <w:r w:rsidR="008B2B31" w:rsidRPr="00F0117E">
          <w:rPr>
            <w:lang w:val="uk-UA"/>
          </w:rPr>
          <w:t>21</w:t>
        </w:r>
      </w:fldSimple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вище</w:t>
      </w:r>
      <w:r w:rsidR="00E81B07" w:rsidRPr="00F0117E">
        <w:rPr>
          <w:lang w:val="uk-UA"/>
        </w:rPr>
        <w:t>).</w:t>
      </w:r>
    </w:p>
    <w:p w:rsidR="00E36F4C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135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66ED7" w:rsidRPr="00F0117E">
        <w:rPr>
          <w:lang w:val="uk-UA"/>
        </w:rPr>
        <w:t>Також не видається, що національні суди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здійснили достатню оцінку того,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чи існували законні підстави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для виправдання моніторингу розмов заявника</w:t>
      </w:r>
      <w:r w:rsidR="00E81B07" w:rsidRPr="00F0117E">
        <w:rPr>
          <w:lang w:val="uk-UA"/>
        </w:rPr>
        <w:t xml:space="preserve">. </w:t>
      </w:r>
      <w:r w:rsidR="00566ED7" w:rsidRPr="00F0117E">
        <w:rPr>
          <w:lang w:val="uk-UA"/>
        </w:rPr>
        <w:t>Суд змушений зауважити, що апеляційний суд не визначив,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яка конкретна мета у даній справі могла виправдати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такий суворий моніторинг</w:t>
      </w:r>
      <w:r w:rsidR="00E81B07" w:rsidRPr="00F0117E">
        <w:rPr>
          <w:lang w:val="uk-UA"/>
        </w:rPr>
        <w:t xml:space="preserve">. </w:t>
      </w:r>
      <w:r w:rsidR="00566ED7" w:rsidRPr="00F0117E">
        <w:rPr>
          <w:lang w:val="uk-UA"/>
        </w:rPr>
        <w:t>Щоправда, цього питання торкнувся окружний суд</w:t>
      </w:r>
      <w:r w:rsidR="00E81B07" w:rsidRPr="00F0117E">
        <w:rPr>
          <w:lang w:val="uk-UA"/>
        </w:rPr>
        <w:t xml:space="preserve">, </w:t>
      </w:r>
      <w:r w:rsidR="00566ED7" w:rsidRPr="00F0117E">
        <w:rPr>
          <w:lang w:val="uk-UA"/>
        </w:rPr>
        <w:t>який згадав потребу уникнути завдання шкоди</w:t>
      </w:r>
      <w:r w:rsidR="00E81B07" w:rsidRPr="00F0117E">
        <w:rPr>
          <w:lang w:val="uk-UA"/>
        </w:rPr>
        <w:t xml:space="preserve"> IT</w:t>
      </w:r>
      <w:r w:rsidR="00566ED7" w:rsidRPr="00F0117E">
        <w:rPr>
          <w:lang w:val="uk-UA"/>
        </w:rPr>
        <w:t>-системам компанії</w:t>
      </w:r>
      <w:r w:rsidR="00E81B07" w:rsidRPr="00F0117E">
        <w:rPr>
          <w:lang w:val="uk-UA"/>
        </w:rPr>
        <w:t xml:space="preserve">, </w:t>
      </w:r>
      <w:r w:rsidR="00566ED7" w:rsidRPr="00F0117E">
        <w:rPr>
          <w:lang w:val="uk-UA"/>
        </w:rPr>
        <w:t xml:space="preserve">відповідальності, яку компанія понесе у випадку незаконної діяльності у </w:t>
      </w:r>
      <w:r w:rsidR="001C70B1" w:rsidRPr="00F0117E">
        <w:rPr>
          <w:lang w:val="uk-UA"/>
        </w:rPr>
        <w:t>кіберпросторі</w:t>
      </w:r>
      <w:r w:rsidR="00E81B07" w:rsidRPr="00F0117E">
        <w:rPr>
          <w:lang w:val="uk-UA"/>
        </w:rPr>
        <w:t xml:space="preserve">, </w:t>
      </w:r>
      <w:r w:rsidR="00566ED7" w:rsidRPr="00F0117E">
        <w:rPr>
          <w:lang w:val="uk-UA"/>
        </w:rPr>
        <w:t xml:space="preserve">та розкриття </w:t>
      </w:r>
      <w:r w:rsidR="001C70B1" w:rsidRPr="00F0117E">
        <w:rPr>
          <w:lang w:val="uk-UA"/>
        </w:rPr>
        <w:t>комерційних</w:t>
      </w:r>
      <w:r w:rsidR="00566ED7" w:rsidRPr="00F0117E">
        <w:rPr>
          <w:lang w:val="uk-UA"/>
        </w:rPr>
        <w:t xml:space="preserve"> таємниць компанії</w:t>
      </w:r>
      <w:r w:rsidR="00E81B07" w:rsidRPr="00F0117E">
        <w:rPr>
          <w:lang w:val="uk-UA"/>
        </w:rPr>
        <w:t xml:space="preserve"> (</w:t>
      </w:r>
      <w:r w:rsidR="00566ED7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TMB_fond \h  \* MERGEFORMAT ">
        <w:r w:rsidR="008B2B31" w:rsidRPr="00F0117E">
          <w:rPr>
            <w:lang w:val="uk-UA"/>
          </w:rPr>
          <w:t>28</w:t>
        </w:r>
      </w:fldSimple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). </w:t>
      </w:r>
      <w:r w:rsidR="00566ED7" w:rsidRPr="00F0117E">
        <w:rPr>
          <w:lang w:val="uk-UA"/>
        </w:rPr>
        <w:t>Однак, на думку Суду, ці приклади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можна розглядати лише в якості теоретичних</w:t>
      </w:r>
      <w:r w:rsidR="00E81B07" w:rsidRPr="00F0117E">
        <w:rPr>
          <w:lang w:val="uk-UA"/>
        </w:rPr>
        <w:t xml:space="preserve">, </w:t>
      </w:r>
      <w:r w:rsidR="00566ED7" w:rsidRPr="00F0117E">
        <w:rPr>
          <w:lang w:val="uk-UA"/>
        </w:rPr>
        <w:t>оскільки ніщо не вказувало на те, що заявник дійсно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піддав компанію будь-якому з цих ризиків</w:t>
      </w:r>
      <w:r w:rsidR="00E81B07" w:rsidRPr="00F0117E">
        <w:rPr>
          <w:lang w:val="uk-UA"/>
        </w:rPr>
        <w:t xml:space="preserve">. </w:t>
      </w:r>
      <w:r w:rsidR="00566ED7" w:rsidRPr="00F0117E">
        <w:rPr>
          <w:lang w:val="uk-UA"/>
        </w:rPr>
        <w:t>Крім того, апеляційний суд взагалі не розглянув це питання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136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66ED7" w:rsidRPr="00F0117E">
        <w:rPr>
          <w:lang w:val="uk-UA"/>
        </w:rPr>
        <w:t>На додаток до цього, ані окружний суд, ані апеляційний суд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не розглянули в достатній мірі те,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чи можна було досягти переслідуваної роботодавцем мети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за допомогою методів менш агресивних,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ніж доступ до фактичного змісту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спілкування заявника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137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66ED7" w:rsidRPr="00F0117E">
        <w:rPr>
          <w:lang w:val="uk-UA"/>
        </w:rPr>
        <w:t>Крім того, жодний суд не розглянув тяжкість наслідків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моніторингу та подальших дисциплінарних проваджень</w:t>
      </w:r>
      <w:r w:rsidR="00E81B07" w:rsidRPr="00F0117E">
        <w:rPr>
          <w:lang w:val="uk-UA"/>
        </w:rPr>
        <w:t xml:space="preserve">. </w:t>
      </w:r>
      <w:r w:rsidR="001C70B1">
        <w:rPr>
          <w:lang w:val="uk-UA"/>
        </w:rPr>
        <w:t>Стосовно цього</w:t>
      </w:r>
      <w:r w:rsidR="00566ED7" w:rsidRPr="00F0117E">
        <w:rPr>
          <w:lang w:val="uk-UA"/>
        </w:rPr>
        <w:t xml:space="preserve"> Суд зазначає,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що заявник отримав найвищу дисциплінарну санкцію, а саме - звільнення</w:t>
      </w:r>
      <w:r w:rsidR="00E81B07" w:rsidRPr="00F0117E">
        <w:rPr>
          <w:lang w:val="uk-UA"/>
        </w:rPr>
        <w:t>.</w:t>
      </w:r>
    </w:p>
    <w:p w:rsidR="00E36F4C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138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66ED7" w:rsidRPr="00F0117E">
        <w:rPr>
          <w:lang w:val="uk-UA"/>
        </w:rPr>
        <w:t>Нарешті, Суд зауважує, що національні суди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не визначили,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чи дійсно роботодавець вже отримав доступ до змісту розмов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на момент, коли він викликав заявника для надання пояснень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його користування ресурсами компанії, зокрема, інтернетом</w:t>
      </w:r>
      <w:r w:rsidR="00E81B07" w:rsidRPr="00F0117E">
        <w:rPr>
          <w:lang w:val="uk-UA"/>
        </w:rPr>
        <w:t xml:space="preserve"> (</w:t>
      </w:r>
      <w:r w:rsidR="00566ED7" w:rsidRPr="00F0117E">
        <w:rPr>
          <w:lang w:val="uk-UA"/>
        </w:rPr>
        <w:t>див. пункти</w:t>
      </w:r>
      <w:r w:rsidR="00E81B07" w:rsidRPr="00F0117E">
        <w:rPr>
          <w:lang w:val="uk-UA"/>
        </w:rPr>
        <w:t xml:space="preserve"> </w:t>
      </w:r>
      <w:fldSimple w:instr=" REF prima_convocare_1630 \h  \* MERGEFORMAT ">
        <w:r w:rsidR="008B2B31" w:rsidRPr="00F0117E">
          <w:rPr>
            <w:lang w:val="uk-UA"/>
          </w:rPr>
          <w:t>18</w:t>
        </w:r>
      </w:fldSimple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</w:t>
      </w:r>
      <w:fldSimple w:instr=" REF a_doua_convocare_1720 \h  \* MERGEFORMAT ">
        <w:r w:rsidR="008B2B31" w:rsidRPr="00F0117E">
          <w:rPr>
            <w:lang w:val="uk-UA"/>
          </w:rPr>
          <w:t>20</w:t>
        </w:r>
      </w:fldSimple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вище)</w:t>
      </w:r>
      <w:r w:rsidR="00E81B07" w:rsidRPr="00F0117E">
        <w:rPr>
          <w:lang w:val="uk-UA"/>
        </w:rPr>
        <w:t xml:space="preserve">. </w:t>
      </w:r>
      <w:r w:rsidR="00566ED7" w:rsidRPr="00F0117E">
        <w:rPr>
          <w:lang w:val="uk-UA"/>
        </w:rPr>
        <w:t>Суд зазначає, що національні органи влади не встановили,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на якій стадії дисциплінарних проваджень роботодавець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отримав доступ до змісту розмов</w:t>
      </w:r>
      <w:r w:rsidR="00E81B07" w:rsidRPr="00F0117E">
        <w:rPr>
          <w:lang w:val="uk-UA"/>
        </w:rPr>
        <w:t xml:space="preserve">. </w:t>
      </w:r>
      <w:r w:rsidR="00566ED7" w:rsidRPr="00F0117E">
        <w:rPr>
          <w:lang w:val="uk-UA"/>
        </w:rPr>
        <w:t>На думку Суду, визнання того, що доступ до змісту розмов міг існувати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на будь-якій стадії дисциплінарних проваджень,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суперечить принципу транспарентності</w:t>
      </w:r>
      <w:r w:rsidR="00E81B07" w:rsidRPr="00F0117E">
        <w:rPr>
          <w:lang w:val="uk-UA"/>
        </w:rPr>
        <w:t xml:space="preserve"> (</w:t>
      </w:r>
      <w:r w:rsidR="00566ED7" w:rsidRPr="00F0117E">
        <w:rPr>
          <w:lang w:val="uk-UA"/>
        </w:rPr>
        <w:t>див. у цьому відношенні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Рекомендацію</w:t>
      </w:r>
      <w:r w:rsidR="00E81B07" w:rsidRPr="00F0117E">
        <w:rPr>
          <w:lang w:val="uk-UA"/>
        </w:rPr>
        <w:t xml:space="preserve"> CM/</w:t>
      </w:r>
      <w:proofErr w:type="spellStart"/>
      <w:r w:rsidR="00E81B07" w:rsidRPr="00F0117E">
        <w:rPr>
          <w:lang w:val="uk-UA"/>
        </w:rPr>
        <w:t>Rec</w:t>
      </w:r>
      <w:proofErr w:type="spellEnd"/>
      <w:r w:rsidR="00E81B07" w:rsidRPr="00F0117E">
        <w:rPr>
          <w:lang w:val="uk-UA"/>
        </w:rPr>
        <w:t xml:space="preserve">(2015)5, </w:t>
      </w:r>
      <w:proofErr w:type="spellStart"/>
      <w:r w:rsidR="00566ED7" w:rsidRPr="00F0117E">
        <w:rPr>
          <w:lang w:val="uk-UA"/>
        </w:rPr>
        <w:t>цит</w:t>
      </w:r>
      <w:proofErr w:type="spellEnd"/>
      <w:r w:rsidR="00566ED7" w:rsidRPr="00F0117E">
        <w:rPr>
          <w:lang w:val="uk-UA"/>
        </w:rPr>
        <w:t>. у пункті</w:t>
      </w:r>
      <w:r w:rsidR="00E81B07" w:rsidRPr="00F0117E">
        <w:rPr>
          <w:lang w:val="uk-UA"/>
        </w:rPr>
        <w:t xml:space="preserve"> </w:t>
      </w:r>
      <w:fldSimple w:instr=" REF CM_Rec2015 \h  \* MERGEFORMAT ">
        <w:r w:rsidR="008B2B31" w:rsidRPr="00F0117E">
          <w:rPr>
            <w:lang w:val="uk-UA"/>
          </w:rPr>
          <w:t>43</w:t>
        </w:r>
      </w:fldSimple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; </w:t>
      </w:r>
      <w:r w:rsidR="00566ED7" w:rsidRPr="00F0117E">
        <w:rPr>
          <w:lang w:val="uk-UA"/>
        </w:rPr>
        <w:t>для перспективи порівняльного права див.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пункт</w:t>
      </w:r>
      <w:r w:rsidR="00E81B07" w:rsidRPr="00F0117E">
        <w:rPr>
          <w:lang w:val="uk-UA"/>
        </w:rPr>
        <w:t xml:space="preserve"> </w:t>
      </w:r>
      <w:fldSimple w:instr=" REF par51_drcomparé \h  \* MERGEFORMAT ">
        <w:r w:rsidR="008B2B31" w:rsidRPr="00F0117E">
          <w:rPr>
            <w:lang w:val="uk-UA"/>
          </w:rPr>
          <w:t>54</w:t>
        </w:r>
      </w:fldSimple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вище</w:t>
      </w:r>
      <w:r w:rsidR="00E81B07" w:rsidRPr="00F0117E">
        <w:rPr>
          <w:lang w:val="uk-UA"/>
        </w:rPr>
        <w:t>).</w:t>
      </w:r>
    </w:p>
    <w:p w:rsidR="00E81B07" w:rsidRPr="00F0117E" w:rsidRDefault="0002542A" w:rsidP="008B2B31">
      <w:pPr>
        <w:pStyle w:val="ECHRPara"/>
        <w:rPr>
          <w:b/>
          <w:i/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139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66ED7" w:rsidRPr="00F0117E">
        <w:rPr>
          <w:lang w:val="uk-UA"/>
        </w:rPr>
        <w:t>Беручи до уваги поточні міркування</w:t>
      </w:r>
      <w:r w:rsidR="00E81B07" w:rsidRPr="00F0117E">
        <w:rPr>
          <w:lang w:val="uk-UA"/>
        </w:rPr>
        <w:t xml:space="preserve">, </w:t>
      </w:r>
      <w:r w:rsidR="00566ED7" w:rsidRPr="00F0117E">
        <w:rPr>
          <w:lang w:val="uk-UA"/>
        </w:rPr>
        <w:t>Суд вважає, що висновок апеляційного суду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про те, що був досягнутий справедливий баланс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 xml:space="preserve">між </w:t>
      </w:r>
      <w:r w:rsidR="00566ED7" w:rsidRPr="00F0117E">
        <w:rPr>
          <w:lang w:val="uk-UA"/>
        </w:rPr>
        <w:lastRenderedPageBreak/>
        <w:t>існуючими інтересами</w:t>
      </w:r>
      <w:r w:rsidR="00E81B07" w:rsidRPr="00F0117E">
        <w:rPr>
          <w:lang w:val="uk-UA"/>
        </w:rPr>
        <w:t xml:space="preserve"> (</w:t>
      </w:r>
      <w:r w:rsidR="00566ED7" w:rsidRPr="00F0117E">
        <w:rPr>
          <w:lang w:val="uk-UA"/>
        </w:rPr>
        <w:t>див. пункт</w:t>
      </w:r>
      <w:r w:rsidR="00E81B07" w:rsidRPr="00F0117E">
        <w:rPr>
          <w:lang w:val="uk-UA"/>
        </w:rPr>
        <w:t xml:space="preserve"> </w:t>
      </w:r>
      <w:fldSimple w:instr=" REF hotarare_CAB \h  \* MERGEFORMAT ">
        <w:r w:rsidR="008B2B31" w:rsidRPr="00F0117E">
          <w:rPr>
            <w:lang w:val="uk-UA"/>
          </w:rPr>
          <w:t>30</w:t>
        </w:r>
      </w:fldSimple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вище</w:t>
      </w:r>
      <w:r w:rsidR="00E81B07" w:rsidRPr="00F0117E">
        <w:rPr>
          <w:lang w:val="uk-UA"/>
        </w:rPr>
        <w:t xml:space="preserve">) </w:t>
      </w:r>
      <w:r w:rsidR="00566ED7" w:rsidRPr="00F0117E">
        <w:rPr>
          <w:lang w:val="uk-UA"/>
        </w:rPr>
        <w:t>є сумнівним</w:t>
      </w:r>
      <w:r w:rsidR="00E81B07" w:rsidRPr="00F0117E">
        <w:rPr>
          <w:lang w:val="uk-UA"/>
        </w:rPr>
        <w:t xml:space="preserve">. </w:t>
      </w:r>
      <w:r w:rsidR="00566ED7" w:rsidRPr="00F0117E">
        <w:rPr>
          <w:lang w:val="uk-UA"/>
        </w:rPr>
        <w:t>Таке твердження виявляється формалістичним та теоретичним</w:t>
      </w:r>
      <w:r w:rsidR="00E81B07" w:rsidRPr="00F0117E">
        <w:rPr>
          <w:lang w:val="uk-UA"/>
        </w:rPr>
        <w:t xml:space="preserve">. </w:t>
      </w:r>
      <w:r w:rsidR="00566ED7" w:rsidRPr="00F0117E">
        <w:rPr>
          <w:lang w:val="uk-UA"/>
        </w:rPr>
        <w:t>Апеляційний суд не пояснив конкретні підстави,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пов’язані з конкретними обставинами заявника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та його роботодавця, які призвели до досягнення такого висновку</w:t>
      </w:r>
      <w:r w:rsidR="00E81B07" w:rsidRPr="00F0117E">
        <w:rPr>
          <w:lang w:val="uk-UA"/>
        </w:rPr>
        <w:t>.</w:t>
      </w:r>
    </w:p>
    <w:p w:rsidR="00E36F4C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140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66ED7" w:rsidRPr="00F0117E">
        <w:rPr>
          <w:lang w:val="uk-UA"/>
        </w:rPr>
        <w:t>При цьому видається, що національні суди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не визначили, зокрема, чи отримав заявник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попереднє повідомлення від роботодавця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про можливість того, що його повідомлення, відправлені через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lang w:val="uk-UA"/>
        </w:rPr>
        <w:t>Yahoo</w:t>
      </w:r>
      <w:proofErr w:type="spellEnd"/>
      <w:r w:rsidR="00E81B07" w:rsidRPr="00F0117E">
        <w:rPr>
          <w:lang w:val="uk-UA"/>
        </w:rPr>
        <w:t xml:space="preserve"> Messenger</w:t>
      </w:r>
      <w:r w:rsidR="00566ED7" w:rsidRPr="00F0117E">
        <w:rPr>
          <w:lang w:val="uk-UA"/>
        </w:rPr>
        <w:t>,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можуть підлягати моніторингу</w:t>
      </w:r>
      <w:r w:rsidR="00E81B07" w:rsidRPr="00F0117E">
        <w:rPr>
          <w:lang w:val="uk-UA"/>
        </w:rPr>
        <w:t xml:space="preserve">; </w:t>
      </w:r>
      <w:r w:rsidR="00566ED7" w:rsidRPr="00F0117E">
        <w:rPr>
          <w:lang w:val="uk-UA"/>
        </w:rPr>
        <w:t>вони також не прийняли до уваги той факт, що він не був проінформований про характер та обсяг моніторингу</w:t>
      </w:r>
      <w:r w:rsidR="00E81B07" w:rsidRPr="00F0117E">
        <w:rPr>
          <w:lang w:val="uk-UA"/>
        </w:rPr>
        <w:t xml:space="preserve">, </w:t>
      </w:r>
      <w:r w:rsidR="00566ED7" w:rsidRPr="00F0117E">
        <w:rPr>
          <w:lang w:val="uk-UA"/>
        </w:rPr>
        <w:t>або про рівень втручання у приватне життя та кореспонденцію</w:t>
      </w:r>
      <w:r w:rsidR="00E81B07" w:rsidRPr="00F0117E">
        <w:rPr>
          <w:lang w:val="uk-UA"/>
        </w:rPr>
        <w:t xml:space="preserve">. </w:t>
      </w:r>
      <w:r w:rsidR="00566ED7" w:rsidRPr="00F0117E">
        <w:rPr>
          <w:lang w:val="uk-UA"/>
        </w:rPr>
        <w:t>Крім того, суди не визначили, по-перше</w:t>
      </w:r>
      <w:r w:rsidR="00E81B07" w:rsidRPr="00F0117E">
        <w:rPr>
          <w:lang w:val="uk-UA"/>
        </w:rPr>
        <w:t xml:space="preserve">, </w:t>
      </w:r>
      <w:r w:rsidR="00566ED7" w:rsidRPr="00F0117E">
        <w:rPr>
          <w:lang w:val="uk-UA"/>
        </w:rPr>
        <w:t>конкретні підстави, які б виправдовували введення моніторингу</w:t>
      </w:r>
      <w:r w:rsidR="00E81B07" w:rsidRPr="00F0117E">
        <w:rPr>
          <w:lang w:val="uk-UA"/>
        </w:rPr>
        <w:t xml:space="preserve">; </w:t>
      </w:r>
      <w:r w:rsidR="00566ED7" w:rsidRPr="00F0117E">
        <w:rPr>
          <w:lang w:val="uk-UA"/>
        </w:rPr>
        <w:t>по-друге, чи міг роботодавець скористуватися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заходами, пов’язаними з меншим рівнем втручання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у приватне життя та кореспонденцію заявника</w:t>
      </w:r>
      <w:r w:rsidR="00E81B07" w:rsidRPr="00F0117E">
        <w:rPr>
          <w:lang w:val="uk-UA"/>
        </w:rPr>
        <w:t xml:space="preserve">; </w:t>
      </w:r>
      <w:r w:rsidR="00566ED7" w:rsidRPr="00F0117E">
        <w:rPr>
          <w:lang w:val="uk-UA"/>
        </w:rPr>
        <w:t>і по-третє, чи можна було отримати доступ до розмов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 xml:space="preserve">без його </w:t>
      </w:r>
      <w:r w:rsidR="00820497" w:rsidRPr="00F0117E">
        <w:rPr>
          <w:lang w:val="uk-UA"/>
        </w:rPr>
        <w:t>відома</w:t>
      </w:r>
      <w:r w:rsidR="00E81B07" w:rsidRPr="00F0117E">
        <w:rPr>
          <w:lang w:val="uk-UA"/>
        </w:rPr>
        <w:t xml:space="preserve"> (</w:t>
      </w:r>
      <w:r w:rsidR="00566ED7" w:rsidRPr="00F0117E">
        <w:rPr>
          <w:lang w:val="uk-UA"/>
        </w:rPr>
        <w:t>див. пункти</w:t>
      </w:r>
      <w:r w:rsidR="00E81B07" w:rsidRPr="00F0117E">
        <w:rPr>
          <w:lang w:val="uk-UA"/>
        </w:rPr>
        <w:t xml:space="preserve"> </w:t>
      </w:r>
      <w:fldSimple w:instr=" REF garanties_contre_abus \h  \* MERGEFORMAT ">
        <w:r w:rsidR="008B2B31" w:rsidRPr="00F0117E">
          <w:rPr>
            <w:lang w:val="uk-UA"/>
          </w:rPr>
          <w:t>120</w:t>
        </w:r>
      </w:fldSimple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</w:t>
      </w:r>
      <w:fldSimple w:instr=" REF critères \h  \* MERGEFORMAT ">
        <w:r w:rsidR="008B2B31" w:rsidRPr="00F0117E">
          <w:rPr>
            <w:lang w:val="uk-UA"/>
          </w:rPr>
          <w:t>121</w:t>
        </w:r>
      </w:fldSimple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вище</w:t>
      </w:r>
      <w:r w:rsidR="00E81B07" w:rsidRPr="00F0117E">
        <w:rPr>
          <w:lang w:val="uk-UA"/>
        </w:rPr>
        <w:t>).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141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66ED7" w:rsidRPr="00F0117E">
        <w:rPr>
          <w:lang w:val="uk-UA"/>
        </w:rPr>
        <w:t>Беручи до уваги усі наведені вище міркування</w:t>
      </w:r>
      <w:r w:rsidR="00E81B07" w:rsidRPr="00F0117E">
        <w:rPr>
          <w:lang w:val="uk-UA"/>
        </w:rPr>
        <w:t xml:space="preserve">, </w:t>
      </w:r>
      <w:r w:rsidR="00566ED7" w:rsidRPr="00F0117E">
        <w:rPr>
          <w:lang w:val="uk-UA"/>
        </w:rPr>
        <w:t>і незважаючи на свободу розсуду держави-відповідача</w:t>
      </w:r>
      <w:r w:rsidR="00E81B07" w:rsidRPr="00F0117E">
        <w:rPr>
          <w:lang w:val="uk-UA"/>
        </w:rPr>
        <w:t xml:space="preserve">, </w:t>
      </w:r>
      <w:r w:rsidR="00566ED7" w:rsidRPr="00F0117E">
        <w:rPr>
          <w:lang w:val="uk-UA"/>
        </w:rPr>
        <w:t>Суд вважає, що державні органи влади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не забезпечили належний захист права заявника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 xml:space="preserve">на повагу до приватного життя </w:t>
      </w:r>
      <w:r w:rsidR="00E3449B" w:rsidRPr="00F0117E">
        <w:rPr>
          <w:lang w:val="uk-UA"/>
        </w:rPr>
        <w:t>т</w:t>
      </w:r>
      <w:r w:rsidR="00566ED7" w:rsidRPr="00F0117E">
        <w:rPr>
          <w:lang w:val="uk-UA"/>
        </w:rPr>
        <w:t>а кореспонденції,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і що вони не досягли справедливого балансу</w:t>
      </w:r>
      <w:r w:rsidR="00E81B07" w:rsidRPr="00F0117E">
        <w:rPr>
          <w:lang w:val="uk-UA"/>
        </w:rPr>
        <w:t xml:space="preserve"> </w:t>
      </w:r>
      <w:r w:rsidR="00566ED7" w:rsidRPr="00F0117E">
        <w:rPr>
          <w:lang w:val="uk-UA"/>
        </w:rPr>
        <w:t>між існуючими інтересами</w:t>
      </w:r>
      <w:r w:rsidR="00E81B07" w:rsidRPr="00F0117E">
        <w:rPr>
          <w:lang w:val="uk-UA"/>
        </w:rPr>
        <w:t xml:space="preserve">. </w:t>
      </w:r>
      <w:r w:rsidR="00566ED7" w:rsidRPr="00F0117E">
        <w:rPr>
          <w:lang w:val="uk-UA"/>
        </w:rPr>
        <w:t>Відповідно, мало місце порушення статті 8 Конвенції</w:t>
      </w:r>
      <w:r w:rsidR="00E81B07" w:rsidRPr="00F0117E">
        <w:rPr>
          <w:lang w:val="uk-UA"/>
        </w:rPr>
        <w:t>.</w:t>
      </w:r>
    </w:p>
    <w:p w:rsidR="00E81B07" w:rsidRPr="00F0117E" w:rsidRDefault="00E81B07" w:rsidP="008B2B31">
      <w:pPr>
        <w:pStyle w:val="ECHRHeading1"/>
        <w:rPr>
          <w:lang w:val="uk-UA"/>
        </w:rPr>
      </w:pPr>
      <w:r w:rsidRPr="00F0117E">
        <w:rPr>
          <w:lang w:val="uk-UA"/>
        </w:rPr>
        <w:t>II.</w:t>
      </w:r>
      <w:r w:rsidR="00FA6D4F" w:rsidRPr="00F0117E">
        <w:rPr>
          <w:lang w:val="uk-UA"/>
        </w:rPr>
        <w:t xml:space="preserve"> </w:t>
      </w:r>
      <w:r w:rsidR="00F47669" w:rsidRPr="00F0117E">
        <w:rPr>
          <w:lang w:val="uk-UA"/>
        </w:rPr>
        <w:t>ЗАСТОСУВАННЯ СТАТТІ 41 КОНВЕНЦІЇ</w:t>
      </w:r>
      <w:r w:rsidR="00F47669" w:rsidRPr="00F0117E">
        <w:rPr>
          <w:lang w:val="uk-UA"/>
        </w:rPr>
        <w:tab/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142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F47669" w:rsidRPr="00F0117E">
        <w:rPr>
          <w:lang w:val="uk-UA"/>
        </w:rPr>
        <w:t>Стаття 41 Конвенції передбачає</w:t>
      </w:r>
      <w:r w:rsidR="00E81B07" w:rsidRPr="00F0117E">
        <w:rPr>
          <w:lang w:val="uk-UA"/>
        </w:rPr>
        <w:t>:</w:t>
      </w:r>
    </w:p>
    <w:p w:rsidR="00E81B07" w:rsidRPr="00F0117E" w:rsidRDefault="00E81B07" w:rsidP="008B2B31">
      <w:pPr>
        <w:pStyle w:val="ECHRParaQuote"/>
        <w:rPr>
          <w:lang w:val="uk-UA"/>
        </w:rPr>
      </w:pPr>
      <w:r w:rsidRPr="00F0117E">
        <w:rPr>
          <w:lang w:val="uk-UA"/>
        </w:rPr>
        <w:t>“</w:t>
      </w:r>
      <w:r w:rsidR="00F47669" w:rsidRPr="00F0117E">
        <w:rPr>
          <w:lang w:val="uk-UA"/>
        </w:rPr>
        <w:t>Якщо Суд визнає факт порушення Конвенції або протоколів до неї і якщо внутрішнє право відповідної Високої Договірної Сторони передбачає лише часткове відшкодування, Суд, у разі необхідності, надає потерпілій стороні справедливу сатисфакцію</w:t>
      </w:r>
      <w:r w:rsidRPr="00F0117E">
        <w:rPr>
          <w:lang w:val="uk-UA"/>
        </w:rPr>
        <w:t>.”</w:t>
      </w:r>
    </w:p>
    <w:p w:rsidR="00E81B07" w:rsidRPr="00F0117E" w:rsidRDefault="00E81B07" w:rsidP="008B2B31">
      <w:pPr>
        <w:pStyle w:val="ECHRHeading2"/>
        <w:rPr>
          <w:lang w:val="uk-UA"/>
        </w:rPr>
      </w:pPr>
      <w:r w:rsidRPr="00F0117E">
        <w:rPr>
          <w:lang w:val="uk-UA"/>
        </w:rPr>
        <w:t>A.</w:t>
      </w:r>
      <w:r w:rsidR="00FA6D4F" w:rsidRPr="00F0117E">
        <w:rPr>
          <w:lang w:val="uk-UA"/>
        </w:rPr>
        <w:t xml:space="preserve"> </w:t>
      </w:r>
      <w:r w:rsidR="00F47669" w:rsidRPr="00F0117E">
        <w:rPr>
          <w:lang w:val="uk-UA"/>
        </w:rPr>
        <w:t>Відшкодування шкоди</w:t>
      </w:r>
    </w:p>
    <w:p w:rsidR="00E81B07" w:rsidRPr="00F0117E" w:rsidRDefault="00E81B07" w:rsidP="008B2B31">
      <w:pPr>
        <w:pStyle w:val="ECHRHeading3"/>
        <w:rPr>
          <w:lang w:val="uk-UA"/>
        </w:rPr>
      </w:pPr>
      <w:r w:rsidRPr="00F0117E">
        <w:rPr>
          <w:lang w:val="uk-UA"/>
        </w:rPr>
        <w:t>1.</w:t>
      </w:r>
      <w:r w:rsidR="00FA6D4F" w:rsidRPr="00F0117E">
        <w:rPr>
          <w:lang w:val="uk-UA"/>
        </w:rPr>
        <w:t xml:space="preserve"> </w:t>
      </w:r>
      <w:r w:rsidR="00F47669" w:rsidRPr="00F0117E">
        <w:rPr>
          <w:lang w:val="uk-UA"/>
        </w:rPr>
        <w:t>Матеріальна шкода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143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F47669" w:rsidRPr="00F0117E">
        <w:rPr>
          <w:lang w:val="uk-UA"/>
        </w:rPr>
        <w:t>У Палаті заявник вимагав сплатити йому</w:t>
      </w:r>
      <w:r w:rsidR="00E81B07" w:rsidRPr="00F0117E">
        <w:rPr>
          <w:lang w:val="uk-UA"/>
        </w:rPr>
        <w:t xml:space="preserve"> 59,976.12 </w:t>
      </w:r>
      <w:r w:rsidR="00F47669" w:rsidRPr="00F0117E">
        <w:rPr>
          <w:lang w:val="uk-UA"/>
        </w:rPr>
        <w:t>євро</w:t>
      </w:r>
      <w:r w:rsidR="00E81B07" w:rsidRPr="00F0117E">
        <w:rPr>
          <w:lang w:val="uk-UA"/>
        </w:rPr>
        <w:t xml:space="preserve"> (EUR) </w:t>
      </w:r>
      <w:r w:rsidR="00F47669" w:rsidRPr="00F0117E">
        <w:rPr>
          <w:lang w:val="uk-UA"/>
        </w:rPr>
        <w:t>в якості відшкодування матеріальної шкоди,</w:t>
      </w:r>
      <w:r w:rsidR="00E81B07" w:rsidRPr="00F0117E">
        <w:rPr>
          <w:lang w:val="uk-UA"/>
        </w:rPr>
        <w:t xml:space="preserve"> </w:t>
      </w:r>
      <w:r w:rsidR="00F47669" w:rsidRPr="00F0117E">
        <w:rPr>
          <w:lang w:val="uk-UA"/>
        </w:rPr>
        <w:t>яку він, нібито, поніс</w:t>
      </w:r>
      <w:r w:rsidR="00E81B07" w:rsidRPr="00F0117E">
        <w:rPr>
          <w:lang w:val="uk-UA"/>
        </w:rPr>
        <w:t xml:space="preserve">. </w:t>
      </w:r>
      <w:r w:rsidR="00F47669" w:rsidRPr="00F0117E">
        <w:rPr>
          <w:lang w:val="uk-UA"/>
        </w:rPr>
        <w:t>Він представляв, що ця сума представляла його поточну заробітну плату,</w:t>
      </w:r>
      <w:r w:rsidR="00E81B07" w:rsidRPr="00F0117E">
        <w:rPr>
          <w:lang w:val="uk-UA"/>
        </w:rPr>
        <w:t xml:space="preserve"> </w:t>
      </w:r>
      <w:r w:rsidR="00F47669" w:rsidRPr="00F0117E">
        <w:rPr>
          <w:lang w:val="uk-UA"/>
        </w:rPr>
        <w:t>на яку він мав би право, якщо б не був звільнений</w:t>
      </w:r>
      <w:r w:rsidR="00E81B07" w:rsidRPr="00F0117E">
        <w:rPr>
          <w:lang w:val="uk-UA"/>
        </w:rPr>
        <w:t xml:space="preserve">. </w:t>
      </w:r>
      <w:r w:rsidR="00F47669" w:rsidRPr="00F0117E">
        <w:rPr>
          <w:lang w:val="uk-UA"/>
        </w:rPr>
        <w:t>На слуханні у Великій Палаті представники заявника</w:t>
      </w:r>
      <w:r w:rsidR="00E81B07" w:rsidRPr="00F0117E">
        <w:rPr>
          <w:lang w:val="uk-UA"/>
        </w:rPr>
        <w:t xml:space="preserve"> </w:t>
      </w:r>
      <w:r w:rsidR="00F47669" w:rsidRPr="00F0117E">
        <w:rPr>
          <w:lang w:val="uk-UA"/>
        </w:rPr>
        <w:t>стверджували, що наполягали на вимозі справедливої сатисфакції</w:t>
      </w:r>
      <w:r w:rsidR="00E81B07" w:rsidRPr="00F0117E">
        <w:rPr>
          <w:lang w:val="uk-UA"/>
        </w:rPr>
        <w:t>.</w:t>
      </w:r>
    </w:p>
    <w:p w:rsidR="00E36F4C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144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F47669" w:rsidRPr="00F0117E">
        <w:rPr>
          <w:lang w:val="uk-UA"/>
        </w:rPr>
        <w:t>У своїх зауваженнях у Палаті Уряд стверджував,</w:t>
      </w:r>
      <w:r w:rsidR="00E81B07" w:rsidRPr="00F0117E">
        <w:rPr>
          <w:lang w:val="uk-UA"/>
        </w:rPr>
        <w:t xml:space="preserve"> </w:t>
      </w:r>
      <w:r w:rsidR="00F47669" w:rsidRPr="00F0117E">
        <w:rPr>
          <w:lang w:val="uk-UA"/>
        </w:rPr>
        <w:t>що був проти присудження будь-якої суми</w:t>
      </w:r>
      <w:r w:rsidR="00E81B07" w:rsidRPr="00F0117E">
        <w:rPr>
          <w:lang w:val="uk-UA"/>
        </w:rPr>
        <w:t xml:space="preserve"> </w:t>
      </w:r>
      <w:r w:rsidR="00F47669" w:rsidRPr="00F0117E">
        <w:rPr>
          <w:lang w:val="uk-UA"/>
        </w:rPr>
        <w:t xml:space="preserve">в якості відшкодування матеріальної </w:t>
      </w:r>
      <w:r w:rsidR="00F47669" w:rsidRPr="00F0117E">
        <w:rPr>
          <w:lang w:val="uk-UA"/>
        </w:rPr>
        <w:lastRenderedPageBreak/>
        <w:t>шкоди, яку заявник, нібито, поніс</w:t>
      </w:r>
      <w:r w:rsidR="00E81B07" w:rsidRPr="00F0117E">
        <w:rPr>
          <w:lang w:val="uk-UA"/>
        </w:rPr>
        <w:t xml:space="preserve">. </w:t>
      </w:r>
      <w:r w:rsidR="00F47669" w:rsidRPr="00F0117E">
        <w:rPr>
          <w:lang w:val="uk-UA"/>
        </w:rPr>
        <w:t>На думку Уряду, ця сума ґрунтувалася лише на припущенні,</w:t>
      </w:r>
      <w:r w:rsidR="00E81B07" w:rsidRPr="00F0117E">
        <w:rPr>
          <w:lang w:val="uk-UA"/>
        </w:rPr>
        <w:t xml:space="preserve"> </w:t>
      </w:r>
      <w:r w:rsidR="00F47669" w:rsidRPr="00F0117E">
        <w:rPr>
          <w:lang w:val="uk-UA"/>
        </w:rPr>
        <w:t>і між звільненням заявника та сумою, яку він вимагав, не було зв’язку</w:t>
      </w:r>
      <w:r w:rsidR="00E81B07" w:rsidRPr="00F0117E">
        <w:rPr>
          <w:lang w:val="uk-UA"/>
        </w:rPr>
        <w:t>.</w:t>
      </w:r>
    </w:p>
    <w:p w:rsidR="00E36F4C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145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6E4348" w:rsidRPr="00F0117E">
        <w:rPr>
          <w:lang w:val="uk-UA"/>
        </w:rPr>
        <w:t>Суд зауважує,</w:t>
      </w:r>
      <w:r w:rsidR="00E81B07" w:rsidRPr="00F0117E">
        <w:rPr>
          <w:lang w:val="uk-UA"/>
        </w:rPr>
        <w:t xml:space="preserve"> </w:t>
      </w:r>
      <w:r w:rsidR="006E4348" w:rsidRPr="00F0117E">
        <w:rPr>
          <w:lang w:val="uk-UA"/>
        </w:rPr>
        <w:t>що він виявив порушення статті</w:t>
      </w:r>
      <w:r w:rsidR="00E81B07" w:rsidRPr="00F0117E">
        <w:rPr>
          <w:lang w:val="uk-UA"/>
        </w:rPr>
        <w:t xml:space="preserve"> 8 </w:t>
      </w:r>
      <w:r w:rsidR="006E4348" w:rsidRPr="00F0117E">
        <w:rPr>
          <w:lang w:val="uk-UA"/>
        </w:rPr>
        <w:t>Конвенції</w:t>
      </w:r>
      <w:r w:rsidR="00E81B07" w:rsidRPr="00F0117E">
        <w:rPr>
          <w:lang w:val="uk-UA"/>
        </w:rPr>
        <w:t xml:space="preserve"> </w:t>
      </w:r>
      <w:r w:rsidR="006E4348" w:rsidRPr="00F0117E">
        <w:rPr>
          <w:lang w:val="uk-UA"/>
        </w:rPr>
        <w:t>в тому, що національні суди не встановили</w:t>
      </w:r>
      <w:r w:rsidR="00E81B07" w:rsidRPr="00F0117E">
        <w:rPr>
          <w:lang w:val="uk-UA"/>
        </w:rPr>
        <w:t xml:space="preserve"> </w:t>
      </w:r>
      <w:r w:rsidR="006E4348" w:rsidRPr="00F0117E">
        <w:rPr>
          <w:lang w:val="uk-UA"/>
        </w:rPr>
        <w:t>відповідні факти та не провели</w:t>
      </w:r>
      <w:r w:rsidR="00E81B07" w:rsidRPr="00F0117E">
        <w:rPr>
          <w:lang w:val="uk-UA"/>
        </w:rPr>
        <w:t xml:space="preserve"> </w:t>
      </w:r>
      <w:r w:rsidR="006E4348" w:rsidRPr="00F0117E">
        <w:rPr>
          <w:lang w:val="uk-UA"/>
        </w:rPr>
        <w:t>належний баланс між правом заявника</w:t>
      </w:r>
      <w:r w:rsidR="00E81B07" w:rsidRPr="00F0117E">
        <w:rPr>
          <w:lang w:val="uk-UA"/>
        </w:rPr>
        <w:t xml:space="preserve"> </w:t>
      </w:r>
      <w:r w:rsidR="006E4348" w:rsidRPr="00F0117E">
        <w:rPr>
          <w:lang w:val="uk-UA"/>
        </w:rPr>
        <w:t>на повагу до приватного життя і кореспонденції</w:t>
      </w:r>
      <w:r w:rsidR="00E81B07" w:rsidRPr="00F0117E">
        <w:rPr>
          <w:lang w:val="uk-UA"/>
        </w:rPr>
        <w:t xml:space="preserve"> </w:t>
      </w:r>
      <w:r w:rsidR="006E4348" w:rsidRPr="00F0117E">
        <w:rPr>
          <w:lang w:val="uk-UA"/>
        </w:rPr>
        <w:t>та інтересами роботодавця</w:t>
      </w:r>
      <w:r w:rsidR="00E81B07" w:rsidRPr="00F0117E">
        <w:rPr>
          <w:lang w:val="uk-UA"/>
        </w:rPr>
        <w:t xml:space="preserve">. </w:t>
      </w:r>
      <w:r w:rsidR="006E4348" w:rsidRPr="00F0117E">
        <w:rPr>
          <w:lang w:val="uk-UA"/>
        </w:rPr>
        <w:t>Він не вбачає ніякого причинно-наслідкового зв’язку</w:t>
      </w:r>
      <w:r w:rsidR="00E81B07" w:rsidRPr="00F0117E">
        <w:rPr>
          <w:lang w:val="uk-UA"/>
        </w:rPr>
        <w:t xml:space="preserve"> </w:t>
      </w:r>
      <w:r w:rsidR="006E4348" w:rsidRPr="00F0117E">
        <w:rPr>
          <w:lang w:val="uk-UA"/>
        </w:rPr>
        <w:t>між виявленими порушеннями та заявленою матеріальною шкодою</w:t>
      </w:r>
      <w:r w:rsidR="00E81B07" w:rsidRPr="00F0117E">
        <w:rPr>
          <w:lang w:val="uk-UA"/>
        </w:rPr>
        <w:t xml:space="preserve">, </w:t>
      </w:r>
      <w:r w:rsidR="006E4348" w:rsidRPr="00F0117E">
        <w:rPr>
          <w:lang w:val="uk-UA"/>
        </w:rPr>
        <w:t>і тому відхиляє цю вимогу</w:t>
      </w:r>
      <w:r w:rsidR="00E81B07" w:rsidRPr="00F0117E">
        <w:rPr>
          <w:lang w:val="uk-UA"/>
        </w:rPr>
        <w:t>.</w:t>
      </w:r>
    </w:p>
    <w:p w:rsidR="00E81B07" w:rsidRPr="00F0117E" w:rsidRDefault="00E81B07" w:rsidP="008B2B31">
      <w:pPr>
        <w:pStyle w:val="ECHRHeading3"/>
        <w:rPr>
          <w:lang w:val="uk-UA"/>
        </w:rPr>
      </w:pPr>
      <w:r w:rsidRPr="00F0117E">
        <w:rPr>
          <w:lang w:val="uk-UA"/>
        </w:rPr>
        <w:t>2.</w:t>
      </w:r>
      <w:r w:rsidR="00FA6D4F" w:rsidRPr="00F0117E">
        <w:rPr>
          <w:lang w:val="uk-UA"/>
        </w:rPr>
        <w:t xml:space="preserve"> </w:t>
      </w:r>
      <w:r w:rsidR="006E4348" w:rsidRPr="00F0117E">
        <w:rPr>
          <w:lang w:val="uk-UA"/>
        </w:rPr>
        <w:t>Моральна шкода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146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FA46F9" w:rsidRPr="00F0117E">
        <w:rPr>
          <w:lang w:val="uk-UA"/>
        </w:rPr>
        <w:t>У Палаті заявник також вимагав сплатити йому</w:t>
      </w:r>
      <w:r w:rsidR="00E81B07" w:rsidRPr="00F0117E">
        <w:rPr>
          <w:lang w:val="uk-UA"/>
        </w:rPr>
        <w:t xml:space="preserve"> 200,000 </w:t>
      </w:r>
      <w:r w:rsidR="00FA46F9" w:rsidRPr="00F0117E">
        <w:rPr>
          <w:lang w:val="uk-UA"/>
        </w:rPr>
        <w:t>євро в якості відшкодування моральної шкоди,</w:t>
      </w:r>
      <w:r w:rsidR="00E81B07" w:rsidRPr="00F0117E">
        <w:rPr>
          <w:lang w:val="uk-UA"/>
        </w:rPr>
        <w:t xml:space="preserve"> </w:t>
      </w:r>
      <w:r w:rsidR="00FA46F9" w:rsidRPr="00F0117E">
        <w:rPr>
          <w:lang w:val="uk-UA"/>
        </w:rPr>
        <w:t>яку він, нібито, поніс у результаті звільнення</w:t>
      </w:r>
      <w:r w:rsidR="00E81B07" w:rsidRPr="00F0117E">
        <w:rPr>
          <w:lang w:val="uk-UA"/>
        </w:rPr>
        <w:t xml:space="preserve">. </w:t>
      </w:r>
      <w:r w:rsidR="00FA46F9" w:rsidRPr="00F0117E">
        <w:rPr>
          <w:lang w:val="uk-UA"/>
        </w:rPr>
        <w:t>Заявник стверджував, що через дисциплінарний характер звільнення він не міг знайти іншу роботу</w:t>
      </w:r>
      <w:r w:rsidR="00E81B07" w:rsidRPr="00F0117E">
        <w:rPr>
          <w:lang w:val="uk-UA"/>
        </w:rPr>
        <w:t xml:space="preserve">, </w:t>
      </w:r>
      <w:r w:rsidR="00FA46F9" w:rsidRPr="00F0117E">
        <w:rPr>
          <w:lang w:val="uk-UA"/>
        </w:rPr>
        <w:t>його житловий стандарт значно погіршився</w:t>
      </w:r>
      <w:r w:rsidR="00E81B07" w:rsidRPr="00F0117E">
        <w:rPr>
          <w:lang w:val="uk-UA"/>
        </w:rPr>
        <w:t xml:space="preserve">, </w:t>
      </w:r>
      <w:r w:rsidR="00FA46F9" w:rsidRPr="00F0117E">
        <w:rPr>
          <w:lang w:val="uk-UA"/>
        </w:rPr>
        <w:t>він втратив соціальний статус</w:t>
      </w:r>
      <w:r w:rsidR="00E81B07" w:rsidRPr="00F0117E">
        <w:rPr>
          <w:lang w:val="uk-UA"/>
        </w:rPr>
        <w:t xml:space="preserve"> </w:t>
      </w:r>
      <w:r w:rsidR="00FA46F9" w:rsidRPr="00F0117E">
        <w:rPr>
          <w:lang w:val="uk-UA"/>
        </w:rPr>
        <w:t>і в результаті цього його наречена вирішила у</w:t>
      </w:r>
      <w:r w:rsidR="00E81B07" w:rsidRPr="00F0117E">
        <w:rPr>
          <w:lang w:val="uk-UA"/>
        </w:rPr>
        <w:t xml:space="preserve"> 2010 </w:t>
      </w:r>
      <w:r w:rsidR="00FA46F9" w:rsidRPr="00F0117E">
        <w:rPr>
          <w:lang w:val="uk-UA"/>
        </w:rPr>
        <w:t xml:space="preserve">році закінчити їх </w:t>
      </w:r>
      <w:r w:rsidR="001C70B1">
        <w:rPr>
          <w:lang w:val="uk-UA"/>
        </w:rPr>
        <w:t>стосунки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147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FA46F9" w:rsidRPr="00F0117E">
        <w:rPr>
          <w:lang w:val="uk-UA"/>
        </w:rPr>
        <w:t>Уряд зазначив у відповідь, що визнання порушення</w:t>
      </w:r>
      <w:r w:rsidR="00E81B07" w:rsidRPr="00F0117E">
        <w:rPr>
          <w:lang w:val="uk-UA"/>
        </w:rPr>
        <w:t xml:space="preserve"> </w:t>
      </w:r>
      <w:r w:rsidR="00FA46F9" w:rsidRPr="00F0117E">
        <w:rPr>
          <w:lang w:val="uk-UA"/>
        </w:rPr>
        <w:t>могло, у принципі, бути достатньою справедливою сатисфакцією</w:t>
      </w:r>
      <w:r w:rsidR="00E81B07" w:rsidRPr="00F0117E">
        <w:rPr>
          <w:lang w:val="uk-UA"/>
        </w:rPr>
        <w:t xml:space="preserve">. </w:t>
      </w:r>
      <w:r w:rsidR="00FA46F9" w:rsidRPr="00F0117E">
        <w:rPr>
          <w:lang w:val="uk-UA"/>
        </w:rPr>
        <w:t>У будь-якому випадку Уряд стверджував, що сума, яку назвав заявник,</w:t>
      </w:r>
      <w:r w:rsidR="00E81B07" w:rsidRPr="00F0117E">
        <w:rPr>
          <w:lang w:val="uk-UA"/>
        </w:rPr>
        <w:t xml:space="preserve"> </w:t>
      </w:r>
      <w:r w:rsidR="00FA46F9" w:rsidRPr="00F0117E">
        <w:rPr>
          <w:lang w:val="uk-UA"/>
        </w:rPr>
        <w:t>була надмірною у с</w:t>
      </w:r>
      <w:r w:rsidR="00675D1E" w:rsidRPr="00F0117E">
        <w:rPr>
          <w:lang w:val="uk-UA"/>
        </w:rPr>
        <w:t>вітлі прецедентної практики Суд</w:t>
      </w:r>
      <w:r w:rsidR="00FA46F9" w:rsidRPr="00F0117E">
        <w:rPr>
          <w:lang w:val="uk-UA"/>
        </w:rPr>
        <w:t>у у цьому відношенні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148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675D1E" w:rsidRPr="00F0117E">
        <w:rPr>
          <w:lang w:val="uk-UA"/>
        </w:rPr>
        <w:t>Суд вважає, що визнання порушення становить достатню справедливу сатисфакцію</w:t>
      </w:r>
      <w:r w:rsidR="00E81B07" w:rsidRPr="00F0117E">
        <w:rPr>
          <w:lang w:val="uk-UA"/>
        </w:rPr>
        <w:t xml:space="preserve"> </w:t>
      </w:r>
      <w:r w:rsidR="00675D1E" w:rsidRPr="00F0117E">
        <w:rPr>
          <w:lang w:val="uk-UA"/>
        </w:rPr>
        <w:t>будь-якої моральної шкоди, яка могла бути понесена заявником</w:t>
      </w:r>
      <w:r w:rsidR="00E81B07" w:rsidRPr="00F0117E">
        <w:rPr>
          <w:lang w:val="uk-UA"/>
        </w:rPr>
        <w:t>.</w:t>
      </w:r>
    </w:p>
    <w:p w:rsidR="00E81B07" w:rsidRPr="00F0117E" w:rsidRDefault="00E81B07" w:rsidP="008B2B31">
      <w:pPr>
        <w:pStyle w:val="ECHRHeading2"/>
        <w:rPr>
          <w:lang w:val="uk-UA"/>
        </w:rPr>
      </w:pPr>
      <w:r w:rsidRPr="00F0117E">
        <w:rPr>
          <w:lang w:val="uk-UA"/>
        </w:rPr>
        <w:t>B.</w:t>
      </w:r>
      <w:r w:rsidR="00FA6D4F" w:rsidRPr="00F0117E">
        <w:rPr>
          <w:lang w:val="uk-UA"/>
        </w:rPr>
        <w:t xml:space="preserve"> </w:t>
      </w:r>
      <w:r w:rsidR="00675D1E" w:rsidRPr="00F0117E">
        <w:rPr>
          <w:lang w:val="uk-UA"/>
        </w:rPr>
        <w:t>Компенсація судових витрат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149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AF6D24" w:rsidRPr="00F0117E">
        <w:rPr>
          <w:lang w:val="uk-UA"/>
        </w:rPr>
        <w:t>У Палаті заявник також вимагав сплатити йому</w:t>
      </w:r>
      <w:r w:rsidR="00E81B07" w:rsidRPr="00F0117E">
        <w:rPr>
          <w:lang w:val="uk-UA"/>
        </w:rPr>
        <w:t xml:space="preserve"> 3,310 </w:t>
      </w:r>
      <w:r w:rsidR="00AF6D24" w:rsidRPr="00F0117E">
        <w:rPr>
          <w:lang w:val="uk-UA"/>
        </w:rPr>
        <w:t>румунських лей</w:t>
      </w:r>
      <w:r w:rsidR="00E81B07" w:rsidRPr="00F0117E">
        <w:rPr>
          <w:lang w:val="uk-UA"/>
        </w:rPr>
        <w:t xml:space="preserve"> (RON) (</w:t>
      </w:r>
      <w:r w:rsidR="00AF6D24" w:rsidRPr="00F0117E">
        <w:rPr>
          <w:lang w:val="uk-UA"/>
        </w:rPr>
        <w:t>приблизно</w:t>
      </w:r>
      <w:r w:rsidR="00E81B07" w:rsidRPr="00F0117E">
        <w:rPr>
          <w:lang w:val="uk-UA"/>
        </w:rPr>
        <w:t xml:space="preserve"> 750</w:t>
      </w:r>
      <w:r w:rsidR="00AF6D24" w:rsidRPr="00F0117E">
        <w:rPr>
          <w:lang w:val="uk-UA"/>
        </w:rPr>
        <w:t xml:space="preserve"> євро</w:t>
      </w:r>
      <w:r w:rsidR="00E81B07" w:rsidRPr="00F0117E">
        <w:rPr>
          <w:lang w:val="uk-UA"/>
        </w:rPr>
        <w:t xml:space="preserve">) </w:t>
      </w:r>
      <w:r w:rsidR="00AF6D24" w:rsidRPr="00F0117E">
        <w:rPr>
          <w:lang w:val="uk-UA"/>
        </w:rPr>
        <w:t>в якості відшкодування судових витрат, понесених у національних судах</w:t>
      </w:r>
      <w:r w:rsidR="00E81B07" w:rsidRPr="00F0117E">
        <w:rPr>
          <w:lang w:val="uk-UA"/>
        </w:rPr>
        <w:t xml:space="preserve">, </w:t>
      </w:r>
      <w:r w:rsidR="00AF6D24" w:rsidRPr="00F0117E">
        <w:rPr>
          <w:lang w:val="uk-UA"/>
        </w:rPr>
        <w:t>та</w:t>
      </w:r>
      <w:r w:rsidR="00E81B07" w:rsidRPr="00F0117E">
        <w:rPr>
          <w:lang w:val="uk-UA"/>
        </w:rPr>
        <w:t xml:space="preserve"> 500</w:t>
      </w:r>
      <w:r w:rsidR="00AF6D24" w:rsidRPr="00F0117E">
        <w:rPr>
          <w:lang w:val="uk-UA"/>
        </w:rPr>
        <w:t xml:space="preserve"> лей</w:t>
      </w:r>
      <w:r w:rsidR="00E81B07" w:rsidRPr="00F0117E">
        <w:rPr>
          <w:lang w:val="uk-UA"/>
        </w:rPr>
        <w:t xml:space="preserve"> (</w:t>
      </w:r>
      <w:r w:rsidR="00AF6D24" w:rsidRPr="00F0117E">
        <w:rPr>
          <w:lang w:val="uk-UA"/>
        </w:rPr>
        <w:t>приблизно</w:t>
      </w:r>
      <w:r w:rsidR="00E81B07" w:rsidRPr="00F0117E">
        <w:rPr>
          <w:lang w:val="uk-UA"/>
        </w:rPr>
        <w:t xml:space="preserve"> 115</w:t>
      </w:r>
      <w:r w:rsidR="00AF6D24" w:rsidRPr="00F0117E">
        <w:rPr>
          <w:lang w:val="uk-UA"/>
        </w:rPr>
        <w:t xml:space="preserve"> євро</w:t>
      </w:r>
      <w:r w:rsidR="00E81B07" w:rsidRPr="00F0117E">
        <w:rPr>
          <w:lang w:val="uk-UA"/>
        </w:rPr>
        <w:t xml:space="preserve">) </w:t>
      </w:r>
      <w:r w:rsidR="00706880" w:rsidRPr="00F0117E">
        <w:rPr>
          <w:lang w:val="uk-UA"/>
        </w:rPr>
        <w:t>в якості гонорару адвокату,</w:t>
      </w:r>
      <w:r w:rsidR="00E81B07" w:rsidRPr="00F0117E">
        <w:rPr>
          <w:lang w:val="uk-UA"/>
        </w:rPr>
        <w:t xml:space="preserve"> </w:t>
      </w:r>
      <w:r w:rsidR="00706880" w:rsidRPr="00F0117E">
        <w:rPr>
          <w:lang w:val="uk-UA"/>
        </w:rPr>
        <w:t>який представляв його у національних провадженнях</w:t>
      </w:r>
      <w:r w:rsidR="00E81B07" w:rsidRPr="00F0117E">
        <w:rPr>
          <w:lang w:val="uk-UA"/>
        </w:rPr>
        <w:t xml:space="preserve">. </w:t>
      </w:r>
      <w:r w:rsidR="00706880" w:rsidRPr="00F0117E">
        <w:rPr>
          <w:lang w:val="uk-UA"/>
        </w:rPr>
        <w:t>Заявник також вимагав сплатити йому</w:t>
      </w:r>
      <w:r w:rsidR="00E81B07" w:rsidRPr="00F0117E">
        <w:rPr>
          <w:lang w:val="uk-UA"/>
        </w:rPr>
        <w:t xml:space="preserve"> 500 </w:t>
      </w:r>
      <w:r w:rsidR="00706880" w:rsidRPr="00F0117E">
        <w:rPr>
          <w:lang w:val="uk-UA"/>
        </w:rPr>
        <w:t>євро в якості гонорарів адвокатів,</w:t>
      </w:r>
      <w:r w:rsidR="00E81B07" w:rsidRPr="00F0117E">
        <w:rPr>
          <w:lang w:val="uk-UA"/>
        </w:rPr>
        <w:t xml:space="preserve"> </w:t>
      </w:r>
      <w:r w:rsidR="00706880" w:rsidRPr="00F0117E">
        <w:rPr>
          <w:lang w:val="uk-UA"/>
        </w:rPr>
        <w:t>які представляли його у Суді</w:t>
      </w:r>
      <w:r w:rsidR="00E81B07" w:rsidRPr="00F0117E">
        <w:rPr>
          <w:lang w:val="uk-UA"/>
        </w:rPr>
        <w:t xml:space="preserve">. </w:t>
      </w:r>
      <w:r w:rsidR="00706880" w:rsidRPr="00F0117E">
        <w:rPr>
          <w:lang w:val="uk-UA"/>
        </w:rPr>
        <w:t>Він надав наступні документи у підтримку своєї вимоги</w:t>
      </w:r>
      <w:r w:rsidR="00E81B07" w:rsidRPr="00F0117E">
        <w:rPr>
          <w:lang w:val="uk-UA"/>
        </w:rPr>
        <w:t>:</w:t>
      </w:r>
    </w:p>
    <w:p w:rsidR="00E81B07" w:rsidRPr="00F0117E" w:rsidRDefault="00E81B07" w:rsidP="008B2B31">
      <w:pPr>
        <w:pStyle w:val="ECHRPara"/>
        <w:rPr>
          <w:lang w:val="uk-UA"/>
        </w:rPr>
      </w:pPr>
      <w:r w:rsidRPr="00F0117E">
        <w:rPr>
          <w:lang w:val="uk-UA"/>
        </w:rPr>
        <w:t>-</w:t>
      </w:r>
      <w:r w:rsidR="00FA6D4F" w:rsidRPr="00F0117E">
        <w:rPr>
          <w:lang w:val="uk-UA"/>
        </w:rPr>
        <w:t xml:space="preserve"> </w:t>
      </w:r>
      <w:r w:rsidR="00706880" w:rsidRPr="00F0117E">
        <w:rPr>
          <w:lang w:val="uk-UA"/>
        </w:rPr>
        <w:t>копії договору про надання юридичної допомоги</w:t>
      </w:r>
      <w:r w:rsidRPr="00F0117E">
        <w:rPr>
          <w:lang w:val="uk-UA"/>
        </w:rPr>
        <w:t xml:space="preserve"> </w:t>
      </w:r>
      <w:r w:rsidR="00706880" w:rsidRPr="00F0117E">
        <w:rPr>
          <w:lang w:val="uk-UA"/>
        </w:rPr>
        <w:t>та квитанції про сплату суми у</w:t>
      </w:r>
      <w:r w:rsidRPr="00F0117E">
        <w:rPr>
          <w:lang w:val="uk-UA"/>
        </w:rPr>
        <w:t xml:space="preserve"> 500</w:t>
      </w:r>
      <w:r w:rsidR="00706880" w:rsidRPr="00F0117E">
        <w:rPr>
          <w:lang w:val="uk-UA"/>
        </w:rPr>
        <w:t xml:space="preserve"> лей, стосовно гонорару адвокату в національних провадженнях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ECHRPara"/>
        <w:rPr>
          <w:lang w:val="uk-UA"/>
        </w:rPr>
      </w:pPr>
      <w:r w:rsidRPr="00F0117E">
        <w:rPr>
          <w:lang w:val="uk-UA"/>
        </w:rPr>
        <w:t>-</w:t>
      </w:r>
      <w:r w:rsidR="00FA6D4F" w:rsidRPr="00F0117E">
        <w:rPr>
          <w:lang w:val="uk-UA"/>
        </w:rPr>
        <w:t xml:space="preserve"> </w:t>
      </w:r>
      <w:r w:rsidR="00706880" w:rsidRPr="00F0117E">
        <w:rPr>
          <w:lang w:val="uk-UA"/>
        </w:rPr>
        <w:t>документи, які доводили, що він сплатив роботодавцеві</w:t>
      </w:r>
      <w:r w:rsidRPr="00F0117E">
        <w:rPr>
          <w:lang w:val="uk-UA"/>
        </w:rPr>
        <w:t xml:space="preserve"> </w:t>
      </w:r>
      <w:r w:rsidR="00706880" w:rsidRPr="00F0117E">
        <w:rPr>
          <w:lang w:val="uk-UA"/>
        </w:rPr>
        <w:t>суми в розмірі</w:t>
      </w:r>
      <w:r w:rsidRPr="00F0117E">
        <w:rPr>
          <w:lang w:val="uk-UA"/>
        </w:rPr>
        <w:t xml:space="preserve"> 2,700 </w:t>
      </w:r>
      <w:r w:rsidR="00706880" w:rsidRPr="00F0117E">
        <w:rPr>
          <w:lang w:val="uk-UA"/>
        </w:rPr>
        <w:t>лей та</w:t>
      </w:r>
      <w:r w:rsidRPr="00F0117E">
        <w:rPr>
          <w:lang w:val="uk-UA"/>
        </w:rPr>
        <w:t xml:space="preserve"> 610.30 </w:t>
      </w:r>
      <w:r w:rsidR="00706880" w:rsidRPr="00F0117E">
        <w:rPr>
          <w:lang w:val="uk-UA"/>
        </w:rPr>
        <w:t>лей у якості відшкодування судових витрат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ECHRPara"/>
        <w:rPr>
          <w:lang w:val="uk-UA"/>
        </w:rPr>
      </w:pPr>
      <w:r w:rsidRPr="00F0117E">
        <w:rPr>
          <w:lang w:val="uk-UA"/>
        </w:rPr>
        <w:t>-</w:t>
      </w:r>
      <w:r w:rsidR="00FA6D4F" w:rsidRPr="00F0117E">
        <w:rPr>
          <w:lang w:val="uk-UA"/>
        </w:rPr>
        <w:t xml:space="preserve"> </w:t>
      </w:r>
      <w:r w:rsidR="00F87785" w:rsidRPr="00F0117E">
        <w:rPr>
          <w:lang w:val="uk-UA"/>
        </w:rPr>
        <w:t>копію квитанції на сплату суми в розмірі</w:t>
      </w:r>
      <w:r w:rsidRPr="00F0117E">
        <w:rPr>
          <w:lang w:val="uk-UA"/>
        </w:rPr>
        <w:t xml:space="preserve"> 2,218.64</w:t>
      </w:r>
      <w:r w:rsidR="00F87785" w:rsidRPr="00F0117E">
        <w:rPr>
          <w:lang w:val="uk-UA"/>
        </w:rPr>
        <w:t xml:space="preserve"> лей</w:t>
      </w:r>
      <w:r w:rsidRPr="00F0117E">
        <w:rPr>
          <w:lang w:val="uk-UA"/>
        </w:rPr>
        <w:t xml:space="preserve">, </w:t>
      </w:r>
      <w:r w:rsidR="00F87785" w:rsidRPr="00F0117E">
        <w:rPr>
          <w:lang w:val="uk-UA"/>
        </w:rPr>
        <w:t>яка відповідала гонорару одного з адвокатів,</w:t>
      </w:r>
      <w:r w:rsidRPr="00F0117E">
        <w:rPr>
          <w:lang w:val="uk-UA"/>
        </w:rPr>
        <w:t xml:space="preserve"> </w:t>
      </w:r>
      <w:r w:rsidR="00F87785" w:rsidRPr="00F0117E">
        <w:rPr>
          <w:lang w:val="uk-UA"/>
        </w:rPr>
        <w:t>які представляли заявника у Суді</w:t>
      </w:r>
      <w:r w:rsidRPr="00F0117E">
        <w:rPr>
          <w:lang w:val="uk-UA"/>
        </w:rPr>
        <w:t>.</w:t>
      </w:r>
    </w:p>
    <w:p w:rsidR="00E81B07" w:rsidRPr="00F0117E" w:rsidRDefault="0082249E" w:rsidP="008B2B31">
      <w:pPr>
        <w:pStyle w:val="ECHRPara"/>
        <w:rPr>
          <w:lang w:val="uk-UA"/>
        </w:rPr>
      </w:pPr>
      <w:r w:rsidRPr="00F0117E">
        <w:rPr>
          <w:lang w:val="uk-UA"/>
        </w:rPr>
        <w:lastRenderedPageBreak/>
        <w:t>Заявник не прагнув відшкодування витрат,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понесених у зв’язку з провадженнями у Великій Палаті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150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3E78FB" w:rsidRPr="00F0117E">
        <w:rPr>
          <w:lang w:val="uk-UA"/>
        </w:rPr>
        <w:t>У своїх зауваженнях у Палаті Уряд попросив Суд</w:t>
      </w:r>
      <w:r w:rsidR="00E81B07" w:rsidRPr="00F0117E">
        <w:rPr>
          <w:lang w:val="uk-UA"/>
        </w:rPr>
        <w:t xml:space="preserve"> </w:t>
      </w:r>
      <w:r w:rsidR="003E78FB" w:rsidRPr="00F0117E">
        <w:rPr>
          <w:lang w:val="uk-UA"/>
        </w:rPr>
        <w:t>присудити заявникові лише ті суми,</w:t>
      </w:r>
      <w:r w:rsidR="00E81B07" w:rsidRPr="00F0117E">
        <w:rPr>
          <w:lang w:val="uk-UA"/>
        </w:rPr>
        <w:t xml:space="preserve"> </w:t>
      </w:r>
      <w:r w:rsidR="003E78FB" w:rsidRPr="00F0117E">
        <w:rPr>
          <w:lang w:val="uk-UA"/>
        </w:rPr>
        <w:t>які були необхідними та відповідали обґрунтованим вимогам</w:t>
      </w:r>
      <w:r w:rsidR="00E81B07" w:rsidRPr="00F0117E">
        <w:rPr>
          <w:lang w:val="uk-UA"/>
        </w:rPr>
        <w:t xml:space="preserve">. </w:t>
      </w:r>
      <w:r w:rsidR="003E78FB" w:rsidRPr="00F0117E">
        <w:rPr>
          <w:lang w:val="uk-UA"/>
        </w:rPr>
        <w:t>У цьому зв’язку Уряд стверджував, що заявник</w:t>
      </w:r>
      <w:r w:rsidR="00E81B07" w:rsidRPr="00F0117E">
        <w:rPr>
          <w:lang w:val="uk-UA"/>
        </w:rPr>
        <w:t xml:space="preserve"> </w:t>
      </w:r>
      <w:r w:rsidR="003E78FB" w:rsidRPr="00F0117E">
        <w:rPr>
          <w:lang w:val="uk-UA"/>
        </w:rPr>
        <w:t>не довів, що сплатив</w:t>
      </w:r>
      <w:r w:rsidR="00E81B07" w:rsidRPr="00F0117E">
        <w:rPr>
          <w:lang w:val="uk-UA"/>
        </w:rPr>
        <w:t xml:space="preserve"> 500 </w:t>
      </w:r>
      <w:r w:rsidR="003E78FB" w:rsidRPr="00F0117E">
        <w:rPr>
          <w:lang w:val="uk-UA"/>
        </w:rPr>
        <w:t>євро в якості гонорарів адвокату,</w:t>
      </w:r>
      <w:r w:rsidR="00E81B07" w:rsidRPr="00F0117E">
        <w:rPr>
          <w:lang w:val="uk-UA"/>
        </w:rPr>
        <w:t xml:space="preserve"> </w:t>
      </w:r>
      <w:r w:rsidR="003E78FB" w:rsidRPr="00F0117E">
        <w:rPr>
          <w:lang w:val="uk-UA"/>
        </w:rPr>
        <w:t>який представляв його у Суді</w:t>
      </w:r>
      <w:r w:rsidR="00E81B07" w:rsidRPr="00F0117E">
        <w:rPr>
          <w:lang w:val="uk-UA"/>
        </w:rPr>
        <w:t xml:space="preserve">, </w:t>
      </w:r>
      <w:r w:rsidR="003E78FB" w:rsidRPr="00F0117E">
        <w:rPr>
          <w:lang w:val="uk-UA"/>
        </w:rPr>
        <w:t xml:space="preserve">і </w:t>
      </w:r>
      <w:r w:rsidR="00E97C7F" w:rsidRPr="00F0117E">
        <w:rPr>
          <w:lang w:val="uk-UA"/>
        </w:rPr>
        <w:t>щ</w:t>
      </w:r>
      <w:r w:rsidR="003E78FB" w:rsidRPr="00F0117E">
        <w:rPr>
          <w:lang w:val="uk-UA"/>
        </w:rPr>
        <w:t>о квитанція за сплату суми в розмірі</w:t>
      </w:r>
      <w:r w:rsidR="00E81B07" w:rsidRPr="00F0117E">
        <w:rPr>
          <w:lang w:val="uk-UA"/>
        </w:rPr>
        <w:t xml:space="preserve"> 500 </w:t>
      </w:r>
      <w:r w:rsidR="003E78FB" w:rsidRPr="00F0117E">
        <w:rPr>
          <w:lang w:val="uk-UA"/>
        </w:rPr>
        <w:t>лей у якості гонорару адвокату,</w:t>
      </w:r>
      <w:r w:rsidR="00E81B07" w:rsidRPr="00F0117E">
        <w:rPr>
          <w:lang w:val="uk-UA"/>
        </w:rPr>
        <w:t xml:space="preserve"> </w:t>
      </w:r>
      <w:r w:rsidR="003E78FB" w:rsidRPr="00F0117E">
        <w:rPr>
          <w:lang w:val="uk-UA"/>
        </w:rPr>
        <w:t>який представляв заявника у національних судах,</w:t>
      </w:r>
      <w:r w:rsidR="00E81B07" w:rsidRPr="00F0117E">
        <w:rPr>
          <w:lang w:val="uk-UA"/>
        </w:rPr>
        <w:t xml:space="preserve"> </w:t>
      </w:r>
      <w:r w:rsidR="003E78FB" w:rsidRPr="00F0117E">
        <w:rPr>
          <w:lang w:val="uk-UA"/>
        </w:rPr>
        <w:t>не супроводжувалася допоміжними документами з викладенням подробиць щодо відпрацьованих годин</w:t>
      </w:r>
      <w:r w:rsidR="00E81B07" w:rsidRPr="00F0117E">
        <w:rPr>
          <w:lang w:val="uk-UA"/>
        </w:rPr>
        <w:t>.</w:t>
      </w:r>
    </w:p>
    <w:p w:rsidR="00E81B07" w:rsidRPr="00F0117E" w:rsidRDefault="0002542A" w:rsidP="008B2B31">
      <w:pPr>
        <w:widowControl w:val="0"/>
        <w:tabs>
          <w:tab w:val="left" w:pos="720"/>
          <w:tab w:val="right" w:pos="1701"/>
          <w:tab w:val="left" w:pos="2127"/>
          <w:tab w:val="left" w:pos="3420"/>
          <w:tab w:val="left" w:pos="7500"/>
        </w:tabs>
        <w:ind w:firstLine="284"/>
        <w:rPr>
          <w:i/>
          <w:snapToGrid w:val="0"/>
          <w:szCs w:val="24"/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151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25211A" w:rsidRPr="00F0117E">
        <w:rPr>
          <w:lang w:val="uk-UA"/>
        </w:rPr>
        <w:t>Відповідно до прецедентного права Суду</w:t>
      </w:r>
      <w:r w:rsidR="00E81B07" w:rsidRPr="00F0117E">
        <w:rPr>
          <w:lang w:val="uk-UA"/>
        </w:rPr>
        <w:t xml:space="preserve">, </w:t>
      </w:r>
      <w:r w:rsidR="0025211A" w:rsidRPr="00F0117E">
        <w:rPr>
          <w:lang w:val="uk-UA"/>
        </w:rPr>
        <w:t>заявник має право на відшкодування судових витрат лише в тій мірі, в якій було доведено, що вони дійсно відбулися та були необхідними й розумними за обсягом</w:t>
      </w:r>
      <w:r w:rsidR="00E81B07" w:rsidRPr="00F0117E">
        <w:rPr>
          <w:lang w:val="uk-UA"/>
        </w:rPr>
        <w:t xml:space="preserve"> (</w:t>
      </w:r>
      <w:r w:rsidR="0025211A" w:rsidRPr="00F0117E">
        <w:rPr>
          <w:lang w:val="uk-UA"/>
        </w:rPr>
        <w:t>див.</w:t>
      </w:r>
      <w:r w:rsidR="00E81B07" w:rsidRPr="00F0117E">
        <w:rPr>
          <w:lang w:val="uk-UA"/>
        </w:rPr>
        <w:t xml:space="preserve"> </w:t>
      </w:r>
      <w:proofErr w:type="spellStart"/>
      <w:r w:rsidR="00E81B07" w:rsidRPr="00F0117E">
        <w:rPr>
          <w:i/>
          <w:lang w:val="uk-UA"/>
        </w:rPr>
        <w:t>Lupeni</w:t>
      </w:r>
      <w:proofErr w:type="spellEnd"/>
      <w:r w:rsidR="00E81B07" w:rsidRPr="00F0117E">
        <w:rPr>
          <w:i/>
          <w:lang w:val="uk-UA"/>
        </w:rPr>
        <w:t xml:space="preserve"> </w:t>
      </w:r>
      <w:proofErr w:type="spellStart"/>
      <w:r w:rsidR="00E81B07" w:rsidRPr="00F0117E">
        <w:rPr>
          <w:i/>
          <w:iCs/>
          <w:lang w:val="uk-UA"/>
        </w:rPr>
        <w:t>Greek</w:t>
      </w:r>
      <w:proofErr w:type="spellEnd"/>
      <w:r w:rsidR="00E81B07" w:rsidRPr="00F0117E">
        <w:rPr>
          <w:i/>
          <w:iCs/>
          <w:lang w:val="uk-UA"/>
        </w:rPr>
        <w:t xml:space="preserve"> </w:t>
      </w:r>
      <w:proofErr w:type="spellStart"/>
      <w:r w:rsidR="00E81B07" w:rsidRPr="00F0117E">
        <w:rPr>
          <w:i/>
          <w:iCs/>
          <w:lang w:val="uk-UA"/>
        </w:rPr>
        <w:t>Catholic</w:t>
      </w:r>
      <w:proofErr w:type="spellEnd"/>
      <w:r w:rsidR="00E81B07" w:rsidRPr="00F0117E">
        <w:rPr>
          <w:i/>
          <w:iCs/>
          <w:lang w:val="uk-UA"/>
        </w:rPr>
        <w:t xml:space="preserve"> </w:t>
      </w:r>
      <w:proofErr w:type="spellStart"/>
      <w:r w:rsidR="00E81B07" w:rsidRPr="00F0117E">
        <w:rPr>
          <w:i/>
          <w:iCs/>
          <w:lang w:val="uk-UA"/>
        </w:rPr>
        <w:t>Parish</w:t>
      </w:r>
      <w:proofErr w:type="spellEnd"/>
      <w:r w:rsidR="00E81B07" w:rsidRPr="00F0117E">
        <w:rPr>
          <w:i/>
          <w:iCs/>
          <w:lang w:val="uk-UA"/>
        </w:rPr>
        <w:t xml:space="preserve"> </w:t>
      </w:r>
      <w:proofErr w:type="spellStart"/>
      <w:r w:rsidR="00E81B07" w:rsidRPr="00F0117E">
        <w:rPr>
          <w:i/>
          <w:iCs/>
          <w:lang w:val="uk-UA"/>
        </w:rPr>
        <w:t>and</w:t>
      </w:r>
      <w:proofErr w:type="spellEnd"/>
      <w:r w:rsidR="00E81B07" w:rsidRPr="00F0117E">
        <w:rPr>
          <w:i/>
          <w:iCs/>
          <w:lang w:val="uk-UA"/>
        </w:rPr>
        <w:t xml:space="preserve"> </w:t>
      </w:r>
      <w:proofErr w:type="spellStart"/>
      <w:r w:rsidR="00E81B07" w:rsidRPr="00F0117E">
        <w:rPr>
          <w:i/>
          <w:iCs/>
          <w:lang w:val="uk-UA"/>
        </w:rPr>
        <w:t>Others</w:t>
      </w:r>
      <w:proofErr w:type="spellEnd"/>
      <w:r w:rsidR="00E81B07" w:rsidRPr="00F0117E">
        <w:rPr>
          <w:i/>
          <w:iCs/>
          <w:lang w:val="uk-UA"/>
        </w:rPr>
        <w:t xml:space="preserve"> </w:t>
      </w:r>
      <w:r w:rsidR="00E81B07" w:rsidRPr="00F0117E">
        <w:rPr>
          <w:rStyle w:val="JuParaCar"/>
          <w:i/>
          <w:iCs/>
          <w:lang w:val="uk-UA"/>
        </w:rPr>
        <w:t xml:space="preserve">v. </w:t>
      </w:r>
      <w:proofErr w:type="spellStart"/>
      <w:r w:rsidR="00E81B07" w:rsidRPr="00F0117E">
        <w:rPr>
          <w:rStyle w:val="JuParaCar"/>
          <w:i/>
          <w:iCs/>
          <w:lang w:val="uk-UA"/>
        </w:rPr>
        <w:t>Romania</w:t>
      </w:r>
      <w:proofErr w:type="spellEnd"/>
      <w:r w:rsidR="00E81B07" w:rsidRPr="00F0117E">
        <w:rPr>
          <w:i/>
          <w:snapToGrid w:val="0"/>
          <w:szCs w:val="24"/>
          <w:lang w:val="uk-UA"/>
        </w:rPr>
        <w:t xml:space="preserve"> </w:t>
      </w:r>
      <w:r w:rsidR="00E81B07" w:rsidRPr="00F0117E">
        <w:rPr>
          <w:rStyle w:val="JuParaCar"/>
          <w:lang w:val="uk-UA"/>
        </w:rPr>
        <w:t>[GC],</w:t>
      </w:r>
      <w:r w:rsidR="00E81B07" w:rsidRPr="00F0117E">
        <w:rPr>
          <w:snapToGrid w:val="0"/>
          <w:szCs w:val="24"/>
          <w:lang w:val="uk-UA"/>
        </w:rPr>
        <w:t xml:space="preserve"> </w:t>
      </w:r>
      <w:r w:rsidR="0025211A" w:rsidRPr="00F0117E">
        <w:rPr>
          <w:rStyle w:val="JuParaCar"/>
          <w:lang w:val="uk-UA"/>
        </w:rPr>
        <w:t>№</w:t>
      </w:r>
      <w:r w:rsidR="00E81B07" w:rsidRPr="00F0117E">
        <w:rPr>
          <w:snapToGrid w:val="0"/>
          <w:szCs w:val="24"/>
          <w:lang w:val="uk-UA"/>
        </w:rPr>
        <w:t xml:space="preserve"> </w:t>
      </w:r>
      <w:r w:rsidR="00E81B07" w:rsidRPr="00F0117E">
        <w:rPr>
          <w:rStyle w:val="JuParaCar"/>
          <w:lang w:val="uk-UA"/>
        </w:rPr>
        <w:t>76943/11, § 187, ECHR 2016 (</w:t>
      </w:r>
      <w:r w:rsidR="0025211A" w:rsidRPr="00F0117E">
        <w:rPr>
          <w:rStyle w:val="JuParaCar"/>
          <w:lang w:val="uk-UA"/>
        </w:rPr>
        <w:t>витяги</w:t>
      </w:r>
      <w:r w:rsidR="00E81B07" w:rsidRPr="00F0117E">
        <w:rPr>
          <w:rStyle w:val="JuParaCar"/>
          <w:lang w:val="uk-UA"/>
        </w:rPr>
        <w:t>)</w:t>
      </w:r>
      <w:r w:rsidR="00E81B07" w:rsidRPr="00F0117E">
        <w:rPr>
          <w:lang w:val="uk-UA"/>
        </w:rPr>
        <w:t xml:space="preserve">). </w:t>
      </w:r>
      <w:r w:rsidR="0025211A" w:rsidRPr="00F0117E">
        <w:rPr>
          <w:lang w:val="uk-UA"/>
        </w:rPr>
        <w:t>У даній справі, беручи до уваги документи у своєму розпорядженні</w:t>
      </w:r>
      <w:r w:rsidR="00E81B07" w:rsidRPr="00F0117E">
        <w:rPr>
          <w:lang w:val="uk-UA"/>
        </w:rPr>
        <w:t xml:space="preserve"> </w:t>
      </w:r>
      <w:r w:rsidR="0025211A" w:rsidRPr="00F0117E">
        <w:rPr>
          <w:lang w:val="uk-UA"/>
        </w:rPr>
        <w:t>та свою прецедентну практику</w:t>
      </w:r>
      <w:r w:rsidR="00E81B07" w:rsidRPr="00F0117E">
        <w:rPr>
          <w:lang w:val="uk-UA"/>
        </w:rPr>
        <w:t xml:space="preserve">, </w:t>
      </w:r>
      <w:r w:rsidR="0025211A" w:rsidRPr="00F0117E">
        <w:rPr>
          <w:lang w:val="uk-UA"/>
        </w:rPr>
        <w:t>Суд вважає розумним присудити заявникові суму в розмірі</w:t>
      </w:r>
      <w:r w:rsidR="00E81B07" w:rsidRPr="00F0117E">
        <w:rPr>
          <w:lang w:val="uk-UA"/>
        </w:rPr>
        <w:t xml:space="preserve"> 1,365 </w:t>
      </w:r>
      <w:r w:rsidR="0025211A" w:rsidRPr="00F0117E">
        <w:rPr>
          <w:lang w:val="uk-UA"/>
        </w:rPr>
        <w:t>євро, яка охоплює всі заявлені статті</w:t>
      </w:r>
      <w:r w:rsidR="00E81B07" w:rsidRPr="00F0117E">
        <w:rPr>
          <w:lang w:val="uk-UA"/>
        </w:rPr>
        <w:t>.</w:t>
      </w:r>
    </w:p>
    <w:p w:rsidR="00E81B07" w:rsidRPr="00F0117E" w:rsidRDefault="00E81B07" w:rsidP="008B2B31">
      <w:pPr>
        <w:pStyle w:val="ECHRHeading2"/>
        <w:rPr>
          <w:lang w:val="uk-UA"/>
        </w:rPr>
      </w:pPr>
      <w:r w:rsidRPr="00F0117E">
        <w:rPr>
          <w:lang w:val="uk-UA"/>
        </w:rPr>
        <w:t>C.</w:t>
      </w:r>
      <w:r w:rsidR="00FA6D4F" w:rsidRPr="00F0117E">
        <w:rPr>
          <w:lang w:val="uk-UA"/>
        </w:rPr>
        <w:t xml:space="preserve"> </w:t>
      </w:r>
      <w:r w:rsidR="0025211A" w:rsidRPr="00F0117E">
        <w:rPr>
          <w:lang w:val="uk-UA"/>
        </w:rPr>
        <w:t>Пеня</w:t>
      </w:r>
    </w:p>
    <w:p w:rsidR="00E81B07" w:rsidRPr="00F0117E" w:rsidRDefault="0002542A" w:rsidP="008B2B31">
      <w:pPr>
        <w:pStyle w:val="ECHRPara"/>
        <w:rPr>
          <w:lang w:val="uk-UA"/>
        </w:rPr>
      </w:pPr>
      <w:r w:rsidRPr="00F0117E">
        <w:rPr>
          <w:lang w:val="uk-UA"/>
        </w:rPr>
        <w:fldChar w:fldCharType="begin"/>
      </w:r>
      <w:r w:rsidR="00E81B07" w:rsidRPr="00F0117E">
        <w:rPr>
          <w:lang w:val="uk-UA"/>
        </w:rPr>
        <w:instrText xml:space="preserve"> SEQ level0 \*arabic </w:instrText>
      </w:r>
      <w:r w:rsidRPr="00F0117E">
        <w:rPr>
          <w:lang w:val="uk-UA"/>
        </w:rPr>
        <w:fldChar w:fldCharType="separate"/>
      </w:r>
      <w:r w:rsidR="008B2B31" w:rsidRPr="00F0117E">
        <w:rPr>
          <w:noProof/>
          <w:lang w:val="uk-UA"/>
        </w:rPr>
        <w:t>152</w:t>
      </w:r>
      <w:r w:rsidRPr="00F0117E">
        <w:rPr>
          <w:lang w:val="uk-UA"/>
        </w:rPr>
        <w:fldChar w:fldCharType="end"/>
      </w:r>
      <w:r w:rsidR="00E81B07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1F3B22" w:rsidRPr="00F0117E">
        <w:rPr>
          <w:rFonts w:ascii="Times New Roman" w:eastAsia="Times New Roman" w:hAnsi="Times New Roman" w:cs="Times New Roman"/>
          <w:lang w:val="uk-UA"/>
        </w:rPr>
        <w:t xml:space="preserve">Суд вважає розумним, що пеня повинна бути встановлена у розмірі </w:t>
      </w:r>
      <w:r w:rsidR="001F3B22" w:rsidRPr="00F0117E">
        <w:rPr>
          <w:rStyle w:val="hps"/>
          <w:rFonts w:ascii="Times New Roman" w:eastAsia="Times New Roman" w:hAnsi="Times New Roman" w:cs="Times New Roman"/>
          <w:lang w:val="uk-UA"/>
        </w:rPr>
        <w:t>граничної</w:t>
      </w:r>
      <w:r w:rsidR="001F3B22" w:rsidRPr="00F0117E">
        <w:rPr>
          <w:rFonts w:ascii="Times New Roman" w:eastAsia="Times New Roman" w:hAnsi="Times New Roman" w:cs="Times New Roman"/>
          <w:lang w:val="uk-UA"/>
        </w:rPr>
        <w:t xml:space="preserve"> </w:t>
      </w:r>
      <w:r w:rsidR="001F3B22" w:rsidRPr="00F0117E">
        <w:rPr>
          <w:rStyle w:val="hps"/>
          <w:rFonts w:ascii="Times New Roman" w:eastAsia="Times New Roman" w:hAnsi="Times New Roman" w:cs="Times New Roman"/>
          <w:lang w:val="uk-UA"/>
        </w:rPr>
        <w:t>відсоткової</w:t>
      </w:r>
      <w:r w:rsidR="001F3B22" w:rsidRPr="00F0117E">
        <w:rPr>
          <w:rFonts w:ascii="Times New Roman" w:eastAsia="Times New Roman" w:hAnsi="Times New Roman" w:cs="Times New Roman"/>
          <w:lang w:val="uk-UA"/>
        </w:rPr>
        <w:t xml:space="preserve"> </w:t>
      </w:r>
      <w:r w:rsidR="001F3B22" w:rsidRPr="00F0117E">
        <w:rPr>
          <w:rStyle w:val="hps"/>
          <w:rFonts w:ascii="Times New Roman" w:eastAsia="Times New Roman" w:hAnsi="Times New Roman" w:cs="Times New Roman"/>
          <w:lang w:val="uk-UA"/>
        </w:rPr>
        <w:t>ставки Європейського</w:t>
      </w:r>
      <w:r w:rsidR="001F3B22" w:rsidRPr="00F0117E">
        <w:rPr>
          <w:rFonts w:ascii="Times New Roman" w:eastAsia="Times New Roman" w:hAnsi="Times New Roman" w:cs="Times New Roman"/>
          <w:lang w:val="uk-UA"/>
        </w:rPr>
        <w:t xml:space="preserve"> </w:t>
      </w:r>
      <w:r w:rsidR="001F3B22" w:rsidRPr="00F0117E">
        <w:rPr>
          <w:rStyle w:val="hps"/>
          <w:rFonts w:ascii="Times New Roman" w:eastAsia="Times New Roman" w:hAnsi="Times New Roman" w:cs="Times New Roman"/>
          <w:lang w:val="uk-UA"/>
        </w:rPr>
        <w:t>центрального банку,</w:t>
      </w:r>
      <w:r w:rsidR="001F3B22" w:rsidRPr="00F0117E">
        <w:rPr>
          <w:rFonts w:ascii="Times New Roman" w:eastAsia="Times New Roman" w:hAnsi="Times New Roman" w:cs="Times New Roman"/>
          <w:lang w:val="uk-UA"/>
        </w:rPr>
        <w:t xml:space="preserve"> </w:t>
      </w:r>
      <w:r w:rsidR="001F3B22" w:rsidRPr="00F0117E">
        <w:rPr>
          <w:rStyle w:val="hps"/>
          <w:rFonts w:ascii="Times New Roman" w:eastAsia="Times New Roman" w:hAnsi="Times New Roman" w:cs="Times New Roman"/>
          <w:lang w:val="uk-UA"/>
        </w:rPr>
        <w:t>до якої слід</w:t>
      </w:r>
      <w:r w:rsidR="001F3B22" w:rsidRPr="00F0117E">
        <w:rPr>
          <w:rFonts w:ascii="Times New Roman" w:eastAsia="Times New Roman" w:hAnsi="Times New Roman" w:cs="Times New Roman"/>
          <w:lang w:val="uk-UA"/>
        </w:rPr>
        <w:t xml:space="preserve"> </w:t>
      </w:r>
      <w:r w:rsidR="001F3B22" w:rsidRPr="00F0117E">
        <w:rPr>
          <w:rStyle w:val="hps"/>
          <w:rFonts w:ascii="Times New Roman" w:eastAsia="Times New Roman" w:hAnsi="Times New Roman" w:cs="Times New Roman"/>
          <w:lang w:val="uk-UA"/>
        </w:rPr>
        <w:t>додати</w:t>
      </w:r>
      <w:r w:rsidR="001F3B22" w:rsidRPr="00F0117E">
        <w:rPr>
          <w:rFonts w:ascii="Times New Roman" w:eastAsia="Times New Roman" w:hAnsi="Times New Roman" w:cs="Times New Roman"/>
          <w:lang w:val="uk-UA"/>
        </w:rPr>
        <w:t xml:space="preserve"> </w:t>
      </w:r>
      <w:r w:rsidR="001F3B22" w:rsidRPr="00F0117E">
        <w:rPr>
          <w:rStyle w:val="hps"/>
          <w:rFonts w:ascii="Times New Roman" w:eastAsia="Times New Roman" w:hAnsi="Times New Roman" w:cs="Times New Roman"/>
          <w:lang w:val="uk-UA"/>
        </w:rPr>
        <w:t>три відсоткових пункти</w:t>
      </w:r>
      <w:r w:rsidR="00E81B07" w:rsidRPr="00F0117E">
        <w:rPr>
          <w:lang w:val="uk-UA"/>
        </w:rPr>
        <w:t>.</w:t>
      </w:r>
    </w:p>
    <w:p w:rsidR="00E36F4C" w:rsidRPr="00F0117E" w:rsidRDefault="001F3B22" w:rsidP="008B2B31">
      <w:pPr>
        <w:pStyle w:val="ECHRTitle1"/>
        <w:rPr>
          <w:lang w:val="uk-UA"/>
        </w:rPr>
      </w:pPr>
      <w:r w:rsidRPr="00F0117E">
        <w:rPr>
          <w:lang w:val="uk-UA"/>
        </w:rPr>
        <w:t>ЗА ЦИХ ПІДСТАВ СУД</w:t>
      </w:r>
    </w:p>
    <w:p w:rsidR="00E81B07" w:rsidRPr="00F0117E" w:rsidRDefault="00E81B07" w:rsidP="008B2B31">
      <w:pPr>
        <w:pStyle w:val="JuList"/>
        <w:rPr>
          <w:lang w:val="uk-UA"/>
        </w:rPr>
      </w:pPr>
      <w:r w:rsidRPr="00F0117E">
        <w:rPr>
          <w:lang w:val="uk-UA"/>
        </w:rPr>
        <w:t>1.</w:t>
      </w:r>
      <w:r w:rsidR="00FA6D4F" w:rsidRPr="00F0117E">
        <w:rPr>
          <w:lang w:val="uk-UA"/>
        </w:rPr>
        <w:t xml:space="preserve"> </w:t>
      </w:r>
      <w:r w:rsidR="001F3B22" w:rsidRPr="00F0117E">
        <w:rPr>
          <w:i/>
          <w:lang w:val="uk-UA"/>
        </w:rPr>
        <w:t>Постановляє</w:t>
      </w:r>
      <w:r w:rsidRPr="00F0117E">
        <w:rPr>
          <w:lang w:val="uk-UA"/>
        </w:rPr>
        <w:t xml:space="preserve">, </w:t>
      </w:r>
      <w:r w:rsidR="001F3B22" w:rsidRPr="00F0117E">
        <w:rPr>
          <w:lang w:val="uk-UA"/>
        </w:rPr>
        <w:t>одинадцятьма голосами проти шести</w:t>
      </w:r>
      <w:r w:rsidRPr="00F0117E">
        <w:rPr>
          <w:lang w:val="uk-UA"/>
        </w:rPr>
        <w:t xml:space="preserve">, </w:t>
      </w:r>
      <w:r w:rsidR="001F3B22" w:rsidRPr="00F0117E">
        <w:rPr>
          <w:lang w:val="uk-UA"/>
        </w:rPr>
        <w:t>що мало місце порушення статті 8 Конвенції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List"/>
        <w:rPr>
          <w:lang w:val="uk-UA"/>
        </w:rPr>
      </w:pPr>
    </w:p>
    <w:p w:rsidR="00E81B07" w:rsidRPr="00F0117E" w:rsidRDefault="00E81B07" w:rsidP="008B2B31">
      <w:pPr>
        <w:pStyle w:val="JuList"/>
        <w:rPr>
          <w:lang w:val="uk-UA"/>
        </w:rPr>
      </w:pPr>
      <w:r w:rsidRPr="00F0117E">
        <w:rPr>
          <w:lang w:val="uk-UA"/>
        </w:rPr>
        <w:t>2.</w:t>
      </w:r>
      <w:r w:rsidR="00FA6D4F" w:rsidRPr="00F0117E">
        <w:rPr>
          <w:lang w:val="uk-UA"/>
        </w:rPr>
        <w:t xml:space="preserve"> </w:t>
      </w:r>
      <w:r w:rsidR="001F3B22" w:rsidRPr="00F0117E">
        <w:rPr>
          <w:i/>
          <w:lang w:val="uk-UA"/>
        </w:rPr>
        <w:t>Постановляє</w:t>
      </w:r>
      <w:r w:rsidRPr="00F0117E">
        <w:rPr>
          <w:lang w:val="uk-UA"/>
        </w:rPr>
        <w:t xml:space="preserve">, </w:t>
      </w:r>
      <w:r w:rsidR="001F3B22" w:rsidRPr="00F0117E">
        <w:rPr>
          <w:lang w:val="uk-UA"/>
        </w:rPr>
        <w:t>шістнадцятьма голосами проти одного</w:t>
      </w:r>
      <w:r w:rsidR="00D13202" w:rsidRPr="00F0117E">
        <w:rPr>
          <w:lang w:val="uk-UA"/>
        </w:rPr>
        <w:t>,</w:t>
      </w:r>
      <w:r w:rsidRPr="00F0117E">
        <w:rPr>
          <w:lang w:val="uk-UA"/>
        </w:rPr>
        <w:t xml:space="preserve"> </w:t>
      </w:r>
      <w:r w:rsidR="001F3B22" w:rsidRPr="00F0117E">
        <w:rPr>
          <w:lang w:val="uk-UA"/>
        </w:rPr>
        <w:t>що виявлення порушення становить достатню справедливу сатисфакцію</w:t>
      </w:r>
      <w:r w:rsidRPr="00F0117E">
        <w:rPr>
          <w:lang w:val="uk-UA"/>
        </w:rPr>
        <w:t xml:space="preserve"> </w:t>
      </w:r>
      <w:r w:rsidR="001F3B22" w:rsidRPr="00F0117E">
        <w:rPr>
          <w:lang w:val="uk-UA"/>
        </w:rPr>
        <w:t>щодо моральної шкоди, понесеної заявником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List"/>
        <w:rPr>
          <w:lang w:val="uk-UA"/>
        </w:rPr>
      </w:pPr>
    </w:p>
    <w:p w:rsidR="00E36F4C" w:rsidRPr="00F0117E" w:rsidRDefault="00E81B07" w:rsidP="008B2B31">
      <w:pPr>
        <w:pStyle w:val="JuList"/>
        <w:rPr>
          <w:lang w:val="uk-UA"/>
        </w:rPr>
      </w:pPr>
      <w:r w:rsidRPr="00F0117E">
        <w:rPr>
          <w:lang w:val="uk-UA"/>
        </w:rPr>
        <w:t>3.</w:t>
      </w:r>
      <w:r w:rsidR="00FA6D4F" w:rsidRPr="00F0117E">
        <w:rPr>
          <w:lang w:val="uk-UA"/>
        </w:rPr>
        <w:t xml:space="preserve"> </w:t>
      </w:r>
      <w:r w:rsidR="005E62FE" w:rsidRPr="00F0117E">
        <w:rPr>
          <w:i/>
          <w:lang w:val="uk-UA"/>
        </w:rPr>
        <w:t>Постановляє</w:t>
      </w:r>
      <w:r w:rsidRPr="00F0117E">
        <w:rPr>
          <w:lang w:val="uk-UA"/>
        </w:rPr>
        <w:t xml:space="preserve">, </w:t>
      </w:r>
      <w:r w:rsidR="005E62FE" w:rsidRPr="00F0117E">
        <w:rPr>
          <w:lang w:val="uk-UA"/>
        </w:rPr>
        <w:t>чотирнадцятьма голосами проти трьох, що</w:t>
      </w:r>
      <w:r w:rsidRPr="00F0117E">
        <w:rPr>
          <w:lang w:val="uk-UA"/>
        </w:rPr>
        <w:t>,</w:t>
      </w:r>
    </w:p>
    <w:p w:rsidR="00E81B07" w:rsidRPr="00F0117E" w:rsidRDefault="00E81B07" w:rsidP="008B2B31">
      <w:pPr>
        <w:pStyle w:val="JuLista"/>
        <w:rPr>
          <w:lang w:val="uk-UA"/>
        </w:rPr>
      </w:pPr>
      <w:r w:rsidRPr="00F0117E">
        <w:rPr>
          <w:lang w:val="uk-UA"/>
        </w:rPr>
        <w:t>(a)</w:t>
      </w:r>
      <w:r w:rsidR="00FA6D4F" w:rsidRPr="00F0117E">
        <w:rPr>
          <w:lang w:val="uk-UA"/>
        </w:rPr>
        <w:t xml:space="preserve"> </w:t>
      </w:r>
      <w:r w:rsidR="005E62FE" w:rsidRPr="00F0117E">
        <w:rPr>
          <w:lang w:val="uk-UA"/>
        </w:rPr>
        <w:t>держава-відповідач повинна сплатити заявникові</w:t>
      </w:r>
      <w:r w:rsidRPr="00F0117E">
        <w:rPr>
          <w:lang w:val="uk-UA"/>
        </w:rPr>
        <w:t xml:space="preserve">, </w:t>
      </w:r>
      <w:r w:rsidR="005E62FE" w:rsidRPr="00F0117E">
        <w:rPr>
          <w:lang w:val="uk-UA"/>
        </w:rPr>
        <w:t>упродовж трьох місяців</w:t>
      </w:r>
      <w:r w:rsidRPr="00F0117E">
        <w:rPr>
          <w:lang w:val="uk-UA"/>
        </w:rPr>
        <w:t>, EUR 1,365 (</w:t>
      </w:r>
      <w:r w:rsidR="005E62FE" w:rsidRPr="00F0117E">
        <w:rPr>
          <w:lang w:val="uk-UA"/>
        </w:rPr>
        <w:t>одну тисячу триста</w:t>
      </w:r>
      <w:r w:rsidRPr="00F0117E">
        <w:rPr>
          <w:lang w:val="uk-UA"/>
        </w:rPr>
        <w:t xml:space="preserve"> </w:t>
      </w:r>
      <w:r w:rsidR="005E62FE" w:rsidRPr="00F0117E">
        <w:rPr>
          <w:lang w:val="uk-UA"/>
        </w:rPr>
        <w:t>шістдесят п’ять євро</w:t>
      </w:r>
      <w:r w:rsidRPr="00F0117E">
        <w:rPr>
          <w:lang w:val="uk-UA"/>
        </w:rPr>
        <w:t xml:space="preserve">) </w:t>
      </w:r>
      <w:r w:rsidR="005E62FE" w:rsidRPr="00F0117E">
        <w:rPr>
          <w:lang w:val="uk-UA"/>
        </w:rPr>
        <w:t>в якості відшкодування судових витрат</w:t>
      </w:r>
      <w:r w:rsidRPr="00F0117E">
        <w:rPr>
          <w:lang w:val="uk-UA"/>
        </w:rPr>
        <w:t xml:space="preserve">, </w:t>
      </w:r>
      <w:r w:rsidR="005E62FE" w:rsidRPr="00F0117E">
        <w:rPr>
          <w:lang w:val="uk-UA"/>
        </w:rPr>
        <w:t>конвертовані у валюту держави-відповідача за курсом, застосовним на дату виплати</w:t>
      </w:r>
      <w:r w:rsidRPr="00F0117E">
        <w:rPr>
          <w:lang w:val="uk-UA"/>
        </w:rPr>
        <w:t xml:space="preserve">, </w:t>
      </w:r>
      <w:r w:rsidR="005E62FE" w:rsidRPr="00F0117E">
        <w:rPr>
          <w:lang w:val="uk-UA"/>
        </w:rPr>
        <w:t>плюс будь-який податок, який може бути стягнутий з заявника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Lista"/>
        <w:rPr>
          <w:lang w:val="uk-UA"/>
        </w:rPr>
      </w:pPr>
      <w:r w:rsidRPr="00F0117E">
        <w:rPr>
          <w:lang w:val="uk-UA"/>
        </w:rPr>
        <w:t>(b)</w:t>
      </w:r>
      <w:r w:rsidR="00FA6D4F" w:rsidRPr="00F0117E">
        <w:rPr>
          <w:lang w:val="uk-UA"/>
        </w:rPr>
        <w:t xml:space="preserve"> </w:t>
      </w:r>
      <w:r w:rsidR="005E62FE" w:rsidRPr="00F0117E">
        <w:rPr>
          <w:rFonts w:ascii="Times New Roman" w:eastAsia="MS Mincho" w:hAnsi="Times New Roman" w:cs="Times New Roman"/>
          <w:lang w:val="uk-UA" w:eastAsia="en-GB"/>
        </w:rPr>
        <w:t xml:space="preserve">зі спливом зазначеного тримісячного строку і до остаточного розрахунку на </w:t>
      </w:r>
      <w:r w:rsidR="005E62FE" w:rsidRPr="00F0117E">
        <w:rPr>
          <w:rFonts w:eastAsia="MS Mincho"/>
          <w:lang w:val="uk-UA" w:eastAsia="en-GB"/>
        </w:rPr>
        <w:t>цю суму</w:t>
      </w:r>
      <w:r w:rsidR="005E62FE" w:rsidRPr="00F0117E">
        <w:rPr>
          <w:rFonts w:ascii="Times New Roman" w:eastAsia="MS Mincho" w:hAnsi="Times New Roman" w:cs="Times New Roman"/>
          <w:lang w:val="uk-UA" w:eastAsia="en-GB"/>
        </w:rPr>
        <w:t xml:space="preserve"> нараховуватиметься пеня у розмірі </w:t>
      </w:r>
      <w:r w:rsidR="005E62FE" w:rsidRPr="00F0117E">
        <w:rPr>
          <w:rFonts w:ascii="Times New Roman" w:eastAsia="MS Mincho" w:hAnsi="Times New Roman" w:cs="Times New Roman"/>
          <w:lang w:val="uk-UA" w:eastAsia="en-GB"/>
        </w:rPr>
        <w:lastRenderedPageBreak/>
        <w:t>граничної процентної ставки Європейського центрального банку, яка діятиме в період несплати, до якої має бути додано три відсоткові пункти</w:t>
      </w:r>
      <w:r w:rsidRPr="00F0117E">
        <w:rPr>
          <w:lang w:val="uk-UA"/>
        </w:rPr>
        <w:t>;</w:t>
      </w:r>
    </w:p>
    <w:p w:rsidR="00E81B07" w:rsidRPr="00F0117E" w:rsidRDefault="00E81B07" w:rsidP="008B2B31">
      <w:pPr>
        <w:pStyle w:val="JuLista"/>
        <w:rPr>
          <w:lang w:val="uk-UA"/>
        </w:rPr>
      </w:pPr>
    </w:p>
    <w:p w:rsidR="00E81B07" w:rsidRPr="00F0117E" w:rsidRDefault="00E81B07" w:rsidP="008B2B31">
      <w:pPr>
        <w:pStyle w:val="JuList"/>
        <w:rPr>
          <w:lang w:val="uk-UA"/>
        </w:rPr>
      </w:pPr>
      <w:r w:rsidRPr="00F0117E">
        <w:rPr>
          <w:lang w:val="uk-UA"/>
        </w:rPr>
        <w:t>4.</w:t>
      </w:r>
      <w:r w:rsidR="00FA6D4F" w:rsidRPr="00F0117E">
        <w:rPr>
          <w:lang w:val="uk-UA"/>
        </w:rPr>
        <w:t xml:space="preserve"> </w:t>
      </w:r>
      <w:r w:rsidR="0078534F" w:rsidRPr="00F0117E">
        <w:rPr>
          <w:i/>
          <w:lang w:val="uk-UA"/>
        </w:rPr>
        <w:t>Відхиляє</w:t>
      </w:r>
      <w:r w:rsidRPr="00F0117E">
        <w:rPr>
          <w:lang w:val="uk-UA"/>
        </w:rPr>
        <w:t xml:space="preserve">, </w:t>
      </w:r>
      <w:r w:rsidR="0078534F" w:rsidRPr="00F0117E">
        <w:rPr>
          <w:lang w:val="uk-UA"/>
        </w:rPr>
        <w:t>одноголосно, решту вимог заявника щодо справедливої сатисфакції</w:t>
      </w:r>
      <w:r w:rsidRPr="00F0117E">
        <w:rPr>
          <w:lang w:val="uk-UA"/>
        </w:rPr>
        <w:t>.</w:t>
      </w:r>
    </w:p>
    <w:p w:rsidR="00E81B07" w:rsidRPr="00F0117E" w:rsidRDefault="0078534F" w:rsidP="008B2B31">
      <w:pPr>
        <w:pStyle w:val="JuParaLast"/>
        <w:rPr>
          <w:lang w:val="uk-UA"/>
        </w:rPr>
      </w:pPr>
      <w:r w:rsidRPr="00F0117E">
        <w:rPr>
          <w:lang w:val="uk-UA"/>
        </w:rPr>
        <w:t>Складено англійською та французькою мовами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й винесено на відкритому слуханні</w:t>
      </w:r>
      <w:r w:rsidR="00E81B07" w:rsidRPr="00F0117E">
        <w:rPr>
          <w:lang w:val="uk-UA"/>
        </w:rPr>
        <w:t xml:space="preserve"> </w:t>
      </w:r>
      <w:r w:rsidRPr="00F0117E">
        <w:rPr>
          <w:lang w:val="uk-UA"/>
        </w:rPr>
        <w:t>у Будинку прав людини</w:t>
      </w:r>
      <w:r w:rsidR="00E81B07" w:rsidRPr="00F0117E">
        <w:rPr>
          <w:lang w:val="uk-UA"/>
        </w:rPr>
        <w:t xml:space="preserve">, </w:t>
      </w:r>
      <w:r w:rsidRPr="00F0117E">
        <w:rPr>
          <w:lang w:val="uk-UA"/>
        </w:rPr>
        <w:t>Страсбург, 5 вересня</w:t>
      </w:r>
      <w:r w:rsidR="00D13202" w:rsidRPr="00F0117E">
        <w:rPr>
          <w:lang w:val="uk-UA"/>
        </w:rPr>
        <w:t xml:space="preserve"> 2017</w:t>
      </w:r>
      <w:r w:rsidRPr="00F0117E">
        <w:rPr>
          <w:lang w:val="uk-UA"/>
        </w:rPr>
        <w:t xml:space="preserve"> року</w:t>
      </w:r>
      <w:r w:rsidR="00E81B07" w:rsidRPr="00F0117E">
        <w:rPr>
          <w:lang w:val="uk-UA"/>
        </w:rPr>
        <w:t>.</w:t>
      </w:r>
    </w:p>
    <w:p w:rsidR="00E81B07" w:rsidRPr="00F0117E" w:rsidRDefault="00E81B07" w:rsidP="008B2B31">
      <w:pPr>
        <w:pStyle w:val="JuSigned"/>
        <w:rPr>
          <w:lang w:val="uk-UA"/>
        </w:rPr>
      </w:pPr>
      <w:r w:rsidRPr="00F0117E">
        <w:rPr>
          <w:lang w:val="uk-UA"/>
        </w:rPr>
        <w:tab/>
      </w:r>
      <w:r w:rsidR="008B2B31" w:rsidRPr="00F0117E">
        <w:rPr>
          <w:lang w:val="uk-UA"/>
        </w:rPr>
        <w:t xml:space="preserve"> </w:t>
      </w:r>
      <w:proofErr w:type="spellStart"/>
      <w:r w:rsidR="0078534F" w:rsidRPr="00F0117E">
        <w:rPr>
          <w:lang w:val="uk-UA"/>
        </w:rPr>
        <w:t>Сорен</w:t>
      </w:r>
      <w:proofErr w:type="spellEnd"/>
      <w:r w:rsidR="0078534F" w:rsidRPr="00F0117E">
        <w:rPr>
          <w:lang w:val="uk-UA"/>
        </w:rPr>
        <w:t xml:space="preserve"> </w:t>
      </w:r>
      <w:proofErr w:type="spellStart"/>
      <w:r w:rsidR="0078534F" w:rsidRPr="00F0117E">
        <w:rPr>
          <w:lang w:val="uk-UA"/>
        </w:rPr>
        <w:t>Пребенсен</w:t>
      </w:r>
      <w:proofErr w:type="spellEnd"/>
      <w:r w:rsidRPr="00F0117E">
        <w:rPr>
          <w:lang w:val="uk-UA"/>
        </w:rPr>
        <w:tab/>
      </w:r>
      <w:proofErr w:type="spellStart"/>
      <w:r w:rsidR="0078534F" w:rsidRPr="00F0117E">
        <w:rPr>
          <w:lang w:val="uk-UA"/>
        </w:rPr>
        <w:t>Гвідо</w:t>
      </w:r>
      <w:proofErr w:type="spellEnd"/>
      <w:r w:rsidR="0078534F" w:rsidRPr="00F0117E">
        <w:rPr>
          <w:lang w:val="uk-UA"/>
        </w:rPr>
        <w:t xml:space="preserve"> Раймонді</w:t>
      </w:r>
      <w:r w:rsidRPr="00F0117E">
        <w:rPr>
          <w:lang w:val="uk-UA"/>
        </w:rPr>
        <w:br/>
      </w:r>
      <w:r w:rsidRPr="00F0117E">
        <w:rPr>
          <w:lang w:val="uk-UA"/>
        </w:rPr>
        <w:tab/>
      </w:r>
      <w:r w:rsidR="0078534F" w:rsidRPr="00F0117E">
        <w:rPr>
          <w:lang w:val="uk-UA"/>
        </w:rPr>
        <w:t>Заступник секретаря</w:t>
      </w:r>
      <w:r w:rsidRPr="00F0117E">
        <w:rPr>
          <w:lang w:val="uk-UA"/>
        </w:rPr>
        <w:tab/>
      </w:r>
      <w:r w:rsidR="0078534F" w:rsidRPr="00F0117E">
        <w:rPr>
          <w:lang w:val="uk-UA"/>
        </w:rPr>
        <w:t>Головуючий</w:t>
      </w:r>
    </w:p>
    <w:p w:rsidR="0046471C" w:rsidRPr="00F0117E" w:rsidRDefault="0046471C" w:rsidP="008B2B31">
      <w:pPr>
        <w:pStyle w:val="JuParaLast"/>
        <w:rPr>
          <w:lang w:val="uk-UA"/>
        </w:rPr>
      </w:pPr>
    </w:p>
    <w:p w:rsidR="00C70CEA" w:rsidRPr="00F0117E" w:rsidRDefault="0078534F" w:rsidP="008B2B31">
      <w:pPr>
        <w:pStyle w:val="JuParaLast"/>
        <w:rPr>
          <w:lang w:val="uk-UA"/>
        </w:rPr>
      </w:pPr>
      <w:r w:rsidRPr="00F0117E">
        <w:rPr>
          <w:lang w:val="uk-UA"/>
        </w:rPr>
        <w:t>Відповідно до статті</w:t>
      </w:r>
      <w:r w:rsidR="00C70CEA" w:rsidRPr="00F0117E">
        <w:rPr>
          <w:lang w:val="uk-UA"/>
        </w:rPr>
        <w:t xml:space="preserve"> 45 § 2 </w:t>
      </w:r>
      <w:r w:rsidRPr="00F0117E">
        <w:rPr>
          <w:lang w:val="uk-UA"/>
        </w:rPr>
        <w:t>Конвенції та правила</w:t>
      </w:r>
      <w:r w:rsidR="00C70CEA" w:rsidRPr="00F0117E">
        <w:rPr>
          <w:lang w:val="uk-UA"/>
        </w:rPr>
        <w:t xml:space="preserve"> 74 § 2 </w:t>
      </w:r>
      <w:r w:rsidRPr="00F0117E">
        <w:rPr>
          <w:lang w:val="uk-UA"/>
        </w:rPr>
        <w:t>Регламенту Суду, до цього рішення додаються наступні окремі думки</w:t>
      </w:r>
      <w:r w:rsidR="00C70CEA" w:rsidRPr="00F0117E">
        <w:rPr>
          <w:lang w:val="uk-UA"/>
        </w:rPr>
        <w:t>:</w:t>
      </w:r>
    </w:p>
    <w:p w:rsidR="008E63DE" w:rsidRPr="00F0117E" w:rsidRDefault="00C70CEA" w:rsidP="008B2B31">
      <w:pPr>
        <w:pStyle w:val="ECHRPara"/>
        <w:rPr>
          <w:lang w:val="uk-UA"/>
        </w:rPr>
      </w:pPr>
      <w:r w:rsidRPr="00F0117E">
        <w:rPr>
          <w:lang w:val="uk-UA"/>
        </w:rPr>
        <w:t>(a)</w:t>
      </w:r>
      <w:r w:rsidR="00FA6D4F" w:rsidRPr="00F0117E">
        <w:rPr>
          <w:lang w:val="uk-UA"/>
        </w:rPr>
        <w:t xml:space="preserve"> </w:t>
      </w:r>
      <w:r w:rsidR="0078534F" w:rsidRPr="00F0117E">
        <w:rPr>
          <w:lang w:val="uk-UA"/>
        </w:rPr>
        <w:t xml:space="preserve">частково окрема думка судді </w:t>
      </w:r>
      <w:proofErr w:type="spellStart"/>
      <w:r w:rsidR="0078534F" w:rsidRPr="00F0117E">
        <w:rPr>
          <w:lang w:val="uk-UA"/>
        </w:rPr>
        <w:t>Каракаша</w:t>
      </w:r>
      <w:proofErr w:type="spellEnd"/>
      <w:r w:rsidR="008E63DE" w:rsidRPr="00F0117E">
        <w:rPr>
          <w:lang w:val="uk-UA"/>
        </w:rPr>
        <w:t>;</w:t>
      </w:r>
    </w:p>
    <w:p w:rsidR="00C70CEA" w:rsidRPr="00F0117E" w:rsidRDefault="00C70CEA" w:rsidP="008B2B31">
      <w:pPr>
        <w:pStyle w:val="ECHRPara"/>
        <w:rPr>
          <w:lang w:val="uk-UA"/>
        </w:rPr>
      </w:pPr>
      <w:r w:rsidRPr="00F0117E">
        <w:rPr>
          <w:lang w:val="uk-UA"/>
        </w:rPr>
        <w:t>(b)</w:t>
      </w:r>
      <w:r w:rsidR="00FA6D4F" w:rsidRPr="00F0117E">
        <w:rPr>
          <w:lang w:val="uk-UA"/>
        </w:rPr>
        <w:t xml:space="preserve"> </w:t>
      </w:r>
      <w:r w:rsidR="0078534F" w:rsidRPr="00F0117E">
        <w:rPr>
          <w:lang w:val="uk-UA"/>
        </w:rPr>
        <w:t>спільна окрема думка суддів</w:t>
      </w:r>
      <w:r w:rsidRPr="00F0117E">
        <w:rPr>
          <w:lang w:val="uk-UA"/>
        </w:rPr>
        <w:t xml:space="preserve"> </w:t>
      </w:r>
      <w:r w:rsidR="0078534F" w:rsidRPr="00F0117E">
        <w:rPr>
          <w:lang w:val="uk-UA"/>
        </w:rPr>
        <w:t xml:space="preserve">Раймонді, </w:t>
      </w:r>
      <w:proofErr w:type="spellStart"/>
      <w:r w:rsidR="0078534F" w:rsidRPr="00F0117E">
        <w:rPr>
          <w:lang w:val="uk-UA"/>
        </w:rPr>
        <w:t>Дєдова</w:t>
      </w:r>
      <w:proofErr w:type="spellEnd"/>
      <w:r w:rsidR="008E63DE" w:rsidRPr="00F0117E">
        <w:rPr>
          <w:lang w:val="uk-UA"/>
        </w:rPr>
        <w:t xml:space="preserve">, </w:t>
      </w:r>
      <w:proofErr w:type="spellStart"/>
      <w:r w:rsidR="0078534F" w:rsidRPr="00F0117E">
        <w:rPr>
          <w:lang w:val="uk-UA"/>
        </w:rPr>
        <w:t>Кйолбро</w:t>
      </w:r>
      <w:proofErr w:type="spellEnd"/>
      <w:r w:rsidR="0078534F" w:rsidRPr="00F0117E">
        <w:rPr>
          <w:lang w:val="uk-UA"/>
        </w:rPr>
        <w:t xml:space="preserve">, </w:t>
      </w:r>
      <w:proofErr w:type="spellStart"/>
      <w:r w:rsidR="0078534F" w:rsidRPr="00F0117E">
        <w:rPr>
          <w:lang w:val="uk-UA"/>
        </w:rPr>
        <w:t>Мітса</w:t>
      </w:r>
      <w:proofErr w:type="spellEnd"/>
      <w:r w:rsidR="008E63DE" w:rsidRPr="00F0117E">
        <w:rPr>
          <w:lang w:val="uk-UA"/>
        </w:rPr>
        <w:t xml:space="preserve">, </w:t>
      </w:r>
      <w:proofErr w:type="spellStart"/>
      <w:r w:rsidR="0078534F" w:rsidRPr="00F0117E">
        <w:rPr>
          <w:lang w:val="uk-UA"/>
        </w:rPr>
        <w:t>Муру-Вікстрьом</w:t>
      </w:r>
      <w:proofErr w:type="spellEnd"/>
      <w:r w:rsidR="0078534F" w:rsidRPr="00F0117E">
        <w:rPr>
          <w:lang w:val="uk-UA"/>
        </w:rPr>
        <w:t xml:space="preserve"> та </w:t>
      </w:r>
      <w:proofErr w:type="spellStart"/>
      <w:r w:rsidR="0078534F" w:rsidRPr="00F0117E">
        <w:rPr>
          <w:lang w:val="uk-UA"/>
        </w:rPr>
        <w:t>Айке</w:t>
      </w:r>
      <w:proofErr w:type="spellEnd"/>
      <w:r w:rsidRPr="00F0117E">
        <w:rPr>
          <w:lang w:val="uk-UA"/>
        </w:rPr>
        <w:t>.</w:t>
      </w:r>
    </w:p>
    <w:p w:rsidR="000169B9" w:rsidRPr="00F0117E" w:rsidRDefault="00C70CEA" w:rsidP="008B2B31">
      <w:pPr>
        <w:pStyle w:val="JuInitialled"/>
        <w:rPr>
          <w:lang w:val="uk-UA"/>
        </w:rPr>
      </w:pPr>
      <w:r w:rsidRPr="00F0117E">
        <w:rPr>
          <w:lang w:val="uk-UA"/>
        </w:rPr>
        <w:t>G.R.</w:t>
      </w:r>
      <w:r w:rsidRPr="00F0117E">
        <w:rPr>
          <w:lang w:val="uk-UA"/>
        </w:rPr>
        <w:br/>
        <w:t>S.C.P.</w:t>
      </w:r>
    </w:p>
    <w:p w:rsidR="00E36F4C" w:rsidRPr="00F0117E" w:rsidRDefault="00E36F4C" w:rsidP="008B2B31">
      <w:pPr>
        <w:pStyle w:val="JuInitialled"/>
        <w:rPr>
          <w:lang w:val="uk-UA"/>
        </w:rPr>
        <w:sectPr w:rsidR="00E36F4C" w:rsidRPr="00F0117E">
          <w:headerReference w:type="even" r:id="rId13"/>
          <w:headerReference w:type="default" r:id="rId14"/>
          <w:footerReference w:type="default" r:id="rId15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</w:sectPr>
      </w:pPr>
    </w:p>
    <w:p w:rsidR="000169B9" w:rsidRPr="00F0117E" w:rsidRDefault="007A7065" w:rsidP="008B2B31">
      <w:pPr>
        <w:pStyle w:val="ECHRTitleCentre1"/>
        <w:rPr>
          <w:lang w:val="uk-UA"/>
        </w:rPr>
      </w:pPr>
      <w:r w:rsidRPr="00F0117E">
        <w:rPr>
          <w:lang w:val="uk-UA"/>
        </w:rPr>
        <w:lastRenderedPageBreak/>
        <w:t>ЧАСТКОВО ОКРЕМА ДУМКА СУДДІ КАРАКАША</w:t>
      </w:r>
    </w:p>
    <w:p w:rsidR="000169B9" w:rsidRPr="00F0117E" w:rsidRDefault="000169B9" w:rsidP="008B2B31">
      <w:pPr>
        <w:pStyle w:val="OpiTranslation"/>
        <w:rPr>
          <w:lang w:val="uk-UA"/>
        </w:rPr>
      </w:pPr>
      <w:r w:rsidRPr="00F0117E">
        <w:rPr>
          <w:lang w:val="uk-UA"/>
        </w:rPr>
        <w:t>(</w:t>
      </w:r>
      <w:r w:rsidR="0057542B" w:rsidRPr="00F0117E">
        <w:rPr>
          <w:lang w:val="uk-UA"/>
        </w:rPr>
        <w:t>Переклад</w:t>
      </w:r>
      <w:r w:rsidRPr="00F0117E">
        <w:rPr>
          <w:lang w:val="uk-UA"/>
        </w:rPr>
        <w:t>)</w:t>
      </w:r>
    </w:p>
    <w:p w:rsidR="000169B9" w:rsidRPr="00F0117E" w:rsidRDefault="000169B9" w:rsidP="008B2B31">
      <w:pPr>
        <w:pStyle w:val="OpiPara"/>
        <w:rPr>
          <w:lang w:val="uk-UA"/>
        </w:rPr>
      </w:pPr>
    </w:p>
    <w:p w:rsidR="00E36F4C" w:rsidRPr="00F0117E" w:rsidRDefault="0057542B" w:rsidP="008B2B31">
      <w:pPr>
        <w:pStyle w:val="OpiPara"/>
        <w:rPr>
          <w:lang w:val="uk-UA"/>
        </w:rPr>
      </w:pPr>
      <w:r w:rsidRPr="00F0117E">
        <w:rPr>
          <w:lang w:val="uk-UA"/>
        </w:rPr>
        <w:t>Я повністю погоджуюся з висновком більшості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про порушення статті 8 Конвенції</w:t>
      </w:r>
      <w:r w:rsidR="000169B9" w:rsidRPr="00F0117E">
        <w:rPr>
          <w:lang w:val="uk-UA"/>
        </w:rPr>
        <w:t>.</w:t>
      </w:r>
    </w:p>
    <w:p w:rsidR="00E36F4C" w:rsidRPr="00F0117E" w:rsidRDefault="0057542B" w:rsidP="008B2B31">
      <w:pPr>
        <w:pStyle w:val="OpiPara"/>
        <w:rPr>
          <w:lang w:val="uk-UA"/>
        </w:rPr>
      </w:pPr>
      <w:r w:rsidRPr="00F0117E">
        <w:rPr>
          <w:lang w:val="uk-UA"/>
        </w:rPr>
        <w:t>Однак, я не розділяю висновок більшості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про те, що визнання порушення становить достатню справедливу сатисфакцію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щодо моральної шкоди, понесеної заявником</w:t>
      </w:r>
      <w:r w:rsidR="000169B9" w:rsidRPr="00F0117E">
        <w:rPr>
          <w:lang w:val="uk-UA"/>
        </w:rPr>
        <w:t>.</w:t>
      </w:r>
    </w:p>
    <w:p w:rsidR="000169B9" w:rsidRPr="00F0117E" w:rsidRDefault="0057542B" w:rsidP="008B2B31">
      <w:pPr>
        <w:pStyle w:val="OpiPara"/>
        <w:tabs>
          <w:tab w:val="left" w:pos="5245"/>
          <w:tab w:val="left" w:pos="6379"/>
        </w:tabs>
        <w:rPr>
          <w:lang w:val="uk-UA"/>
        </w:rPr>
      </w:pPr>
      <w:r w:rsidRPr="00F0117E">
        <w:rPr>
          <w:lang w:val="uk-UA"/>
        </w:rPr>
        <w:t>Очевидно, що відповідно до статті 41 Суд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вирішує присудити певну суму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в якості відшкодування моральної шкоди,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якщо вважає за «необхідне» присудити відшкодування</w:t>
      </w:r>
      <w:r w:rsidR="000169B9" w:rsidRPr="00F0117E">
        <w:rPr>
          <w:lang w:val="uk-UA"/>
        </w:rPr>
        <w:t xml:space="preserve">. </w:t>
      </w:r>
      <w:r w:rsidRPr="00F0117E">
        <w:rPr>
          <w:lang w:val="uk-UA"/>
        </w:rPr>
        <w:t>Оскільки Суд має значну свободу визначати,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в яких справах слід присудити відшкодування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заявникам</w:t>
      </w:r>
      <w:r w:rsidR="000169B9" w:rsidRPr="00F0117E">
        <w:rPr>
          <w:lang w:val="uk-UA"/>
        </w:rPr>
        <w:t xml:space="preserve">, </w:t>
      </w:r>
      <w:r w:rsidRPr="00F0117E">
        <w:rPr>
          <w:lang w:val="uk-UA"/>
        </w:rPr>
        <w:t>він іноді робить висновки про те, що визнання порушення становить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достатню справедливу сатисфакцію,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і що у присудженні грошової компенсації немає необхідності</w:t>
      </w:r>
      <w:r w:rsidR="000169B9" w:rsidRPr="00F0117E">
        <w:rPr>
          <w:lang w:val="uk-UA"/>
        </w:rPr>
        <w:t xml:space="preserve"> (</w:t>
      </w:r>
      <w:r w:rsidRPr="00F0117E">
        <w:rPr>
          <w:lang w:val="uk-UA"/>
        </w:rPr>
        <w:t>див., серед багатьох інших</w:t>
      </w:r>
      <w:r w:rsidR="000169B9" w:rsidRPr="00F0117E">
        <w:rPr>
          <w:lang w:val="uk-UA"/>
        </w:rPr>
        <w:t xml:space="preserve">, </w:t>
      </w:r>
      <w:proofErr w:type="spellStart"/>
      <w:r w:rsidR="000169B9" w:rsidRPr="00F0117E">
        <w:rPr>
          <w:i/>
          <w:lang w:val="uk-UA"/>
        </w:rPr>
        <w:t>Nikolova</w:t>
      </w:r>
      <w:proofErr w:type="spellEnd"/>
      <w:r w:rsidR="000169B9" w:rsidRPr="00F0117E">
        <w:rPr>
          <w:i/>
          <w:lang w:val="uk-UA"/>
        </w:rPr>
        <w:t xml:space="preserve"> v. </w:t>
      </w:r>
      <w:proofErr w:type="spellStart"/>
      <w:r w:rsidR="000169B9" w:rsidRPr="00F0117E">
        <w:rPr>
          <w:i/>
          <w:lang w:val="uk-UA"/>
        </w:rPr>
        <w:t>Bulgaria</w:t>
      </w:r>
      <w:proofErr w:type="spellEnd"/>
      <w:r w:rsidR="000169B9" w:rsidRPr="00F0117E">
        <w:rPr>
          <w:lang w:val="uk-UA"/>
        </w:rPr>
        <w:t xml:space="preserve">, </w:t>
      </w:r>
      <w:r w:rsidR="00F10AFC" w:rsidRPr="00F0117E">
        <w:rPr>
          <w:lang w:val="uk-UA"/>
        </w:rPr>
        <w:t>№</w:t>
      </w:r>
      <w:r w:rsidR="000169B9" w:rsidRPr="00F0117E">
        <w:rPr>
          <w:lang w:val="uk-UA"/>
        </w:rPr>
        <w:t xml:space="preserve"> 31195/96, § 76, ECHR 1999-II; </w:t>
      </w:r>
      <w:proofErr w:type="spellStart"/>
      <w:r w:rsidR="000169B9" w:rsidRPr="00F0117E">
        <w:rPr>
          <w:i/>
          <w:lang w:val="uk-UA"/>
        </w:rPr>
        <w:t>Vinter</w:t>
      </w:r>
      <w:proofErr w:type="spellEnd"/>
      <w:r w:rsidR="000169B9" w:rsidRPr="00F0117E">
        <w:rPr>
          <w:i/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and</w:t>
      </w:r>
      <w:proofErr w:type="spellEnd"/>
      <w:r w:rsidR="000169B9" w:rsidRPr="00F0117E">
        <w:rPr>
          <w:i/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Others</w:t>
      </w:r>
      <w:proofErr w:type="spellEnd"/>
      <w:r w:rsidR="000169B9" w:rsidRPr="00F0117E">
        <w:rPr>
          <w:i/>
          <w:lang w:val="uk-UA"/>
        </w:rPr>
        <w:t xml:space="preserve"> v. </w:t>
      </w:r>
      <w:proofErr w:type="spellStart"/>
      <w:r w:rsidR="000169B9" w:rsidRPr="00F0117E">
        <w:rPr>
          <w:i/>
          <w:lang w:val="uk-UA"/>
        </w:rPr>
        <w:t>the</w:t>
      </w:r>
      <w:proofErr w:type="spellEnd"/>
      <w:r w:rsidR="000169B9" w:rsidRPr="00F0117E">
        <w:rPr>
          <w:i/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United</w:t>
      </w:r>
      <w:proofErr w:type="spellEnd"/>
      <w:r w:rsidR="000169B9" w:rsidRPr="00F0117E">
        <w:rPr>
          <w:i/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Kingdom</w:t>
      </w:r>
      <w:proofErr w:type="spellEnd"/>
      <w:r w:rsidR="000169B9" w:rsidRPr="00F0117E">
        <w:rPr>
          <w:lang w:val="uk-UA"/>
        </w:rPr>
        <w:t xml:space="preserve"> [GC], </w:t>
      </w:r>
      <w:r w:rsidR="00F10AFC" w:rsidRPr="00F0117E">
        <w:rPr>
          <w:lang w:val="uk-UA"/>
        </w:rPr>
        <w:t>№№</w:t>
      </w:r>
      <w:r w:rsidR="000169B9" w:rsidRPr="00F0117E">
        <w:rPr>
          <w:lang w:val="uk-UA"/>
        </w:rPr>
        <w:t xml:space="preserve"> 66069/09 </w:t>
      </w:r>
      <w:r w:rsidR="00F10AFC" w:rsidRPr="00F0117E">
        <w:rPr>
          <w:lang w:val="uk-UA"/>
        </w:rPr>
        <w:t>та 2 інших</w:t>
      </w:r>
      <w:r w:rsidR="000169B9" w:rsidRPr="00F0117E">
        <w:rPr>
          <w:lang w:val="uk-UA"/>
        </w:rPr>
        <w:t>, ECHR 2013 (</w:t>
      </w:r>
      <w:r w:rsidR="00F10AFC" w:rsidRPr="00F0117E">
        <w:rPr>
          <w:lang w:val="uk-UA"/>
        </w:rPr>
        <w:t>витяги</w:t>
      </w:r>
      <w:r w:rsidR="000169B9" w:rsidRPr="00F0117E">
        <w:rPr>
          <w:lang w:val="uk-UA"/>
        </w:rPr>
        <w:t xml:space="preserve">); </w:t>
      </w:r>
      <w:r w:rsidR="00F10AFC" w:rsidRPr="00F0117E">
        <w:rPr>
          <w:lang w:val="uk-UA"/>
        </w:rPr>
        <w:t>та</w:t>
      </w:r>
      <w:r w:rsidR="000169B9" w:rsidRPr="00F0117E">
        <w:rPr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Murray</w:t>
      </w:r>
      <w:proofErr w:type="spellEnd"/>
      <w:r w:rsidR="000169B9" w:rsidRPr="00F0117E">
        <w:rPr>
          <w:i/>
          <w:lang w:val="uk-UA"/>
        </w:rPr>
        <w:t xml:space="preserve"> v. </w:t>
      </w:r>
      <w:proofErr w:type="spellStart"/>
      <w:r w:rsidR="000169B9" w:rsidRPr="00F0117E">
        <w:rPr>
          <w:i/>
          <w:lang w:val="uk-UA"/>
        </w:rPr>
        <w:t>the</w:t>
      </w:r>
      <w:proofErr w:type="spellEnd"/>
      <w:r w:rsidR="000169B9" w:rsidRPr="00F0117E">
        <w:rPr>
          <w:i/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Netherlands</w:t>
      </w:r>
      <w:proofErr w:type="spellEnd"/>
      <w:r w:rsidR="000169B9" w:rsidRPr="00F0117E">
        <w:rPr>
          <w:lang w:val="uk-UA"/>
        </w:rPr>
        <w:t xml:space="preserve"> [GC], </w:t>
      </w:r>
      <w:r w:rsidR="00F10AFC" w:rsidRPr="00F0117E">
        <w:rPr>
          <w:lang w:val="uk-UA"/>
        </w:rPr>
        <w:t>№</w:t>
      </w:r>
      <w:r w:rsidR="000169B9" w:rsidRPr="00F0117E">
        <w:rPr>
          <w:lang w:val="uk-UA"/>
        </w:rPr>
        <w:t xml:space="preserve"> 10511/10, ECHR 2016). </w:t>
      </w:r>
      <w:r w:rsidR="00F10AFC" w:rsidRPr="00F0117E">
        <w:rPr>
          <w:lang w:val="uk-UA"/>
        </w:rPr>
        <w:t>Для досягнення такого висновку Суд приймає до уваги всі факти</w:t>
      </w:r>
      <w:r w:rsidR="000169B9" w:rsidRPr="00F0117E">
        <w:rPr>
          <w:lang w:val="uk-UA"/>
        </w:rPr>
        <w:t xml:space="preserve"> </w:t>
      </w:r>
      <w:r w:rsidR="00F10AFC" w:rsidRPr="00F0117E">
        <w:rPr>
          <w:lang w:val="uk-UA"/>
        </w:rPr>
        <w:t>справи, у тому числі характер</w:t>
      </w:r>
      <w:r w:rsidR="000169B9" w:rsidRPr="00F0117E">
        <w:rPr>
          <w:lang w:val="uk-UA"/>
        </w:rPr>
        <w:t xml:space="preserve"> </w:t>
      </w:r>
      <w:r w:rsidR="00F10AFC" w:rsidRPr="00F0117E">
        <w:rPr>
          <w:lang w:val="uk-UA"/>
        </w:rPr>
        <w:t>визнаних порушень та будь-які особливі обставини,</w:t>
      </w:r>
      <w:r w:rsidR="000169B9" w:rsidRPr="00F0117E">
        <w:rPr>
          <w:lang w:val="uk-UA"/>
        </w:rPr>
        <w:t xml:space="preserve"> </w:t>
      </w:r>
      <w:r w:rsidR="00F10AFC" w:rsidRPr="00F0117E">
        <w:rPr>
          <w:lang w:val="uk-UA"/>
        </w:rPr>
        <w:t>які є важливими для контексту справи</w:t>
      </w:r>
      <w:r w:rsidR="000169B9" w:rsidRPr="00F0117E">
        <w:rPr>
          <w:lang w:val="uk-UA"/>
        </w:rPr>
        <w:t xml:space="preserve"> (</w:t>
      </w:r>
      <w:r w:rsidR="00F10AFC" w:rsidRPr="00F0117E">
        <w:rPr>
          <w:lang w:val="uk-UA"/>
        </w:rPr>
        <w:t>див., наприклад</w:t>
      </w:r>
      <w:r w:rsidR="000169B9" w:rsidRPr="00F0117E">
        <w:rPr>
          <w:lang w:val="uk-UA"/>
        </w:rPr>
        <w:t xml:space="preserve">, </w:t>
      </w:r>
      <w:proofErr w:type="spellStart"/>
      <w:r w:rsidR="000169B9" w:rsidRPr="00F0117E">
        <w:rPr>
          <w:i/>
          <w:lang w:val="uk-UA"/>
        </w:rPr>
        <w:t>Vinter</w:t>
      </w:r>
      <w:proofErr w:type="spellEnd"/>
      <w:r w:rsidR="000169B9" w:rsidRPr="00F0117E">
        <w:rPr>
          <w:i/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and</w:t>
      </w:r>
      <w:proofErr w:type="spellEnd"/>
      <w:r w:rsidR="000169B9" w:rsidRPr="00F0117E">
        <w:rPr>
          <w:i/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Others</w:t>
      </w:r>
      <w:proofErr w:type="spellEnd"/>
      <w:r w:rsidR="000169B9" w:rsidRPr="00F0117E">
        <w:rPr>
          <w:lang w:val="uk-UA"/>
        </w:rPr>
        <w:t xml:space="preserve">, </w:t>
      </w:r>
      <w:proofErr w:type="spellStart"/>
      <w:r w:rsidR="00F10AFC" w:rsidRPr="00F0117E">
        <w:rPr>
          <w:lang w:val="uk-UA"/>
        </w:rPr>
        <w:t>цит</w:t>
      </w:r>
      <w:proofErr w:type="spellEnd"/>
      <w:r w:rsidR="00F10AFC" w:rsidRPr="00F0117E">
        <w:rPr>
          <w:lang w:val="uk-UA"/>
        </w:rPr>
        <w:t>. вище</w:t>
      </w:r>
      <w:r w:rsidR="000169B9" w:rsidRPr="00F0117E">
        <w:rPr>
          <w:lang w:val="uk-UA"/>
        </w:rPr>
        <w:t xml:space="preserve">, </w:t>
      </w:r>
      <w:r w:rsidR="00F10AFC" w:rsidRPr="00F0117E">
        <w:rPr>
          <w:lang w:val="uk-UA"/>
        </w:rPr>
        <w:t xml:space="preserve">та спільну частково окрему думку суддів Шпільмана, </w:t>
      </w:r>
      <w:proofErr w:type="spellStart"/>
      <w:r w:rsidR="00F10AFC" w:rsidRPr="00F0117E">
        <w:rPr>
          <w:lang w:val="uk-UA"/>
        </w:rPr>
        <w:t>Саджо</w:t>
      </w:r>
      <w:proofErr w:type="spellEnd"/>
      <w:r w:rsidR="000169B9" w:rsidRPr="00F0117E">
        <w:rPr>
          <w:lang w:val="uk-UA"/>
        </w:rPr>
        <w:t xml:space="preserve">, </w:t>
      </w:r>
      <w:proofErr w:type="spellStart"/>
      <w:r w:rsidR="00F10AFC" w:rsidRPr="00F0117E">
        <w:rPr>
          <w:lang w:val="uk-UA"/>
        </w:rPr>
        <w:t>Каракаша</w:t>
      </w:r>
      <w:proofErr w:type="spellEnd"/>
      <w:r w:rsidR="00F10AFC" w:rsidRPr="00F0117E">
        <w:rPr>
          <w:lang w:val="uk-UA"/>
        </w:rPr>
        <w:t xml:space="preserve"> й Пінто де </w:t>
      </w:r>
      <w:proofErr w:type="spellStart"/>
      <w:r w:rsidR="00F10AFC" w:rsidRPr="00F0117E">
        <w:rPr>
          <w:lang w:val="uk-UA"/>
        </w:rPr>
        <w:t>Альбукерке</w:t>
      </w:r>
      <w:proofErr w:type="spellEnd"/>
      <w:r w:rsidR="00F10AFC" w:rsidRPr="00F0117E">
        <w:rPr>
          <w:lang w:val="uk-UA"/>
        </w:rPr>
        <w:t xml:space="preserve"> у справі</w:t>
      </w:r>
      <w:r w:rsidR="000169B9" w:rsidRPr="00F0117E">
        <w:rPr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Murray</w:t>
      </w:r>
      <w:proofErr w:type="spellEnd"/>
      <w:r w:rsidR="000169B9" w:rsidRPr="00F0117E">
        <w:rPr>
          <w:lang w:val="uk-UA"/>
        </w:rPr>
        <w:t xml:space="preserve">, </w:t>
      </w:r>
      <w:proofErr w:type="spellStart"/>
      <w:r w:rsidR="00F10AFC" w:rsidRPr="00F0117E">
        <w:rPr>
          <w:lang w:val="uk-UA"/>
        </w:rPr>
        <w:t>цит</w:t>
      </w:r>
      <w:proofErr w:type="spellEnd"/>
      <w:r w:rsidR="00F10AFC" w:rsidRPr="00F0117E">
        <w:rPr>
          <w:lang w:val="uk-UA"/>
        </w:rPr>
        <w:t>. вище</w:t>
      </w:r>
      <w:r w:rsidR="000169B9" w:rsidRPr="00F0117E">
        <w:rPr>
          <w:lang w:val="uk-UA"/>
        </w:rPr>
        <w:t xml:space="preserve">). </w:t>
      </w:r>
      <w:r w:rsidR="0012451C" w:rsidRPr="00F0117E">
        <w:rPr>
          <w:lang w:val="uk-UA"/>
        </w:rPr>
        <w:t>Ко</w:t>
      </w:r>
      <w:r w:rsidR="00BD168A" w:rsidRPr="00F0117E">
        <w:rPr>
          <w:lang w:val="uk-UA"/>
        </w:rPr>
        <w:t>ли це виправдано обставинами справи</w:t>
      </w:r>
      <w:r w:rsidR="000169B9" w:rsidRPr="00F0117E">
        <w:rPr>
          <w:lang w:val="uk-UA"/>
        </w:rPr>
        <w:t xml:space="preserve">, </w:t>
      </w:r>
      <w:r w:rsidR="00BD168A" w:rsidRPr="00F0117E">
        <w:rPr>
          <w:lang w:val="uk-UA"/>
        </w:rPr>
        <w:t>як у справі</w:t>
      </w:r>
      <w:r w:rsidR="000169B9" w:rsidRPr="00F0117E">
        <w:rPr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McCann</w:t>
      </w:r>
      <w:proofErr w:type="spellEnd"/>
      <w:r w:rsidR="000169B9" w:rsidRPr="00F0117E">
        <w:rPr>
          <w:i/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and</w:t>
      </w:r>
      <w:proofErr w:type="spellEnd"/>
      <w:r w:rsidR="000169B9" w:rsidRPr="00F0117E">
        <w:rPr>
          <w:i/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Others</w:t>
      </w:r>
      <w:proofErr w:type="spellEnd"/>
      <w:r w:rsidR="000169B9" w:rsidRPr="00F0117E">
        <w:rPr>
          <w:i/>
          <w:lang w:val="uk-UA"/>
        </w:rPr>
        <w:t xml:space="preserve"> v. </w:t>
      </w:r>
      <w:proofErr w:type="spellStart"/>
      <w:r w:rsidR="000169B9" w:rsidRPr="00F0117E">
        <w:rPr>
          <w:i/>
          <w:lang w:val="uk-UA"/>
        </w:rPr>
        <w:t>the</w:t>
      </w:r>
      <w:proofErr w:type="spellEnd"/>
      <w:r w:rsidR="000169B9" w:rsidRPr="00F0117E">
        <w:rPr>
          <w:i/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United</w:t>
      </w:r>
      <w:proofErr w:type="spellEnd"/>
      <w:r w:rsidR="000169B9" w:rsidRPr="00F0117E">
        <w:rPr>
          <w:i/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Kingdom</w:t>
      </w:r>
      <w:proofErr w:type="spellEnd"/>
      <w:r w:rsidR="000169B9" w:rsidRPr="00F0117E">
        <w:rPr>
          <w:lang w:val="uk-UA"/>
        </w:rPr>
        <w:t xml:space="preserve"> (27 </w:t>
      </w:r>
      <w:r w:rsidR="00BD168A" w:rsidRPr="00F0117E">
        <w:rPr>
          <w:lang w:val="uk-UA"/>
        </w:rPr>
        <w:t>вересня</w:t>
      </w:r>
      <w:r w:rsidR="000169B9" w:rsidRPr="00F0117E">
        <w:rPr>
          <w:lang w:val="uk-UA"/>
        </w:rPr>
        <w:t xml:space="preserve"> 1995, § 219, </w:t>
      </w:r>
      <w:r w:rsidR="00BD168A" w:rsidRPr="00F0117E">
        <w:rPr>
          <w:lang w:val="uk-UA"/>
        </w:rPr>
        <w:t>серія</w:t>
      </w:r>
      <w:r w:rsidR="000169B9" w:rsidRPr="00F0117E">
        <w:rPr>
          <w:lang w:val="uk-UA"/>
        </w:rPr>
        <w:t xml:space="preserve"> A </w:t>
      </w:r>
      <w:r w:rsidR="0012451C" w:rsidRPr="00F0117E">
        <w:rPr>
          <w:lang w:val="uk-UA"/>
        </w:rPr>
        <w:t>№</w:t>
      </w:r>
      <w:r w:rsidR="000169B9" w:rsidRPr="00F0117E">
        <w:rPr>
          <w:lang w:val="uk-UA"/>
        </w:rPr>
        <w:t xml:space="preserve"> 324), </w:t>
      </w:r>
      <w:r w:rsidR="0012451C" w:rsidRPr="00F0117E">
        <w:rPr>
          <w:lang w:val="uk-UA"/>
        </w:rPr>
        <w:t>в якій Суд відмовився присудити будь-яку суму</w:t>
      </w:r>
      <w:r w:rsidR="000169B9" w:rsidRPr="00F0117E">
        <w:rPr>
          <w:lang w:val="uk-UA"/>
        </w:rPr>
        <w:t xml:space="preserve"> </w:t>
      </w:r>
      <w:r w:rsidR="0012451C" w:rsidRPr="00F0117E">
        <w:rPr>
          <w:lang w:val="uk-UA"/>
        </w:rPr>
        <w:t>в якості відшкодування моральної шкоди,</w:t>
      </w:r>
      <w:r w:rsidR="000169B9" w:rsidRPr="00F0117E">
        <w:rPr>
          <w:lang w:val="uk-UA"/>
        </w:rPr>
        <w:t xml:space="preserve"> </w:t>
      </w:r>
      <w:r w:rsidR="0012451C" w:rsidRPr="00F0117E">
        <w:rPr>
          <w:lang w:val="uk-UA"/>
        </w:rPr>
        <w:t>з оглядом на той факт, що три особи, підозрюваних у тероризмі,</w:t>
      </w:r>
      <w:r w:rsidR="000169B9" w:rsidRPr="00F0117E">
        <w:rPr>
          <w:lang w:val="uk-UA"/>
        </w:rPr>
        <w:t xml:space="preserve"> </w:t>
      </w:r>
      <w:r w:rsidR="0012451C" w:rsidRPr="00F0117E">
        <w:rPr>
          <w:lang w:val="uk-UA"/>
        </w:rPr>
        <w:t>які були вбиті, планували підірвати бомбу у Гібралтарі</w:t>
      </w:r>
      <w:r w:rsidR="000169B9" w:rsidRPr="00F0117E">
        <w:rPr>
          <w:lang w:val="uk-UA"/>
        </w:rPr>
        <w:t xml:space="preserve">, </w:t>
      </w:r>
      <w:r w:rsidR="0012451C" w:rsidRPr="00F0117E">
        <w:rPr>
          <w:lang w:val="uk-UA"/>
        </w:rPr>
        <w:t>або характер виявленого порушення, як у справі</w:t>
      </w:r>
      <w:r w:rsidR="000169B9" w:rsidRPr="00F0117E">
        <w:rPr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Tarakhel</w:t>
      </w:r>
      <w:proofErr w:type="spellEnd"/>
      <w:r w:rsidR="000169B9" w:rsidRPr="00F0117E">
        <w:rPr>
          <w:i/>
          <w:lang w:val="uk-UA"/>
        </w:rPr>
        <w:t xml:space="preserve"> v. </w:t>
      </w:r>
      <w:proofErr w:type="spellStart"/>
      <w:r w:rsidR="000169B9" w:rsidRPr="00F0117E">
        <w:rPr>
          <w:i/>
          <w:lang w:val="uk-UA"/>
        </w:rPr>
        <w:t>Switzerland</w:t>
      </w:r>
      <w:proofErr w:type="spellEnd"/>
      <w:r w:rsidR="000169B9" w:rsidRPr="00F0117E">
        <w:rPr>
          <w:lang w:val="uk-UA"/>
        </w:rPr>
        <w:t xml:space="preserve"> ([GC], </w:t>
      </w:r>
      <w:r w:rsidR="0012451C" w:rsidRPr="00F0117E">
        <w:rPr>
          <w:lang w:val="uk-UA"/>
        </w:rPr>
        <w:t>№</w:t>
      </w:r>
      <w:r w:rsidR="000169B9" w:rsidRPr="00F0117E">
        <w:rPr>
          <w:lang w:val="uk-UA"/>
        </w:rPr>
        <w:t xml:space="preserve"> 29217/12, ECHR 2014 (</w:t>
      </w:r>
      <w:r w:rsidR="0012451C" w:rsidRPr="00F0117E">
        <w:rPr>
          <w:lang w:val="uk-UA"/>
        </w:rPr>
        <w:t>витяги</w:t>
      </w:r>
      <w:r w:rsidR="000169B9" w:rsidRPr="00F0117E">
        <w:rPr>
          <w:lang w:val="uk-UA"/>
        </w:rPr>
        <w:t xml:space="preserve">)), </w:t>
      </w:r>
      <w:r w:rsidR="0012451C" w:rsidRPr="00F0117E">
        <w:rPr>
          <w:lang w:val="uk-UA"/>
        </w:rPr>
        <w:t>Суд постановляє, що визнання порушення є достатньою справедливою сатисфакцією</w:t>
      </w:r>
      <w:r w:rsidR="000169B9" w:rsidRPr="00F0117E">
        <w:rPr>
          <w:lang w:val="uk-UA"/>
        </w:rPr>
        <w:t xml:space="preserve"> </w:t>
      </w:r>
      <w:r w:rsidR="0012451C" w:rsidRPr="00F0117E">
        <w:rPr>
          <w:lang w:val="uk-UA"/>
        </w:rPr>
        <w:t>щодо будь-якої моральної шкоди</w:t>
      </w:r>
      <w:r w:rsidR="000169B9" w:rsidRPr="00F0117E">
        <w:rPr>
          <w:lang w:val="uk-UA"/>
        </w:rPr>
        <w:t xml:space="preserve">. </w:t>
      </w:r>
      <w:r w:rsidR="0012451C" w:rsidRPr="00F0117E">
        <w:rPr>
          <w:lang w:val="uk-UA"/>
        </w:rPr>
        <w:t>Інакше кажучи, лише у виняткових справах Суд вирішує</w:t>
      </w:r>
      <w:r w:rsidR="000169B9" w:rsidRPr="00F0117E">
        <w:rPr>
          <w:lang w:val="uk-UA"/>
        </w:rPr>
        <w:t xml:space="preserve"> </w:t>
      </w:r>
      <w:r w:rsidR="0012451C" w:rsidRPr="00F0117E">
        <w:rPr>
          <w:lang w:val="uk-UA"/>
        </w:rPr>
        <w:t xml:space="preserve">не присуджувати </w:t>
      </w:r>
      <w:r w:rsidR="001A5309">
        <w:rPr>
          <w:lang w:val="uk-UA"/>
        </w:rPr>
        <w:t>жодні</w:t>
      </w:r>
      <w:r w:rsidR="0012451C" w:rsidRPr="00F0117E">
        <w:rPr>
          <w:lang w:val="uk-UA"/>
        </w:rPr>
        <w:t xml:space="preserve"> суми в якості відшкодування моральної шкоди</w:t>
      </w:r>
      <w:r w:rsidR="000169B9" w:rsidRPr="00F0117E">
        <w:rPr>
          <w:lang w:val="uk-UA"/>
        </w:rPr>
        <w:t>.</w:t>
      </w:r>
    </w:p>
    <w:p w:rsidR="000169B9" w:rsidRPr="00F0117E" w:rsidRDefault="0012451C" w:rsidP="008B2B31">
      <w:pPr>
        <w:pStyle w:val="OpiPara"/>
        <w:tabs>
          <w:tab w:val="left" w:pos="5245"/>
          <w:tab w:val="left" w:pos="6379"/>
        </w:tabs>
        <w:rPr>
          <w:lang w:val="uk-UA"/>
        </w:rPr>
      </w:pPr>
      <w:r w:rsidRPr="00F0117E">
        <w:rPr>
          <w:lang w:val="uk-UA"/>
        </w:rPr>
        <w:t>Можуть також існувати випадки, в яких Суд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вирішує присудити нижчу суму,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ніж сума, присуджена в інших справах,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стосовно відповідної статті</w:t>
      </w:r>
      <w:r w:rsidR="000169B9" w:rsidRPr="00F0117E">
        <w:rPr>
          <w:lang w:val="uk-UA"/>
        </w:rPr>
        <w:t xml:space="preserve">, </w:t>
      </w:r>
      <w:r w:rsidRPr="00F0117E">
        <w:rPr>
          <w:lang w:val="uk-UA"/>
        </w:rPr>
        <w:t xml:space="preserve">знову беручи до уваги конкретні обставини </w:t>
      </w:r>
      <w:r w:rsidRPr="001A5309">
        <w:rPr>
          <w:lang w:val="uk-UA"/>
        </w:rPr>
        <w:t>контексту</w:t>
      </w:r>
      <w:r w:rsidR="000169B9" w:rsidRPr="001A5309">
        <w:rPr>
          <w:lang w:val="uk-UA"/>
        </w:rPr>
        <w:t xml:space="preserve">. </w:t>
      </w:r>
      <w:r w:rsidRPr="001A5309">
        <w:rPr>
          <w:lang w:val="uk-UA"/>
        </w:rPr>
        <w:t>Наприклад, у справі</w:t>
      </w:r>
      <w:r w:rsidR="000169B9" w:rsidRPr="001A5309">
        <w:rPr>
          <w:lang w:val="uk-UA"/>
        </w:rPr>
        <w:t xml:space="preserve"> </w:t>
      </w:r>
      <w:r w:rsidR="000169B9" w:rsidRPr="001A5309">
        <w:rPr>
          <w:i/>
          <w:lang w:val="uk-UA"/>
        </w:rPr>
        <w:t xml:space="preserve">A. </w:t>
      </w:r>
      <w:proofErr w:type="spellStart"/>
      <w:r w:rsidR="000169B9" w:rsidRPr="001A5309">
        <w:rPr>
          <w:i/>
          <w:lang w:val="uk-UA"/>
        </w:rPr>
        <w:t>and</w:t>
      </w:r>
      <w:proofErr w:type="spellEnd"/>
      <w:r w:rsidR="000169B9" w:rsidRPr="001A5309">
        <w:rPr>
          <w:i/>
          <w:lang w:val="uk-UA"/>
        </w:rPr>
        <w:t xml:space="preserve"> </w:t>
      </w:r>
      <w:proofErr w:type="spellStart"/>
      <w:r w:rsidR="000169B9" w:rsidRPr="001A5309">
        <w:rPr>
          <w:i/>
          <w:lang w:val="uk-UA"/>
        </w:rPr>
        <w:t>Others</w:t>
      </w:r>
      <w:proofErr w:type="spellEnd"/>
      <w:r w:rsidR="000169B9" w:rsidRPr="001A5309">
        <w:rPr>
          <w:i/>
          <w:lang w:val="uk-UA"/>
        </w:rPr>
        <w:t xml:space="preserve"> v. </w:t>
      </w:r>
      <w:proofErr w:type="spellStart"/>
      <w:r w:rsidR="000169B9" w:rsidRPr="001A5309">
        <w:rPr>
          <w:i/>
          <w:lang w:val="uk-UA"/>
        </w:rPr>
        <w:t>the</w:t>
      </w:r>
      <w:proofErr w:type="spellEnd"/>
      <w:r w:rsidR="000169B9" w:rsidRPr="001A5309">
        <w:rPr>
          <w:i/>
          <w:lang w:val="uk-UA"/>
        </w:rPr>
        <w:t xml:space="preserve"> </w:t>
      </w:r>
      <w:proofErr w:type="spellStart"/>
      <w:r w:rsidR="000169B9" w:rsidRPr="001A5309">
        <w:rPr>
          <w:i/>
          <w:lang w:val="uk-UA"/>
        </w:rPr>
        <w:t>United</w:t>
      </w:r>
      <w:proofErr w:type="spellEnd"/>
      <w:r w:rsidR="000169B9" w:rsidRPr="001A5309">
        <w:rPr>
          <w:i/>
          <w:lang w:val="uk-UA"/>
        </w:rPr>
        <w:t xml:space="preserve"> </w:t>
      </w:r>
      <w:proofErr w:type="spellStart"/>
      <w:r w:rsidR="000169B9" w:rsidRPr="001A5309">
        <w:rPr>
          <w:i/>
          <w:lang w:val="uk-UA"/>
        </w:rPr>
        <w:t>Kingdom</w:t>
      </w:r>
      <w:proofErr w:type="spellEnd"/>
      <w:r w:rsidR="000169B9" w:rsidRPr="001A5309">
        <w:rPr>
          <w:lang w:val="uk-UA"/>
        </w:rPr>
        <w:t xml:space="preserve"> ([GC], </w:t>
      </w:r>
      <w:r w:rsidRPr="001A5309">
        <w:rPr>
          <w:lang w:val="uk-UA"/>
        </w:rPr>
        <w:t>№</w:t>
      </w:r>
      <w:r w:rsidR="000169B9" w:rsidRPr="001A5309">
        <w:rPr>
          <w:lang w:val="uk-UA"/>
        </w:rPr>
        <w:t xml:space="preserve"> 3455/05, ECHR 2009), </w:t>
      </w:r>
      <w:r w:rsidRPr="001A5309">
        <w:rPr>
          <w:lang w:val="uk-UA"/>
        </w:rPr>
        <w:t>у контексті тероризму</w:t>
      </w:r>
      <w:r w:rsidR="000169B9" w:rsidRPr="001A5309">
        <w:rPr>
          <w:lang w:val="uk-UA"/>
        </w:rPr>
        <w:t xml:space="preserve">, </w:t>
      </w:r>
      <w:r w:rsidRPr="001A5309">
        <w:rPr>
          <w:lang w:val="uk-UA"/>
        </w:rPr>
        <w:t>Суд дав детальне обґрунтування</w:t>
      </w:r>
      <w:r w:rsidR="000169B9" w:rsidRPr="001A5309">
        <w:rPr>
          <w:lang w:val="uk-UA"/>
        </w:rPr>
        <w:t xml:space="preserve"> (§ 252; </w:t>
      </w:r>
      <w:r w:rsidRPr="001A5309">
        <w:rPr>
          <w:lang w:val="uk-UA"/>
        </w:rPr>
        <w:t>див. також</w:t>
      </w:r>
      <w:r w:rsidR="000169B9" w:rsidRPr="001A5309">
        <w:rPr>
          <w:lang w:val="uk-UA"/>
        </w:rPr>
        <w:t xml:space="preserve"> </w:t>
      </w:r>
      <w:proofErr w:type="spellStart"/>
      <w:r w:rsidR="000169B9" w:rsidRPr="001A5309">
        <w:rPr>
          <w:i/>
          <w:lang w:val="uk-UA"/>
        </w:rPr>
        <w:t>Del</w:t>
      </w:r>
      <w:proofErr w:type="spellEnd"/>
      <w:r w:rsidR="000169B9" w:rsidRPr="001A5309">
        <w:rPr>
          <w:i/>
          <w:lang w:val="uk-UA"/>
        </w:rPr>
        <w:t xml:space="preserve"> </w:t>
      </w:r>
      <w:proofErr w:type="spellStart"/>
      <w:r w:rsidR="000169B9" w:rsidRPr="001A5309">
        <w:rPr>
          <w:i/>
          <w:lang w:val="uk-UA"/>
        </w:rPr>
        <w:t>Río</w:t>
      </w:r>
      <w:proofErr w:type="spellEnd"/>
      <w:r w:rsidR="000169B9" w:rsidRPr="001A5309">
        <w:rPr>
          <w:i/>
          <w:lang w:val="uk-UA"/>
        </w:rPr>
        <w:t xml:space="preserve"> </w:t>
      </w:r>
      <w:proofErr w:type="spellStart"/>
      <w:r w:rsidR="000169B9" w:rsidRPr="001A5309">
        <w:rPr>
          <w:i/>
          <w:lang w:val="uk-UA"/>
        </w:rPr>
        <w:t>Prada</w:t>
      </w:r>
      <w:proofErr w:type="spellEnd"/>
      <w:r w:rsidR="000169B9" w:rsidRPr="001A5309">
        <w:rPr>
          <w:i/>
          <w:lang w:val="uk-UA"/>
        </w:rPr>
        <w:t xml:space="preserve"> v. </w:t>
      </w:r>
      <w:proofErr w:type="spellStart"/>
      <w:r w:rsidR="000169B9" w:rsidRPr="001A5309">
        <w:rPr>
          <w:i/>
          <w:lang w:val="uk-UA"/>
        </w:rPr>
        <w:t>Spain</w:t>
      </w:r>
      <w:proofErr w:type="spellEnd"/>
      <w:r w:rsidR="000169B9" w:rsidRPr="001A5309">
        <w:rPr>
          <w:lang w:val="uk-UA"/>
        </w:rPr>
        <w:t xml:space="preserve"> [GC],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№</w:t>
      </w:r>
      <w:r w:rsidR="000169B9" w:rsidRPr="00F0117E">
        <w:rPr>
          <w:lang w:val="uk-UA"/>
        </w:rPr>
        <w:t xml:space="preserve"> 42750/09, § 145, ECHR 2013) </w:t>
      </w:r>
      <w:r w:rsidRPr="00F0117E">
        <w:rPr>
          <w:lang w:val="uk-UA"/>
        </w:rPr>
        <w:t>та пояснив, чому він присудив значно нижчу суму,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ніж в інших попередніх справах, які стосувалися незаконного тримання під вартою</w:t>
      </w:r>
      <w:r w:rsidR="000169B9" w:rsidRPr="00F0117E">
        <w:rPr>
          <w:lang w:val="uk-UA"/>
        </w:rPr>
        <w:t>.</w:t>
      </w:r>
    </w:p>
    <w:p w:rsidR="000169B9" w:rsidRPr="00F0117E" w:rsidRDefault="0099668E" w:rsidP="008B2B31">
      <w:pPr>
        <w:pStyle w:val="OpiPara"/>
        <w:rPr>
          <w:lang w:val="uk-UA"/>
        </w:rPr>
      </w:pPr>
      <w:r w:rsidRPr="00F0117E">
        <w:rPr>
          <w:lang w:val="uk-UA"/>
        </w:rPr>
        <w:lastRenderedPageBreak/>
        <w:t>У даній справі національні суди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не забезпечили належний захист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права заявника на повагу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до приватного життя та кореспонденції</w:t>
      </w:r>
      <w:r w:rsidR="000169B9" w:rsidRPr="00F0117E">
        <w:rPr>
          <w:lang w:val="uk-UA"/>
        </w:rPr>
        <w:t xml:space="preserve">: </w:t>
      </w:r>
      <w:r w:rsidRPr="00F0117E">
        <w:rPr>
          <w:lang w:val="uk-UA"/>
        </w:rPr>
        <w:t>На заявника тяжко вплинули дисциплінарні провадження проти нього</w:t>
      </w:r>
      <w:r w:rsidR="000169B9" w:rsidRPr="00F0117E">
        <w:rPr>
          <w:lang w:val="uk-UA"/>
        </w:rPr>
        <w:t xml:space="preserve">, </w:t>
      </w:r>
      <w:r w:rsidRPr="00F0117E">
        <w:rPr>
          <w:lang w:val="uk-UA"/>
        </w:rPr>
        <w:t>оскільки він був звільнений з посади</w:t>
      </w:r>
      <w:r w:rsidR="000169B9" w:rsidRPr="00F0117E">
        <w:rPr>
          <w:lang w:val="uk-UA"/>
        </w:rPr>
        <w:t>.</w:t>
      </w:r>
    </w:p>
    <w:p w:rsidR="000169B9" w:rsidRPr="00F0117E" w:rsidRDefault="0099668E" w:rsidP="008B2B31">
      <w:pPr>
        <w:pStyle w:val="OpiPara"/>
        <w:rPr>
          <w:lang w:val="uk-UA"/>
        </w:rPr>
      </w:pPr>
      <w:r w:rsidRPr="00F0117E">
        <w:rPr>
          <w:lang w:val="uk-UA"/>
        </w:rPr>
        <w:t>Це порушення статті 8, безсумнівно,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заподіяло заявникові моральної шкоди</w:t>
      </w:r>
      <w:r w:rsidR="000169B9" w:rsidRPr="00F0117E">
        <w:rPr>
          <w:lang w:val="uk-UA"/>
        </w:rPr>
        <w:t xml:space="preserve">, </w:t>
      </w:r>
      <w:r w:rsidRPr="00F0117E">
        <w:rPr>
          <w:lang w:val="uk-UA"/>
        </w:rPr>
        <w:t>яку не може задовольнити саме визнання того, що така шкода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була понесена</w:t>
      </w:r>
      <w:r w:rsidR="000169B9" w:rsidRPr="00F0117E">
        <w:rPr>
          <w:lang w:val="uk-UA"/>
        </w:rPr>
        <w:t xml:space="preserve">. </w:t>
      </w:r>
      <w:r w:rsidRPr="00F0117E">
        <w:rPr>
          <w:lang w:val="uk-UA"/>
        </w:rPr>
        <w:t>У зв’язку з цим я проголосував за присудження хоча б невеликої суми в якості справедливої компенсації понесеної заявником моральної шкоди</w:t>
      </w:r>
      <w:r w:rsidR="000169B9" w:rsidRPr="00F0117E">
        <w:rPr>
          <w:lang w:val="uk-UA"/>
        </w:rPr>
        <w:t>.</w:t>
      </w:r>
    </w:p>
    <w:p w:rsidR="00E36F4C" w:rsidRPr="00F0117E" w:rsidRDefault="00E36F4C" w:rsidP="008B2B31">
      <w:pPr>
        <w:pStyle w:val="OpiPara"/>
        <w:rPr>
          <w:lang w:val="uk-UA"/>
        </w:rPr>
      </w:pPr>
    </w:p>
    <w:p w:rsidR="000169B9" w:rsidRPr="00F0117E" w:rsidRDefault="000169B9" w:rsidP="008B2B31">
      <w:pPr>
        <w:jc w:val="left"/>
        <w:rPr>
          <w:lang w:val="uk-UA"/>
        </w:rPr>
      </w:pPr>
      <w:r w:rsidRPr="00F0117E">
        <w:rPr>
          <w:lang w:val="uk-UA"/>
        </w:rPr>
        <w:br w:type="page"/>
      </w:r>
    </w:p>
    <w:p w:rsidR="000169B9" w:rsidRPr="00F0117E" w:rsidRDefault="005508AD" w:rsidP="008B2B31">
      <w:pPr>
        <w:pStyle w:val="ECHRTitleCentre1"/>
        <w:rPr>
          <w:lang w:val="uk-UA"/>
        </w:rPr>
      </w:pPr>
      <w:r w:rsidRPr="00F0117E">
        <w:rPr>
          <w:lang w:val="uk-UA"/>
        </w:rPr>
        <w:lastRenderedPageBreak/>
        <w:t>СПІЛЬНА ОКРЕМА ДУМКА СУДДІВ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РАЙМОНДІ, ДЕДОВА</w:t>
      </w:r>
      <w:r w:rsidR="000169B9" w:rsidRPr="00F0117E">
        <w:rPr>
          <w:lang w:val="uk-UA"/>
        </w:rPr>
        <w:t xml:space="preserve">, </w:t>
      </w:r>
      <w:r w:rsidRPr="00F0117E">
        <w:rPr>
          <w:lang w:val="uk-UA"/>
        </w:rPr>
        <w:t>КЙОЛБРО, МІТСА</w:t>
      </w:r>
      <w:r w:rsidR="000169B9" w:rsidRPr="00F0117E">
        <w:rPr>
          <w:lang w:val="uk-UA"/>
        </w:rPr>
        <w:t xml:space="preserve">, </w:t>
      </w:r>
      <w:r w:rsidRPr="00F0117E">
        <w:rPr>
          <w:lang w:val="uk-UA"/>
        </w:rPr>
        <w:t>МУРУ-ВІКСТРЬОМ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ТА АЙКЕ</w:t>
      </w:r>
    </w:p>
    <w:p w:rsidR="000169B9" w:rsidRPr="00F0117E" w:rsidRDefault="00E26C68" w:rsidP="008B2B31">
      <w:pPr>
        <w:pStyle w:val="OpiHA"/>
        <w:ind w:hanging="73"/>
        <w:rPr>
          <w:lang w:val="uk-UA"/>
        </w:rPr>
      </w:pPr>
      <w:r w:rsidRPr="00F0117E">
        <w:rPr>
          <w:lang w:val="uk-UA"/>
        </w:rPr>
        <w:t>Вступ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1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0C071F" w:rsidRPr="00F0117E">
        <w:rPr>
          <w:lang w:val="uk-UA"/>
        </w:rPr>
        <w:t>Ми погоджуємося з більшістю (деякі з нас – з певними ваганнями)</w:t>
      </w:r>
      <w:r w:rsidR="000169B9" w:rsidRPr="00F0117E">
        <w:rPr>
          <w:lang w:val="uk-UA"/>
        </w:rPr>
        <w:t xml:space="preserve"> </w:t>
      </w:r>
      <w:r w:rsidR="000C071F" w:rsidRPr="00F0117E">
        <w:rPr>
          <w:lang w:val="uk-UA"/>
        </w:rPr>
        <w:t>у тому, що навіть у контексті, в якому з фактів у розпорядженні Суду</w:t>
      </w:r>
      <w:r w:rsidR="000169B9" w:rsidRPr="00F0117E">
        <w:rPr>
          <w:lang w:val="uk-UA"/>
        </w:rPr>
        <w:t xml:space="preserve"> </w:t>
      </w:r>
      <w:r w:rsidR="000C071F" w:rsidRPr="00F0117E">
        <w:rPr>
          <w:lang w:val="uk-UA"/>
        </w:rPr>
        <w:t>складно побачити, як заявник</w:t>
      </w:r>
      <w:r w:rsidR="000169B9" w:rsidRPr="00F0117E">
        <w:rPr>
          <w:lang w:val="uk-UA"/>
        </w:rPr>
        <w:t xml:space="preserve"> </w:t>
      </w:r>
      <w:r w:rsidR="000C071F" w:rsidRPr="00F0117E">
        <w:rPr>
          <w:lang w:val="uk-UA"/>
        </w:rPr>
        <w:t>міг мати «розумне очікування приватності»</w:t>
      </w:r>
      <w:r w:rsidR="000169B9" w:rsidRPr="00F0117E">
        <w:rPr>
          <w:lang w:val="uk-UA"/>
        </w:rPr>
        <w:t xml:space="preserve"> (</w:t>
      </w:r>
      <w:r w:rsidR="000C071F" w:rsidRPr="00F0117E">
        <w:rPr>
          <w:lang w:val="uk-UA"/>
        </w:rPr>
        <w:t>див. нижче</w:t>
      </w:r>
      <w:r w:rsidR="000169B9" w:rsidRPr="00F0117E">
        <w:rPr>
          <w:lang w:val="uk-UA"/>
        </w:rPr>
        <w:t xml:space="preserve">), </w:t>
      </w:r>
      <w:r w:rsidR="000C071F" w:rsidRPr="00F0117E">
        <w:rPr>
          <w:lang w:val="uk-UA"/>
        </w:rPr>
        <w:t>стаття 8 застосовна в обставинах даної справи</w:t>
      </w:r>
      <w:r w:rsidR="000169B9" w:rsidRPr="00F0117E">
        <w:rPr>
          <w:lang w:val="uk-UA"/>
        </w:rPr>
        <w:t xml:space="preserve"> (</w:t>
      </w:r>
      <w:r w:rsidR="000C071F" w:rsidRPr="00F0117E">
        <w:rPr>
          <w:lang w:val="uk-UA"/>
        </w:rPr>
        <w:t>див. пункти 69-81 рішення</w:t>
      </w:r>
      <w:r w:rsidR="000169B9" w:rsidRPr="00F0117E">
        <w:rPr>
          <w:lang w:val="uk-UA"/>
        </w:rPr>
        <w:t xml:space="preserve">). </w:t>
      </w:r>
      <w:r w:rsidR="000C071F" w:rsidRPr="00F0117E">
        <w:rPr>
          <w:lang w:val="uk-UA"/>
        </w:rPr>
        <w:t>Оскільки стаття 8 була визнана застосовною</w:t>
      </w:r>
      <w:r w:rsidR="000169B9" w:rsidRPr="00F0117E">
        <w:rPr>
          <w:lang w:val="uk-UA"/>
        </w:rPr>
        <w:t xml:space="preserve">, </w:t>
      </w:r>
      <w:r w:rsidR="000C071F" w:rsidRPr="00F0117E">
        <w:rPr>
          <w:lang w:val="uk-UA"/>
        </w:rPr>
        <w:t>ми також погоджуємося з тим, що скаргу цього заявника</w:t>
      </w:r>
      <w:r w:rsidR="000169B9" w:rsidRPr="00F0117E">
        <w:rPr>
          <w:lang w:val="uk-UA"/>
        </w:rPr>
        <w:t xml:space="preserve"> </w:t>
      </w:r>
      <w:r w:rsidR="000C071F" w:rsidRPr="00F0117E">
        <w:rPr>
          <w:lang w:val="uk-UA"/>
        </w:rPr>
        <w:t>необхідно розглядати з точки зору позитивних зобов’язань держави</w:t>
      </w:r>
      <w:r w:rsidR="000169B9" w:rsidRPr="00F0117E">
        <w:rPr>
          <w:lang w:val="uk-UA"/>
        </w:rPr>
        <w:t xml:space="preserve"> (</w:t>
      </w:r>
      <w:r w:rsidR="000C071F" w:rsidRPr="00F0117E">
        <w:rPr>
          <w:lang w:val="uk-UA"/>
        </w:rPr>
        <w:t>див. пункт</w:t>
      </w:r>
      <w:r w:rsidR="000169B9" w:rsidRPr="00F0117E">
        <w:rPr>
          <w:lang w:val="uk-UA"/>
        </w:rPr>
        <w:t xml:space="preserve"> 111</w:t>
      </w:r>
      <w:r w:rsidR="0046471C" w:rsidRPr="00F0117E">
        <w:rPr>
          <w:lang w:val="uk-UA"/>
        </w:rPr>
        <w:t xml:space="preserve"> </w:t>
      </w:r>
      <w:r w:rsidR="000C071F" w:rsidRPr="00F0117E">
        <w:rPr>
          <w:lang w:val="uk-UA"/>
        </w:rPr>
        <w:t>рішення</w:t>
      </w:r>
      <w:r w:rsidR="000169B9" w:rsidRPr="00F0117E">
        <w:rPr>
          <w:lang w:val="uk-UA"/>
        </w:rPr>
        <w:t xml:space="preserve">). </w:t>
      </w:r>
      <w:r w:rsidR="000C071F" w:rsidRPr="00F0117E">
        <w:rPr>
          <w:lang w:val="uk-UA"/>
        </w:rPr>
        <w:t>За умови подальшого ми також погоджуємося</w:t>
      </w:r>
      <w:r w:rsidR="000169B9" w:rsidRPr="00F0117E">
        <w:rPr>
          <w:lang w:val="uk-UA"/>
        </w:rPr>
        <w:t xml:space="preserve"> </w:t>
      </w:r>
      <w:r w:rsidR="000C071F" w:rsidRPr="00F0117E">
        <w:rPr>
          <w:lang w:val="uk-UA"/>
        </w:rPr>
        <w:t>з загальними принципами, застосовними до оцінки</w:t>
      </w:r>
      <w:r w:rsidR="000169B9" w:rsidRPr="00F0117E">
        <w:rPr>
          <w:lang w:val="uk-UA"/>
        </w:rPr>
        <w:t xml:space="preserve"> </w:t>
      </w:r>
      <w:r w:rsidR="000C071F" w:rsidRPr="00F0117E">
        <w:rPr>
          <w:lang w:val="uk-UA"/>
        </w:rPr>
        <w:t>позитивного зобов’язання держави</w:t>
      </w:r>
      <w:r w:rsidR="000169B9" w:rsidRPr="00F0117E">
        <w:rPr>
          <w:lang w:val="uk-UA"/>
        </w:rPr>
        <w:t xml:space="preserve">, </w:t>
      </w:r>
      <w:r w:rsidR="000C071F" w:rsidRPr="00F0117E">
        <w:rPr>
          <w:lang w:val="uk-UA"/>
        </w:rPr>
        <w:t>викладеними у пунктах</w:t>
      </w:r>
      <w:r w:rsidR="00D45BD1" w:rsidRPr="00F0117E">
        <w:rPr>
          <w:lang w:val="uk-UA"/>
        </w:rPr>
        <w:t xml:space="preserve"> 113</w:t>
      </w:r>
      <w:r w:rsidR="000C071F" w:rsidRPr="00F0117E">
        <w:rPr>
          <w:lang w:val="uk-UA"/>
        </w:rPr>
        <w:t>-122 рішення</w:t>
      </w:r>
      <w:r w:rsidR="000169B9" w:rsidRPr="00F0117E">
        <w:rPr>
          <w:lang w:val="uk-UA"/>
        </w:rPr>
        <w:t>.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2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D45BD1" w:rsidRPr="00F0117E">
        <w:rPr>
          <w:lang w:val="uk-UA"/>
        </w:rPr>
        <w:t>Однак, за наведених нижче підстав</w:t>
      </w:r>
      <w:r w:rsidR="000169B9" w:rsidRPr="00F0117E">
        <w:rPr>
          <w:lang w:val="uk-UA"/>
        </w:rPr>
        <w:t xml:space="preserve"> </w:t>
      </w:r>
      <w:r w:rsidR="00D45BD1" w:rsidRPr="00F0117E">
        <w:rPr>
          <w:lang w:val="uk-UA"/>
        </w:rPr>
        <w:t>ми, зі всією повагою, не погоджуємося</w:t>
      </w:r>
      <w:r w:rsidR="000169B9" w:rsidRPr="00F0117E">
        <w:rPr>
          <w:lang w:val="uk-UA"/>
        </w:rPr>
        <w:t xml:space="preserve"> </w:t>
      </w:r>
      <w:r w:rsidR="00D45BD1" w:rsidRPr="00F0117E">
        <w:rPr>
          <w:lang w:val="uk-UA"/>
        </w:rPr>
        <w:t>з більшістю стосовно правильного підходу</w:t>
      </w:r>
      <w:r w:rsidR="000169B9" w:rsidRPr="00F0117E">
        <w:rPr>
          <w:lang w:val="uk-UA"/>
        </w:rPr>
        <w:t xml:space="preserve"> </w:t>
      </w:r>
      <w:r w:rsidR="00D45BD1" w:rsidRPr="00F0117E">
        <w:rPr>
          <w:lang w:val="uk-UA"/>
        </w:rPr>
        <w:t>до позитивного зобов’язання держави</w:t>
      </w:r>
      <w:r w:rsidR="000169B9" w:rsidRPr="00F0117E">
        <w:rPr>
          <w:lang w:val="uk-UA"/>
        </w:rPr>
        <w:t xml:space="preserve"> </w:t>
      </w:r>
      <w:r w:rsidR="00D45BD1" w:rsidRPr="00F0117E">
        <w:rPr>
          <w:lang w:val="uk-UA"/>
        </w:rPr>
        <w:t>у контексті цієї справи,</w:t>
      </w:r>
      <w:r w:rsidR="000169B9" w:rsidRPr="00F0117E">
        <w:rPr>
          <w:lang w:val="uk-UA"/>
        </w:rPr>
        <w:t xml:space="preserve"> </w:t>
      </w:r>
      <w:r w:rsidR="00D45BD1" w:rsidRPr="00F0117E">
        <w:rPr>
          <w:lang w:val="uk-UA"/>
        </w:rPr>
        <w:t>і з висновком більшості</w:t>
      </w:r>
      <w:r w:rsidR="000169B9" w:rsidRPr="00F0117E">
        <w:rPr>
          <w:lang w:val="uk-UA"/>
        </w:rPr>
        <w:t xml:space="preserve"> </w:t>
      </w:r>
      <w:r w:rsidR="00D45BD1" w:rsidRPr="00F0117E">
        <w:rPr>
          <w:lang w:val="uk-UA"/>
        </w:rPr>
        <w:t>про те, що «національні органи влади»</w:t>
      </w:r>
      <w:r w:rsidR="000169B9" w:rsidRPr="00F0117E">
        <w:rPr>
          <w:lang w:val="uk-UA"/>
        </w:rPr>
        <w:t xml:space="preserve">, </w:t>
      </w:r>
      <w:r w:rsidR="00D45BD1" w:rsidRPr="00F0117E">
        <w:rPr>
          <w:lang w:val="uk-UA"/>
        </w:rPr>
        <w:t>під якими більшість розуміє лише трудові суди</w:t>
      </w:r>
      <w:r w:rsidR="000169B9" w:rsidRPr="00F0117E">
        <w:rPr>
          <w:lang w:val="uk-UA"/>
        </w:rPr>
        <w:t xml:space="preserve">, </w:t>
      </w:r>
      <w:r w:rsidR="00D45BD1" w:rsidRPr="00F0117E">
        <w:rPr>
          <w:lang w:val="uk-UA"/>
        </w:rPr>
        <w:t>«не забезпечили належний захист</w:t>
      </w:r>
      <w:r w:rsidR="000169B9" w:rsidRPr="00F0117E">
        <w:rPr>
          <w:lang w:val="uk-UA"/>
        </w:rPr>
        <w:t xml:space="preserve"> </w:t>
      </w:r>
      <w:r w:rsidR="00D45BD1" w:rsidRPr="00F0117E">
        <w:rPr>
          <w:lang w:val="uk-UA"/>
        </w:rPr>
        <w:t>права заявника на повагу</w:t>
      </w:r>
      <w:r w:rsidR="000169B9" w:rsidRPr="00F0117E">
        <w:rPr>
          <w:lang w:val="uk-UA"/>
        </w:rPr>
        <w:t xml:space="preserve"> </w:t>
      </w:r>
      <w:r w:rsidR="00D45BD1" w:rsidRPr="00F0117E">
        <w:rPr>
          <w:lang w:val="uk-UA"/>
        </w:rPr>
        <w:t>до приватного життя та кореспонденції</w:t>
      </w:r>
      <w:r w:rsidR="000169B9" w:rsidRPr="00F0117E">
        <w:rPr>
          <w:lang w:val="uk-UA"/>
        </w:rPr>
        <w:t xml:space="preserve"> </w:t>
      </w:r>
      <w:r w:rsidR="00D45BD1" w:rsidRPr="00F0117E">
        <w:rPr>
          <w:lang w:val="uk-UA"/>
        </w:rPr>
        <w:t>і що вони не досягли справедливого балансу між</w:t>
      </w:r>
      <w:r w:rsidR="000169B9" w:rsidRPr="00F0117E">
        <w:rPr>
          <w:lang w:val="uk-UA"/>
        </w:rPr>
        <w:t xml:space="preserve"> </w:t>
      </w:r>
      <w:r w:rsidR="00D45BD1" w:rsidRPr="00F0117E">
        <w:rPr>
          <w:lang w:val="uk-UA"/>
        </w:rPr>
        <w:t>існуючими інтересами»</w:t>
      </w:r>
      <w:r w:rsidR="000169B9" w:rsidRPr="00F0117E">
        <w:rPr>
          <w:lang w:val="uk-UA"/>
        </w:rPr>
        <w:t xml:space="preserve"> (</w:t>
      </w:r>
      <w:r w:rsidR="00DD3DC6" w:rsidRPr="00F0117E">
        <w:rPr>
          <w:lang w:val="uk-UA"/>
        </w:rPr>
        <w:t>див. пункт</w:t>
      </w:r>
      <w:r w:rsidR="000169B9" w:rsidRPr="00F0117E">
        <w:rPr>
          <w:lang w:val="uk-UA"/>
        </w:rPr>
        <w:t xml:space="preserve"> 141</w:t>
      </w:r>
      <w:r w:rsidR="0046471C" w:rsidRPr="00F0117E">
        <w:rPr>
          <w:lang w:val="uk-UA"/>
        </w:rPr>
        <w:t xml:space="preserve"> </w:t>
      </w:r>
      <w:r w:rsidR="00DD3DC6" w:rsidRPr="00F0117E">
        <w:rPr>
          <w:lang w:val="uk-UA"/>
        </w:rPr>
        <w:t>рішення</w:t>
      </w:r>
      <w:r w:rsidR="000169B9" w:rsidRPr="00F0117E">
        <w:rPr>
          <w:lang w:val="uk-UA"/>
        </w:rPr>
        <w:t>).</w:t>
      </w:r>
    </w:p>
    <w:p w:rsidR="000169B9" w:rsidRPr="00F0117E" w:rsidRDefault="002D7851" w:rsidP="008B2B31">
      <w:pPr>
        <w:pStyle w:val="OpiHA"/>
        <w:ind w:hanging="73"/>
        <w:rPr>
          <w:lang w:val="uk-UA"/>
        </w:rPr>
      </w:pPr>
      <w:r w:rsidRPr="00F0117E">
        <w:rPr>
          <w:lang w:val="uk-UA"/>
        </w:rPr>
        <w:t>Принцип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3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2D7851" w:rsidRPr="00F0117E">
        <w:rPr>
          <w:lang w:val="uk-UA"/>
        </w:rPr>
        <w:t>У світлі того факту, що існує спільна точка зору</w:t>
      </w:r>
      <w:r w:rsidR="000169B9" w:rsidRPr="00F0117E">
        <w:rPr>
          <w:lang w:val="uk-UA"/>
        </w:rPr>
        <w:t xml:space="preserve"> </w:t>
      </w:r>
      <w:r w:rsidR="002D7851" w:rsidRPr="00F0117E">
        <w:rPr>
          <w:lang w:val="uk-UA"/>
        </w:rPr>
        <w:t>про те, що дану заяву слід розглядати з посиланням</w:t>
      </w:r>
      <w:r w:rsidR="000169B9" w:rsidRPr="00F0117E">
        <w:rPr>
          <w:lang w:val="uk-UA"/>
        </w:rPr>
        <w:t xml:space="preserve"> </w:t>
      </w:r>
      <w:r w:rsidR="002D7851" w:rsidRPr="00F0117E">
        <w:rPr>
          <w:lang w:val="uk-UA"/>
        </w:rPr>
        <w:t>на позитивне зобов’язання держави</w:t>
      </w:r>
      <w:r w:rsidR="000169B9" w:rsidRPr="00F0117E">
        <w:rPr>
          <w:lang w:val="uk-UA"/>
        </w:rPr>
        <w:t xml:space="preserve"> </w:t>
      </w:r>
      <w:r w:rsidR="002D7851" w:rsidRPr="00F0117E">
        <w:rPr>
          <w:lang w:val="uk-UA"/>
        </w:rPr>
        <w:t>відповідно до статті 8</w:t>
      </w:r>
      <w:r w:rsidR="000169B9" w:rsidRPr="00F0117E">
        <w:rPr>
          <w:lang w:val="uk-UA"/>
        </w:rPr>
        <w:t xml:space="preserve">, </w:t>
      </w:r>
      <w:r w:rsidR="002D7851" w:rsidRPr="00F0117E">
        <w:rPr>
          <w:lang w:val="uk-UA"/>
        </w:rPr>
        <w:t>доречну початкову точку надає прецедентна практика Суду,</w:t>
      </w:r>
      <w:r w:rsidR="000169B9" w:rsidRPr="00F0117E">
        <w:rPr>
          <w:lang w:val="uk-UA"/>
        </w:rPr>
        <w:t xml:space="preserve"> </w:t>
      </w:r>
      <w:r w:rsidR="002D7851" w:rsidRPr="00F0117E">
        <w:rPr>
          <w:lang w:val="uk-UA"/>
        </w:rPr>
        <w:t>яка визначає зміст та обсяг концепції «позитивного зобов’язання»</w:t>
      </w:r>
      <w:r w:rsidR="000169B9" w:rsidRPr="00F0117E">
        <w:rPr>
          <w:lang w:val="uk-UA"/>
        </w:rPr>
        <w:t xml:space="preserve"> </w:t>
      </w:r>
      <w:r w:rsidR="002D7851" w:rsidRPr="00F0117E">
        <w:rPr>
          <w:lang w:val="uk-UA"/>
        </w:rPr>
        <w:t>у розумінні статті</w:t>
      </w:r>
      <w:r w:rsidR="000169B9" w:rsidRPr="00F0117E">
        <w:rPr>
          <w:lang w:val="uk-UA"/>
        </w:rPr>
        <w:t xml:space="preserve"> 8. </w:t>
      </w:r>
      <w:r w:rsidR="008E345D" w:rsidRPr="00F0117E">
        <w:rPr>
          <w:lang w:val="uk-UA"/>
        </w:rPr>
        <w:t>Відповідні принципи були нещодавно узагальнені Великою Палатою</w:t>
      </w:r>
      <w:r w:rsidR="000169B9" w:rsidRPr="00F0117E">
        <w:rPr>
          <w:lang w:val="uk-UA"/>
        </w:rPr>
        <w:t xml:space="preserve"> </w:t>
      </w:r>
      <w:r w:rsidR="008E345D" w:rsidRPr="00F0117E">
        <w:rPr>
          <w:lang w:val="uk-UA"/>
        </w:rPr>
        <w:t>у контексті позитивних зобов’язань щодо захисту</w:t>
      </w:r>
      <w:r w:rsidR="000169B9" w:rsidRPr="00F0117E">
        <w:rPr>
          <w:lang w:val="uk-UA"/>
        </w:rPr>
        <w:t xml:space="preserve"> </w:t>
      </w:r>
      <w:r w:rsidR="008E345D" w:rsidRPr="00F0117E">
        <w:rPr>
          <w:lang w:val="uk-UA"/>
        </w:rPr>
        <w:t>фізичної та психологічної цілісності заявника</w:t>
      </w:r>
      <w:r w:rsidR="000169B9" w:rsidRPr="00F0117E">
        <w:rPr>
          <w:lang w:val="uk-UA"/>
        </w:rPr>
        <w:t xml:space="preserve"> </w:t>
      </w:r>
      <w:r w:rsidR="008E345D" w:rsidRPr="00F0117E">
        <w:rPr>
          <w:lang w:val="uk-UA"/>
        </w:rPr>
        <w:t>від інших осіб</w:t>
      </w:r>
      <w:r w:rsidR="000169B9" w:rsidRPr="00F0117E">
        <w:rPr>
          <w:lang w:val="uk-UA"/>
        </w:rPr>
        <w:t xml:space="preserve">, </w:t>
      </w:r>
      <w:r w:rsidR="0068322A" w:rsidRPr="00F0117E">
        <w:rPr>
          <w:lang w:val="uk-UA"/>
        </w:rPr>
        <w:t>у справі</w:t>
      </w:r>
      <w:r w:rsidR="000169B9" w:rsidRPr="00F0117E">
        <w:rPr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Söderman</w:t>
      </w:r>
      <w:proofErr w:type="spellEnd"/>
      <w:r w:rsidR="000169B9" w:rsidRPr="00F0117E">
        <w:rPr>
          <w:i/>
          <w:lang w:val="uk-UA"/>
        </w:rPr>
        <w:t xml:space="preserve"> v. </w:t>
      </w:r>
      <w:proofErr w:type="spellStart"/>
      <w:r w:rsidR="000169B9" w:rsidRPr="00F0117E">
        <w:rPr>
          <w:i/>
          <w:lang w:val="uk-UA"/>
        </w:rPr>
        <w:t>Sweden</w:t>
      </w:r>
      <w:proofErr w:type="spellEnd"/>
      <w:r w:rsidR="000169B9" w:rsidRPr="00F0117E">
        <w:rPr>
          <w:lang w:val="uk-UA"/>
        </w:rPr>
        <w:t xml:space="preserve"> ([GC], </w:t>
      </w:r>
      <w:r w:rsidR="0068322A" w:rsidRPr="00F0117E">
        <w:rPr>
          <w:lang w:val="uk-UA"/>
        </w:rPr>
        <w:t>№</w:t>
      </w:r>
      <w:r w:rsidR="000169B9" w:rsidRPr="00F0117E">
        <w:rPr>
          <w:lang w:val="uk-UA"/>
        </w:rPr>
        <w:t xml:space="preserve"> 5786/08, §§ 78-85, ECHR 2013). </w:t>
      </w:r>
      <w:r w:rsidR="0068322A" w:rsidRPr="00F0117E">
        <w:rPr>
          <w:lang w:val="uk-UA"/>
        </w:rPr>
        <w:t>У тій справі Суд чітко пояснив, що</w:t>
      </w:r>
      <w:r w:rsidR="000169B9" w:rsidRPr="00F0117E">
        <w:rPr>
          <w:lang w:val="uk-UA"/>
        </w:rPr>
        <w:t>:</w:t>
      </w:r>
    </w:p>
    <w:p w:rsidR="000169B9" w:rsidRPr="00F0117E" w:rsidRDefault="000169B9" w:rsidP="008B2B31">
      <w:pPr>
        <w:pStyle w:val="OpiParaSub"/>
        <w:rPr>
          <w:lang w:val="uk-UA"/>
        </w:rPr>
      </w:pPr>
      <w:r w:rsidRPr="00F0117E">
        <w:rPr>
          <w:lang w:val="uk-UA"/>
        </w:rPr>
        <w:t>(a)</w:t>
      </w:r>
      <w:r w:rsidR="00FA6D4F" w:rsidRPr="00F0117E">
        <w:rPr>
          <w:lang w:val="uk-UA"/>
        </w:rPr>
        <w:t xml:space="preserve"> </w:t>
      </w:r>
      <w:r w:rsidR="00E429E3" w:rsidRPr="00F0117E">
        <w:rPr>
          <w:lang w:val="uk-UA"/>
        </w:rPr>
        <w:t>мета статті 8 полягає в захисті</w:t>
      </w:r>
      <w:r w:rsidRPr="00F0117E">
        <w:rPr>
          <w:lang w:val="uk-UA"/>
        </w:rPr>
        <w:t xml:space="preserve"> </w:t>
      </w:r>
      <w:r w:rsidR="00E429E3" w:rsidRPr="00F0117E">
        <w:rPr>
          <w:lang w:val="uk-UA"/>
        </w:rPr>
        <w:t>фізичної особи від довільного втручання</w:t>
      </w:r>
      <w:r w:rsidRPr="00F0117E">
        <w:rPr>
          <w:lang w:val="uk-UA"/>
        </w:rPr>
        <w:t xml:space="preserve"> </w:t>
      </w:r>
      <w:r w:rsidR="00E429E3" w:rsidRPr="00F0117E">
        <w:rPr>
          <w:lang w:val="uk-UA"/>
        </w:rPr>
        <w:t>з боку державних органів влади</w:t>
      </w:r>
      <w:r w:rsidRPr="00F0117E">
        <w:rPr>
          <w:lang w:val="uk-UA"/>
        </w:rPr>
        <w:t xml:space="preserve">. </w:t>
      </w:r>
      <w:r w:rsidR="00E429E3" w:rsidRPr="00F0117E">
        <w:rPr>
          <w:lang w:val="uk-UA"/>
        </w:rPr>
        <w:t>Однак, це положення служить не для того, щоб усього лише змусити державу</w:t>
      </w:r>
      <w:r w:rsidRPr="00F0117E">
        <w:rPr>
          <w:lang w:val="uk-UA"/>
        </w:rPr>
        <w:t xml:space="preserve"> </w:t>
      </w:r>
      <w:r w:rsidR="00E429E3" w:rsidRPr="00F0117E">
        <w:rPr>
          <w:lang w:val="uk-UA"/>
        </w:rPr>
        <w:t>утриматися від такого втручання</w:t>
      </w:r>
      <w:r w:rsidRPr="00F0117E">
        <w:rPr>
          <w:lang w:val="uk-UA"/>
        </w:rPr>
        <w:t xml:space="preserve">: </w:t>
      </w:r>
      <w:r w:rsidR="00E429E3" w:rsidRPr="00F0117E">
        <w:rPr>
          <w:lang w:val="uk-UA"/>
        </w:rPr>
        <w:t>на додаток до цього переважно негативного зобов’язання</w:t>
      </w:r>
      <w:r w:rsidRPr="00F0117E">
        <w:rPr>
          <w:lang w:val="uk-UA"/>
        </w:rPr>
        <w:t xml:space="preserve"> </w:t>
      </w:r>
      <w:r w:rsidR="00E429E3" w:rsidRPr="00F0117E">
        <w:rPr>
          <w:lang w:val="uk-UA"/>
        </w:rPr>
        <w:t>існують позитивні зобов’язання, притаманні</w:t>
      </w:r>
      <w:r w:rsidRPr="00F0117E">
        <w:rPr>
          <w:lang w:val="uk-UA"/>
        </w:rPr>
        <w:t xml:space="preserve"> </w:t>
      </w:r>
      <w:r w:rsidR="00E429E3" w:rsidRPr="00F0117E">
        <w:rPr>
          <w:lang w:val="uk-UA"/>
        </w:rPr>
        <w:t>ефективній повазі до приватного або сімейного життя</w:t>
      </w:r>
      <w:r w:rsidRPr="00F0117E">
        <w:rPr>
          <w:lang w:val="uk-UA"/>
        </w:rPr>
        <w:t xml:space="preserve">. </w:t>
      </w:r>
      <w:r w:rsidR="00E429E3" w:rsidRPr="00F0117E">
        <w:rPr>
          <w:lang w:val="uk-UA"/>
        </w:rPr>
        <w:t xml:space="preserve">Ці </w:t>
      </w:r>
      <w:r w:rsidR="00E429E3" w:rsidRPr="00F0117E">
        <w:rPr>
          <w:lang w:val="uk-UA"/>
        </w:rPr>
        <w:lastRenderedPageBreak/>
        <w:t>зобов’язання можуть включати вжиття</w:t>
      </w:r>
      <w:r w:rsidRPr="00F0117E">
        <w:rPr>
          <w:lang w:val="uk-UA"/>
        </w:rPr>
        <w:t xml:space="preserve"> </w:t>
      </w:r>
      <w:r w:rsidR="00E429E3" w:rsidRPr="00F0117E">
        <w:rPr>
          <w:lang w:val="uk-UA"/>
        </w:rPr>
        <w:t>заходів, розроблених для забезпечення поваги до приватного життя навіть у сфері</w:t>
      </w:r>
      <w:r w:rsidRPr="00F0117E">
        <w:rPr>
          <w:lang w:val="uk-UA"/>
        </w:rPr>
        <w:t xml:space="preserve"> </w:t>
      </w:r>
      <w:r w:rsidR="00E429E3" w:rsidRPr="00F0117E">
        <w:rPr>
          <w:lang w:val="uk-UA"/>
        </w:rPr>
        <w:t>відносин осіб між собою</w:t>
      </w:r>
      <w:r w:rsidRPr="00F0117E">
        <w:rPr>
          <w:lang w:val="uk-UA"/>
        </w:rPr>
        <w:t xml:space="preserve"> (</w:t>
      </w:r>
      <w:r w:rsidR="00174A2D" w:rsidRPr="00F0117E">
        <w:rPr>
          <w:lang w:val="uk-UA"/>
        </w:rPr>
        <w:t>див., зокрема</w:t>
      </w:r>
      <w:r w:rsidRPr="00F0117E">
        <w:rPr>
          <w:lang w:val="uk-UA"/>
        </w:rPr>
        <w:t xml:space="preserve">, </w:t>
      </w:r>
      <w:proofErr w:type="spellStart"/>
      <w:r w:rsidRPr="00F0117E">
        <w:rPr>
          <w:i/>
          <w:lang w:val="uk-UA"/>
        </w:rPr>
        <w:t>Airey</w:t>
      </w:r>
      <w:proofErr w:type="spellEnd"/>
      <w:r w:rsidRPr="00F0117E">
        <w:rPr>
          <w:i/>
          <w:lang w:val="uk-UA"/>
        </w:rPr>
        <w:t xml:space="preserve"> v. </w:t>
      </w:r>
      <w:proofErr w:type="spellStart"/>
      <w:r w:rsidRPr="00F0117E">
        <w:rPr>
          <w:i/>
          <w:lang w:val="uk-UA"/>
        </w:rPr>
        <w:t>Ireland</w:t>
      </w:r>
      <w:proofErr w:type="spellEnd"/>
      <w:r w:rsidRPr="00F0117E">
        <w:rPr>
          <w:lang w:val="uk-UA"/>
        </w:rPr>
        <w:t xml:space="preserve">, 9 </w:t>
      </w:r>
      <w:r w:rsidR="00174A2D" w:rsidRPr="00F0117E">
        <w:rPr>
          <w:lang w:val="uk-UA"/>
        </w:rPr>
        <w:t>жовтня</w:t>
      </w:r>
      <w:r w:rsidR="00795224" w:rsidRPr="00F0117E">
        <w:rPr>
          <w:lang w:val="uk-UA"/>
        </w:rPr>
        <w:t xml:space="preserve"> 1979, § 32, </w:t>
      </w:r>
      <w:r w:rsidR="00174A2D" w:rsidRPr="00F0117E">
        <w:rPr>
          <w:lang w:val="uk-UA"/>
        </w:rPr>
        <w:t>серія А №</w:t>
      </w:r>
      <w:r w:rsidR="00795224" w:rsidRPr="00F0117E">
        <w:rPr>
          <w:lang w:val="uk-UA"/>
        </w:rPr>
        <w:t xml:space="preserve"> 32</w:t>
      </w:r>
      <w:r w:rsidR="006320CF" w:rsidRPr="00F0117E">
        <w:rPr>
          <w:lang w:val="uk-UA"/>
        </w:rPr>
        <w:t>)</w:t>
      </w:r>
      <w:r w:rsidR="00795224" w:rsidRPr="00F0117E">
        <w:rPr>
          <w:lang w:val="uk-UA"/>
        </w:rPr>
        <w:t xml:space="preserve"> </w:t>
      </w:r>
      <w:r w:rsidR="006320CF" w:rsidRPr="00F0117E">
        <w:rPr>
          <w:lang w:val="uk-UA"/>
        </w:rPr>
        <w:t>(</w:t>
      </w:r>
      <w:proofErr w:type="spellStart"/>
      <w:r w:rsidR="00795224" w:rsidRPr="00F0117E">
        <w:rPr>
          <w:i/>
          <w:lang w:val="uk-UA"/>
        </w:rPr>
        <w:t>Söderman</w:t>
      </w:r>
      <w:proofErr w:type="spellEnd"/>
      <w:r w:rsidR="00795224" w:rsidRPr="00F0117E">
        <w:rPr>
          <w:lang w:val="uk-UA"/>
        </w:rPr>
        <w:t xml:space="preserve">, </w:t>
      </w:r>
      <w:proofErr w:type="spellStart"/>
      <w:r w:rsidR="00174A2D" w:rsidRPr="00F0117E">
        <w:rPr>
          <w:lang w:val="uk-UA"/>
        </w:rPr>
        <w:t>цит</w:t>
      </w:r>
      <w:proofErr w:type="spellEnd"/>
      <w:r w:rsidR="00174A2D" w:rsidRPr="00F0117E">
        <w:rPr>
          <w:lang w:val="uk-UA"/>
        </w:rPr>
        <w:t>. вище</w:t>
      </w:r>
      <w:r w:rsidR="00795224" w:rsidRPr="00F0117E">
        <w:rPr>
          <w:lang w:val="uk-UA"/>
        </w:rPr>
        <w:t>, § 78)</w:t>
      </w:r>
      <w:r w:rsidRPr="00F0117E">
        <w:rPr>
          <w:lang w:val="uk-UA"/>
        </w:rPr>
        <w:t>;</w:t>
      </w:r>
    </w:p>
    <w:p w:rsidR="000169B9" w:rsidRPr="00F0117E" w:rsidRDefault="000169B9" w:rsidP="008B2B31">
      <w:pPr>
        <w:pStyle w:val="OpiParaSub"/>
        <w:rPr>
          <w:lang w:val="uk-UA"/>
        </w:rPr>
      </w:pPr>
      <w:r w:rsidRPr="00F0117E">
        <w:rPr>
          <w:lang w:val="uk-UA"/>
        </w:rPr>
        <w:t>(b)</w:t>
      </w:r>
      <w:r w:rsidR="00FA6D4F" w:rsidRPr="00F0117E">
        <w:rPr>
          <w:lang w:val="uk-UA"/>
        </w:rPr>
        <w:t xml:space="preserve"> </w:t>
      </w:r>
      <w:r w:rsidR="00174A2D" w:rsidRPr="00F0117E">
        <w:rPr>
          <w:lang w:val="uk-UA"/>
        </w:rPr>
        <w:t>вибір засобів, розрахованих</w:t>
      </w:r>
      <w:r w:rsidRPr="00F0117E">
        <w:rPr>
          <w:lang w:val="uk-UA"/>
        </w:rPr>
        <w:t xml:space="preserve"> </w:t>
      </w:r>
      <w:r w:rsidR="00174A2D" w:rsidRPr="00F0117E">
        <w:rPr>
          <w:lang w:val="uk-UA"/>
        </w:rPr>
        <w:t>для забезпечення дотримання статті 8 Конвенції</w:t>
      </w:r>
      <w:r w:rsidRPr="00F0117E">
        <w:rPr>
          <w:lang w:val="uk-UA"/>
        </w:rPr>
        <w:t xml:space="preserve"> </w:t>
      </w:r>
      <w:r w:rsidR="00174A2D" w:rsidRPr="00F0117E">
        <w:rPr>
          <w:lang w:val="uk-UA"/>
        </w:rPr>
        <w:t>у сфері відносин фізичних осіб</w:t>
      </w:r>
      <w:r w:rsidRPr="00F0117E">
        <w:rPr>
          <w:lang w:val="uk-UA"/>
        </w:rPr>
        <w:t xml:space="preserve"> </w:t>
      </w:r>
      <w:r w:rsidR="00174A2D" w:rsidRPr="00F0117E">
        <w:rPr>
          <w:lang w:val="uk-UA"/>
        </w:rPr>
        <w:t>між собою, є, у принципі,</w:t>
      </w:r>
      <w:r w:rsidRPr="00F0117E">
        <w:rPr>
          <w:lang w:val="uk-UA"/>
        </w:rPr>
        <w:t xml:space="preserve"> </w:t>
      </w:r>
      <w:r w:rsidR="00174A2D" w:rsidRPr="00F0117E">
        <w:rPr>
          <w:lang w:val="uk-UA"/>
        </w:rPr>
        <w:t>питанням, яке потрапляє до свободи розсуду Договірних Держав</w:t>
      </w:r>
      <w:r w:rsidRPr="00F0117E">
        <w:rPr>
          <w:lang w:val="uk-UA"/>
        </w:rPr>
        <w:t xml:space="preserve">, </w:t>
      </w:r>
      <w:r w:rsidR="00174A2D" w:rsidRPr="00F0117E">
        <w:rPr>
          <w:lang w:val="uk-UA"/>
        </w:rPr>
        <w:t>не зважаючи на те, чи є зобов’язання держави позитивними або негативними</w:t>
      </w:r>
      <w:r w:rsidRPr="00F0117E">
        <w:rPr>
          <w:lang w:val="uk-UA"/>
        </w:rPr>
        <w:t xml:space="preserve">. </w:t>
      </w:r>
      <w:r w:rsidR="00174A2D" w:rsidRPr="00F0117E">
        <w:rPr>
          <w:lang w:val="uk-UA"/>
        </w:rPr>
        <w:t>Існують різні шляхи забезпечення поваги до приватного життя,</w:t>
      </w:r>
      <w:r w:rsidRPr="00F0117E">
        <w:rPr>
          <w:lang w:val="uk-UA"/>
        </w:rPr>
        <w:t xml:space="preserve"> </w:t>
      </w:r>
      <w:r w:rsidR="00174A2D" w:rsidRPr="00F0117E">
        <w:rPr>
          <w:lang w:val="uk-UA"/>
        </w:rPr>
        <w:t>і характер зобов’язання держави залежатиме</w:t>
      </w:r>
      <w:r w:rsidRPr="00F0117E">
        <w:rPr>
          <w:lang w:val="uk-UA"/>
        </w:rPr>
        <w:t xml:space="preserve"> </w:t>
      </w:r>
      <w:r w:rsidR="00174A2D" w:rsidRPr="00F0117E">
        <w:rPr>
          <w:lang w:val="uk-UA"/>
        </w:rPr>
        <w:t>від конкретних аспектів приватного життя, яких стосується справа</w:t>
      </w:r>
      <w:r w:rsidRPr="00F0117E">
        <w:rPr>
          <w:lang w:val="uk-UA"/>
        </w:rPr>
        <w:t xml:space="preserve"> (</w:t>
      </w:r>
      <w:r w:rsidR="00174A2D" w:rsidRPr="00F0117E">
        <w:rPr>
          <w:lang w:val="uk-UA"/>
        </w:rPr>
        <w:t>див., наприклад</w:t>
      </w:r>
      <w:r w:rsidRPr="00F0117E">
        <w:rPr>
          <w:lang w:val="uk-UA"/>
        </w:rPr>
        <w:t xml:space="preserve">, </w:t>
      </w:r>
      <w:proofErr w:type="spellStart"/>
      <w:r w:rsidRPr="00F0117E">
        <w:rPr>
          <w:i/>
          <w:lang w:val="uk-UA"/>
        </w:rPr>
        <w:t>Von</w:t>
      </w:r>
      <w:proofErr w:type="spellEnd"/>
      <w:r w:rsidRPr="00F0117E">
        <w:rPr>
          <w:i/>
          <w:lang w:val="uk-UA"/>
        </w:rPr>
        <w:t xml:space="preserve"> </w:t>
      </w:r>
      <w:proofErr w:type="spellStart"/>
      <w:r w:rsidRPr="00F0117E">
        <w:rPr>
          <w:i/>
          <w:lang w:val="uk-UA"/>
        </w:rPr>
        <w:t>Hannover</w:t>
      </w:r>
      <w:proofErr w:type="spellEnd"/>
      <w:r w:rsidRPr="00F0117E">
        <w:rPr>
          <w:i/>
          <w:lang w:val="uk-UA"/>
        </w:rPr>
        <w:t xml:space="preserve"> v. </w:t>
      </w:r>
      <w:proofErr w:type="spellStart"/>
      <w:r w:rsidRPr="00F0117E">
        <w:rPr>
          <w:i/>
          <w:lang w:val="uk-UA"/>
        </w:rPr>
        <w:t>Germany</w:t>
      </w:r>
      <w:proofErr w:type="spellEnd"/>
      <w:r w:rsidRPr="00F0117E">
        <w:rPr>
          <w:i/>
          <w:lang w:val="uk-UA"/>
        </w:rPr>
        <w:t xml:space="preserve"> (</w:t>
      </w:r>
      <w:r w:rsidR="00174A2D" w:rsidRPr="00F0117E">
        <w:rPr>
          <w:i/>
          <w:lang w:val="uk-UA"/>
        </w:rPr>
        <w:t>№</w:t>
      </w:r>
      <w:r w:rsidRPr="00F0117E">
        <w:rPr>
          <w:i/>
          <w:lang w:val="uk-UA"/>
        </w:rPr>
        <w:t xml:space="preserve"> 2)</w:t>
      </w:r>
      <w:r w:rsidRPr="00F0117E">
        <w:rPr>
          <w:lang w:val="uk-UA"/>
        </w:rPr>
        <w:t xml:space="preserve"> [GC], </w:t>
      </w:r>
      <w:r w:rsidR="00174A2D" w:rsidRPr="00F0117E">
        <w:rPr>
          <w:lang w:val="uk-UA"/>
        </w:rPr>
        <w:t>№№</w:t>
      </w:r>
      <w:r w:rsidRPr="00F0117E">
        <w:rPr>
          <w:lang w:val="uk-UA"/>
        </w:rPr>
        <w:t xml:space="preserve"> 40660/08 </w:t>
      </w:r>
      <w:r w:rsidR="00174A2D" w:rsidRPr="00F0117E">
        <w:rPr>
          <w:lang w:val="uk-UA"/>
        </w:rPr>
        <w:t>і</w:t>
      </w:r>
      <w:r w:rsidRPr="00F0117E">
        <w:rPr>
          <w:lang w:val="uk-UA"/>
        </w:rPr>
        <w:t xml:space="preserve"> 60641/08, § 104, ECHR 2012; </w:t>
      </w:r>
      <w:proofErr w:type="spellStart"/>
      <w:r w:rsidRPr="00F0117E">
        <w:rPr>
          <w:i/>
          <w:lang w:val="uk-UA"/>
        </w:rPr>
        <w:t>Odièvre</w:t>
      </w:r>
      <w:proofErr w:type="spellEnd"/>
      <w:r w:rsidRPr="00F0117E">
        <w:rPr>
          <w:i/>
          <w:lang w:val="uk-UA"/>
        </w:rPr>
        <w:t xml:space="preserve"> v. </w:t>
      </w:r>
      <w:proofErr w:type="spellStart"/>
      <w:r w:rsidRPr="00F0117E">
        <w:rPr>
          <w:i/>
          <w:lang w:val="uk-UA"/>
        </w:rPr>
        <w:t>France</w:t>
      </w:r>
      <w:proofErr w:type="spellEnd"/>
      <w:r w:rsidRPr="00F0117E">
        <w:rPr>
          <w:lang w:val="uk-UA"/>
        </w:rPr>
        <w:t xml:space="preserve"> [GC], </w:t>
      </w:r>
      <w:r w:rsidR="00174A2D" w:rsidRPr="00F0117E">
        <w:rPr>
          <w:lang w:val="uk-UA"/>
        </w:rPr>
        <w:t>№</w:t>
      </w:r>
      <w:r w:rsidRPr="00F0117E">
        <w:rPr>
          <w:lang w:val="uk-UA"/>
        </w:rPr>
        <w:t xml:space="preserve"> 42326/98, § 46, ECHR 2003</w:t>
      </w:r>
      <w:r w:rsidRPr="00F0117E">
        <w:rPr>
          <w:rFonts w:ascii="MS Mincho" w:eastAsia="MS Mincho" w:hAnsi="MS Mincho" w:cs="MS Mincho"/>
          <w:lang w:val="uk-UA"/>
        </w:rPr>
        <w:t>‑</w:t>
      </w:r>
      <w:r w:rsidRPr="00F0117E">
        <w:rPr>
          <w:lang w:val="uk-UA"/>
        </w:rPr>
        <w:t xml:space="preserve">III; </w:t>
      </w:r>
      <w:proofErr w:type="spellStart"/>
      <w:r w:rsidRPr="00F0117E">
        <w:rPr>
          <w:i/>
          <w:lang w:val="uk-UA"/>
        </w:rPr>
        <w:t>Evans</w:t>
      </w:r>
      <w:proofErr w:type="spellEnd"/>
      <w:r w:rsidRPr="00F0117E">
        <w:rPr>
          <w:i/>
          <w:lang w:val="uk-UA"/>
        </w:rPr>
        <w:t xml:space="preserve"> v. </w:t>
      </w:r>
      <w:proofErr w:type="spellStart"/>
      <w:r w:rsidRPr="00F0117E">
        <w:rPr>
          <w:i/>
          <w:lang w:val="uk-UA"/>
        </w:rPr>
        <w:t>the</w:t>
      </w:r>
      <w:proofErr w:type="spellEnd"/>
      <w:r w:rsidRPr="00F0117E">
        <w:rPr>
          <w:i/>
          <w:lang w:val="uk-UA"/>
        </w:rPr>
        <w:t xml:space="preserve"> </w:t>
      </w:r>
      <w:proofErr w:type="spellStart"/>
      <w:r w:rsidRPr="00F0117E">
        <w:rPr>
          <w:i/>
          <w:lang w:val="uk-UA"/>
        </w:rPr>
        <w:t>United</w:t>
      </w:r>
      <w:proofErr w:type="spellEnd"/>
      <w:r w:rsidRPr="00F0117E">
        <w:rPr>
          <w:i/>
          <w:lang w:val="uk-UA"/>
        </w:rPr>
        <w:t xml:space="preserve"> </w:t>
      </w:r>
      <w:proofErr w:type="spellStart"/>
      <w:r w:rsidRPr="00F0117E">
        <w:rPr>
          <w:i/>
          <w:lang w:val="uk-UA"/>
        </w:rPr>
        <w:t>Kingdom</w:t>
      </w:r>
      <w:proofErr w:type="spellEnd"/>
      <w:r w:rsidRPr="00F0117E">
        <w:rPr>
          <w:i/>
          <w:lang w:val="uk-UA"/>
        </w:rPr>
        <w:t xml:space="preserve"> </w:t>
      </w:r>
      <w:r w:rsidRPr="00F0117E">
        <w:rPr>
          <w:lang w:val="uk-UA"/>
        </w:rPr>
        <w:t xml:space="preserve">[GC], </w:t>
      </w:r>
      <w:r w:rsidR="00174A2D" w:rsidRPr="00F0117E">
        <w:rPr>
          <w:lang w:val="uk-UA"/>
        </w:rPr>
        <w:t>№</w:t>
      </w:r>
      <w:r w:rsidRPr="00F0117E">
        <w:rPr>
          <w:lang w:val="uk-UA"/>
        </w:rPr>
        <w:t xml:space="preserve"> 6339/05, </w:t>
      </w:r>
      <w:r w:rsidRPr="00F0117E">
        <w:rPr>
          <w:rFonts w:ascii="Times New Roman" w:hAnsi="Times New Roman" w:cs="Times New Roman"/>
          <w:lang w:val="uk-UA"/>
        </w:rPr>
        <w:t>§</w:t>
      </w:r>
      <w:r w:rsidRPr="00F0117E">
        <w:rPr>
          <w:lang w:val="uk-UA"/>
        </w:rPr>
        <w:t xml:space="preserve"> 77, ECHR 2007</w:t>
      </w:r>
      <w:r w:rsidRPr="00F0117E">
        <w:rPr>
          <w:rFonts w:ascii="MS Mincho" w:eastAsia="MS Mincho" w:hAnsi="MS Mincho" w:cs="MS Mincho"/>
          <w:lang w:val="uk-UA"/>
        </w:rPr>
        <w:t>‑</w:t>
      </w:r>
      <w:r w:rsidRPr="00F0117E">
        <w:rPr>
          <w:lang w:val="uk-UA"/>
        </w:rPr>
        <w:t xml:space="preserve">I; </w:t>
      </w:r>
      <w:r w:rsidR="00174A2D" w:rsidRPr="00F0117E">
        <w:rPr>
          <w:lang w:val="uk-UA"/>
        </w:rPr>
        <w:t>та</w:t>
      </w:r>
      <w:r w:rsidRPr="00F0117E">
        <w:rPr>
          <w:lang w:val="uk-UA"/>
        </w:rPr>
        <w:t xml:space="preserve"> </w:t>
      </w:r>
      <w:proofErr w:type="spellStart"/>
      <w:r w:rsidRPr="00F0117E">
        <w:rPr>
          <w:i/>
          <w:lang w:val="uk-UA"/>
        </w:rPr>
        <w:t>Mosley</w:t>
      </w:r>
      <w:proofErr w:type="spellEnd"/>
      <w:r w:rsidRPr="00F0117E">
        <w:rPr>
          <w:i/>
          <w:lang w:val="uk-UA"/>
        </w:rPr>
        <w:t xml:space="preserve"> v. </w:t>
      </w:r>
      <w:proofErr w:type="spellStart"/>
      <w:r w:rsidRPr="00F0117E">
        <w:rPr>
          <w:i/>
          <w:lang w:val="uk-UA"/>
        </w:rPr>
        <w:t>the</w:t>
      </w:r>
      <w:proofErr w:type="spellEnd"/>
      <w:r w:rsidRPr="00F0117E">
        <w:rPr>
          <w:i/>
          <w:lang w:val="uk-UA"/>
        </w:rPr>
        <w:t xml:space="preserve"> </w:t>
      </w:r>
      <w:proofErr w:type="spellStart"/>
      <w:r w:rsidRPr="00F0117E">
        <w:rPr>
          <w:i/>
          <w:lang w:val="uk-UA"/>
        </w:rPr>
        <w:t>United</w:t>
      </w:r>
      <w:proofErr w:type="spellEnd"/>
      <w:r w:rsidRPr="00F0117E">
        <w:rPr>
          <w:i/>
          <w:lang w:val="uk-UA"/>
        </w:rPr>
        <w:t xml:space="preserve"> </w:t>
      </w:r>
      <w:proofErr w:type="spellStart"/>
      <w:r w:rsidRPr="00F0117E">
        <w:rPr>
          <w:i/>
          <w:lang w:val="uk-UA"/>
        </w:rPr>
        <w:t>Kingdom</w:t>
      </w:r>
      <w:proofErr w:type="spellEnd"/>
      <w:r w:rsidRPr="00F0117E">
        <w:rPr>
          <w:lang w:val="uk-UA"/>
        </w:rPr>
        <w:t xml:space="preserve">, </w:t>
      </w:r>
      <w:r w:rsidR="00174A2D" w:rsidRPr="00F0117E">
        <w:rPr>
          <w:lang w:val="uk-UA"/>
        </w:rPr>
        <w:t>№</w:t>
      </w:r>
      <w:r w:rsidRPr="00F0117E">
        <w:rPr>
          <w:lang w:val="uk-UA"/>
        </w:rPr>
        <w:t xml:space="preserve"> 48009/08, </w:t>
      </w:r>
      <w:r w:rsidRPr="00F0117E">
        <w:rPr>
          <w:rFonts w:ascii="Times New Roman" w:hAnsi="Times New Roman" w:cs="Times New Roman"/>
          <w:lang w:val="uk-UA"/>
        </w:rPr>
        <w:t>§</w:t>
      </w:r>
      <w:r w:rsidRPr="00F0117E">
        <w:rPr>
          <w:lang w:val="uk-UA"/>
        </w:rPr>
        <w:t xml:space="preserve"> 109, 10 </w:t>
      </w:r>
      <w:r w:rsidR="00174A2D" w:rsidRPr="00F0117E">
        <w:rPr>
          <w:lang w:val="uk-UA"/>
        </w:rPr>
        <w:t>травня</w:t>
      </w:r>
      <w:r w:rsidRPr="00F0117E">
        <w:rPr>
          <w:lang w:val="uk-UA"/>
        </w:rPr>
        <w:t xml:space="preserve"> 2011</w:t>
      </w:r>
      <w:r w:rsidR="00174A2D" w:rsidRPr="00F0117E">
        <w:rPr>
          <w:lang w:val="uk-UA"/>
        </w:rPr>
        <w:t xml:space="preserve"> року</w:t>
      </w:r>
      <w:r w:rsidRPr="00F0117E">
        <w:rPr>
          <w:lang w:val="uk-UA"/>
        </w:rPr>
        <w:t>)</w:t>
      </w:r>
      <w:r w:rsidR="00B475CA" w:rsidRPr="00F0117E">
        <w:rPr>
          <w:lang w:val="uk-UA"/>
        </w:rPr>
        <w:t xml:space="preserve"> </w:t>
      </w:r>
      <w:r w:rsidR="006320CF" w:rsidRPr="00F0117E">
        <w:rPr>
          <w:lang w:val="uk-UA"/>
        </w:rPr>
        <w:t>(</w:t>
      </w:r>
      <w:proofErr w:type="spellStart"/>
      <w:r w:rsidR="006320CF" w:rsidRPr="00F0117E">
        <w:rPr>
          <w:i/>
          <w:lang w:val="uk-UA"/>
        </w:rPr>
        <w:t>Söderman</w:t>
      </w:r>
      <w:proofErr w:type="spellEnd"/>
      <w:r w:rsidR="006320CF" w:rsidRPr="00F0117E">
        <w:rPr>
          <w:lang w:val="uk-UA"/>
        </w:rPr>
        <w:t xml:space="preserve">, </w:t>
      </w:r>
      <w:proofErr w:type="spellStart"/>
      <w:r w:rsidR="00174A2D" w:rsidRPr="00F0117E">
        <w:rPr>
          <w:lang w:val="uk-UA"/>
        </w:rPr>
        <w:t>цит</w:t>
      </w:r>
      <w:proofErr w:type="spellEnd"/>
      <w:r w:rsidR="00174A2D" w:rsidRPr="00F0117E">
        <w:rPr>
          <w:lang w:val="uk-UA"/>
        </w:rPr>
        <w:t>. вище</w:t>
      </w:r>
      <w:r w:rsidR="006320CF" w:rsidRPr="00F0117E">
        <w:rPr>
          <w:lang w:val="uk-UA"/>
        </w:rPr>
        <w:t>, § 7</w:t>
      </w:r>
      <w:r w:rsidR="00B475CA" w:rsidRPr="00F0117E">
        <w:rPr>
          <w:lang w:val="uk-UA"/>
        </w:rPr>
        <w:t>9</w:t>
      </w:r>
      <w:r w:rsidR="006320CF" w:rsidRPr="00F0117E">
        <w:rPr>
          <w:lang w:val="uk-UA"/>
        </w:rPr>
        <w:t>)</w:t>
      </w:r>
      <w:r w:rsidRPr="00F0117E">
        <w:rPr>
          <w:lang w:val="uk-UA"/>
        </w:rPr>
        <w:t xml:space="preserve">; </w:t>
      </w:r>
      <w:r w:rsidR="00174A2D" w:rsidRPr="00F0117E">
        <w:rPr>
          <w:lang w:val="uk-UA"/>
        </w:rPr>
        <w:t>і</w:t>
      </w:r>
    </w:p>
    <w:p w:rsidR="000169B9" w:rsidRPr="00F0117E" w:rsidRDefault="000169B9" w:rsidP="008B2B31">
      <w:pPr>
        <w:pStyle w:val="OpiParaSub"/>
        <w:rPr>
          <w:lang w:val="uk-UA"/>
        </w:rPr>
      </w:pPr>
      <w:r w:rsidRPr="00F0117E">
        <w:rPr>
          <w:lang w:val="uk-UA"/>
        </w:rPr>
        <w:t>(c)</w:t>
      </w:r>
      <w:r w:rsidR="00FA6D4F" w:rsidRPr="00F0117E">
        <w:rPr>
          <w:lang w:val="uk-UA"/>
        </w:rPr>
        <w:t xml:space="preserve"> </w:t>
      </w:r>
      <w:r w:rsidR="00FC34C7">
        <w:rPr>
          <w:lang w:val="uk-UA"/>
        </w:rPr>
        <w:t xml:space="preserve">стосовно </w:t>
      </w:r>
      <w:r w:rsidR="00174A2D" w:rsidRPr="00F0117E">
        <w:rPr>
          <w:lang w:val="uk-UA"/>
        </w:rPr>
        <w:t>менш серйозних дій між фізичними особами</w:t>
      </w:r>
      <w:r w:rsidRPr="00F0117E">
        <w:rPr>
          <w:lang w:val="uk-UA"/>
        </w:rPr>
        <w:t xml:space="preserve">, </w:t>
      </w:r>
      <w:r w:rsidR="00174A2D" w:rsidRPr="00F0117E">
        <w:rPr>
          <w:lang w:val="uk-UA"/>
        </w:rPr>
        <w:t>які можуть порушити психологічну цілісність</w:t>
      </w:r>
      <w:r w:rsidRPr="00F0117E">
        <w:rPr>
          <w:lang w:val="uk-UA"/>
        </w:rPr>
        <w:t xml:space="preserve">, </w:t>
      </w:r>
      <w:r w:rsidR="00174A2D" w:rsidRPr="00F0117E">
        <w:rPr>
          <w:lang w:val="uk-UA"/>
        </w:rPr>
        <w:t>зобов’язання держави відповідно до статті</w:t>
      </w:r>
      <w:r w:rsidRPr="00F0117E">
        <w:rPr>
          <w:lang w:val="uk-UA"/>
        </w:rPr>
        <w:t xml:space="preserve"> 8 </w:t>
      </w:r>
      <w:r w:rsidR="00174A2D" w:rsidRPr="00F0117E">
        <w:rPr>
          <w:lang w:val="uk-UA"/>
        </w:rPr>
        <w:t>щодо підтримки та застосування на практиці належної правової системи,</w:t>
      </w:r>
      <w:r w:rsidRPr="00F0117E">
        <w:rPr>
          <w:lang w:val="uk-UA"/>
        </w:rPr>
        <w:t xml:space="preserve"> </w:t>
      </w:r>
      <w:r w:rsidR="00174A2D" w:rsidRPr="00F0117E">
        <w:rPr>
          <w:lang w:val="uk-UA"/>
        </w:rPr>
        <w:t>яка забезпечує захист, не завжди потребує,</w:t>
      </w:r>
      <w:r w:rsidRPr="00F0117E">
        <w:rPr>
          <w:lang w:val="uk-UA"/>
        </w:rPr>
        <w:t xml:space="preserve"> </w:t>
      </w:r>
      <w:r w:rsidR="00174A2D" w:rsidRPr="00F0117E">
        <w:rPr>
          <w:lang w:val="uk-UA"/>
        </w:rPr>
        <w:t>щоб існувало ефективне положення кримінального права,</w:t>
      </w:r>
      <w:r w:rsidRPr="00F0117E">
        <w:rPr>
          <w:lang w:val="uk-UA"/>
        </w:rPr>
        <w:t xml:space="preserve"> </w:t>
      </w:r>
      <w:r w:rsidR="00174A2D" w:rsidRPr="00F0117E">
        <w:rPr>
          <w:lang w:val="uk-UA"/>
        </w:rPr>
        <w:t>яке б охоплювало конкретну дію</w:t>
      </w:r>
      <w:r w:rsidRPr="00F0117E">
        <w:rPr>
          <w:lang w:val="uk-UA"/>
        </w:rPr>
        <w:t xml:space="preserve">. </w:t>
      </w:r>
      <w:r w:rsidR="00174A2D" w:rsidRPr="00F0117E">
        <w:rPr>
          <w:lang w:val="uk-UA"/>
        </w:rPr>
        <w:t>Правова система може також складатися</w:t>
      </w:r>
      <w:r w:rsidRPr="00F0117E">
        <w:rPr>
          <w:lang w:val="uk-UA"/>
        </w:rPr>
        <w:t xml:space="preserve"> </w:t>
      </w:r>
      <w:r w:rsidR="00174A2D" w:rsidRPr="00F0117E">
        <w:rPr>
          <w:lang w:val="uk-UA"/>
        </w:rPr>
        <w:t>з засобів правового захисту в рамках цивільного права,</w:t>
      </w:r>
      <w:r w:rsidRPr="00F0117E">
        <w:rPr>
          <w:lang w:val="uk-UA"/>
        </w:rPr>
        <w:t xml:space="preserve"> </w:t>
      </w:r>
      <w:r w:rsidR="00174A2D" w:rsidRPr="00F0117E">
        <w:rPr>
          <w:lang w:val="uk-UA"/>
        </w:rPr>
        <w:t>здатних забезпечити достатній захист</w:t>
      </w:r>
      <w:r w:rsidRPr="00F0117E">
        <w:rPr>
          <w:lang w:val="uk-UA"/>
        </w:rPr>
        <w:t xml:space="preserve"> (</w:t>
      </w:r>
      <w:r w:rsidR="00174A2D" w:rsidRPr="00F0117E">
        <w:rPr>
          <w:lang w:val="uk-UA"/>
        </w:rPr>
        <w:t>див.</w:t>
      </w:r>
      <w:r w:rsidRPr="00F0117E">
        <w:rPr>
          <w:lang w:val="uk-UA"/>
        </w:rPr>
        <w:t xml:space="preserve">, </w:t>
      </w:r>
      <w:r w:rsidR="00174A2D" w:rsidRPr="00F0117E">
        <w:rPr>
          <w:lang w:val="uk-UA"/>
        </w:rPr>
        <w:t>з необхідними змінами</w:t>
      </w:r>
      <w:r w:rsidRPr="00F0117E">
        <w:rPr>
          <w:lang w:val="uk-UA"/>
        </w:rPr>
        <w:t xml:space="preserve">, </w:t>
      </w:r>
      <w:r w:rsidRPr="00F0117E">
        <w:rPr>
          <w:i/>
          <w:lang w:val="uk-UA"/>
        </w:rPr>
        <w:t xml:space="preserve">X </w:t>
      </w:r>
      <w:proofErr w:type="spellStart"/>
      <w:r w:rsidRPr="00F0117E">
        <w:rPr>
          <w:i/>
          <w:lang w:val="uk-UA"/>
        </w:rPr>
        <w:t>and</w:t>
      </w:r>
      <w:proofErr w:type="spellEnd"/>
      <w:r w:rsidRPr="00F0117E">
        <w:rPr>
          <w:i/>
          <w:lang w:val="uk-UA"/>
        </w:rPr>
        <w:t xml:space="preserve"> Y v. </w:t>
      </w:r>
      <w:proofErr w:type="spellStart"/>
      <w:r w:rsidRPr="00F0117E">
        <w:rPr>
          <w:i/>
          <w:lang w:val="uk-UA"/>
        </w:rPr>
        <w:t>the</w:t>
      </w:r>
      <w:proofErr w:type="spellEnd"/>
      <w:r w:rsidRPr="00F0117E">
        <w:rPr>
          <w:i/>
          <w:lang w:val="uk-UA"/>
        </w:rPr>
        <w:t xml:space="preserve"> </w:t>
      </w:r>
      <w:proofErr w:type="spellStart"/>
      <w:r w:rsidRPr="00F0117E">
        <w:rPr>
          <w:i/>
          <w:lang w:val="uk-UA"/>
        </w:rPr>
        <w:t>Netherlands</w:t>
      </w:r>
      <w:proofErr w:type="spellEnd"/>
      <w:r w:rsidRPr="00F0117E">
        <w:rPr>
          <w:lang w:val="uk-UA"/>
        </w:rPr>
        <w:t>,</w:t>
      </w:r>
      <w:r w:rsidR="00BC57CF" w:rsidRPr="00F0117E">
        <w:rPr>
          <w:lang w:val="uk-UA"/>
        </w:rPr>
        <w:t xml:space="preserve"> 26 </w:t>
      </w:r>
      <w:r w:rsidR="00174A2D" w:rsidRPr="00F0117E">
        <w:rPr>
          <w:lang w:val="uk-UA"/>
        </w:rPr>
        <w:t>березня</w:t>
      </w:r>
      <w:r w:rsidR="00BC57CF" w:rsidRPr="00F0117E">
        <w:rPr>
          <w:lang w:val="uk-UA"/>
        </w:rPr>
        <w:t xml:space="preserve"> 1985, §§ 24 </w:t>
      </w:r>
      <w:r w:rsidR="00174A2D" w:rsidRPr="00F0117E">
        <w:rPr>
          <w:lang w:val="uk-UA"/>
        </w:rPr>
        <w:t>та</w:t>
      </w:r>
      <w:r w:rsidR="00BC57CF" w:rsidRPr="00F0117E">
        <w:rPr>
          <w:lang w:val="uk-UA"/>
        </w:rPr>
        <w:t xml:space="preserve"> 27, </w:t>
      </w:r>
      <w:r w:rsidR="00174A2D" w:rsidRPr="00F0117E">
        <w:rPr>
          <w:lang w:val="uk-UA"/>
        </w:rPr>
        <w:t>серія А №</w:t>
      </w:r>
      <w:r w:rsidR="00BC57CF" w:rsidRPr="00F0117E">
        <w:rPr>
          <w:lang w:val="uk-UA"/>
        </w:rPr>
        <w:t xml:space="preserve"> 91</w:t>
      </w:r>
      <w:r w:rsidRPr="00F0117E">
        <w:rPr>
          <w:lang w:val="uk-UA"/>
        </w:rPr>
        <w:t xml:space="preserve">, </w:t>
      </w:r>
      <w:r w:rsidR="00174A2D" w:rsidRPr="00F0117E">
        <w:rPr>
          <w:lang w:val="uk-UA"/>
        </w:rPr>
        <w:t>і</w:t>
      </w:r>
      <w:r w:rsidRPr="00F0117E">
        <w:rPr>
          <w:lang w:val="uk-UA"/>
        </w:rPr>
        <w:t xml:space="preserve"> </w:t>
      </w:r>
      <w:r w:rsidRPr="00F0117E">
        <w:rPr>
          <w:i/>
          <w:lang w:val="uk-UA"/>
        </w:rPr>
        <w:t xml:space="preserve">K.U. v. </w:t>
      </w:r>
      <w:proofErr w:type="spellStart"/>
      <w:r w:rsidRPr="00F0117E">
        <w:rPr>
          <w:i/>
          <w:lang w:val="uk-UA"/>
        </w:rPr>
        <w:t>Finland</w:t>
      </w:r>
      <w:proofErr w:type="spellEnd"/>
      <w:r w:rsidRPr="00F0117E">
        <w:rPr>
          <w:lang w:val="uk-UA"/>
        </w:rPr>
        <w:t>,</w:t>
      </w:r>
      <w:r w:rsidR="00BC57CF" w:rsidRPr="00F0117E">
        <w:rPr>
          <w:lang w:val="uk-UA"/>
        </w:rPr>
        <w:t xml:space="preserve"> </w:t>
      </w:r>
      <w:r w:rsidR="00174A2D" w:rsidRPr="00F0117E">
        <w:rPr>
          <w:lang w:val="uk-UA"/>
        </w:rPr>
        <w:t>№</w:t>
      </w:r>
      <w:r w:rsidR="00BC57CF" w:rsidRPr="00F0117E">
        <w:rPr>
          <w:lang w:val="uk-UA"/>
        </w:rPr>
        <w:t xml:space="preserve"> 2872/02, § 47, ECHR 2008</w:t>
      </w:r>
      <w:r w:rsidRPr="00F0117E">
        <w:rPr>
          <w:lang w:val="uk-UA"/>
        </w:rPr>
        <w:t xml:space="preserve">). </w:t>
      </w:r>
      <w:r w:rsidR="00174A2D" w:rsidRPr="00F0117E">
        <w:rPr>
          <w:lang w:val="uk-UA"/>
        </w:rPr>
        <w:t>Суд зазначає, наприклад, що у деяких попередніх справах</w:t>
      </w:r>
      <w:r w:rsidRPr="00F0117E">
        <w:rPr>
          <w:lang w:val="uk-UA"/>
        </w:rPr>
        <w:t xml:space="preserve"> </w:t>
      </w:r>
      <w:r w:rsidR="00174A2D" w:rsidRPr="00F0117E">
        <w:rPr>
          <w:lang w:val="uk-UA"/>
        </w:rPr>
        <w:t>стосовно захисту зображення особи від нападів інших осіб</w:t>
      </w:r>
      <w:r w:rsidRPr="00F0117E">
        <w:rPr>
          <w:lang w:val="uk-UA"/>
        </w:rPr>
        <w:t xml:space="preserve">, </w:t>
      </w:r>
      <w:r w:rsidR="00174A2D" w:rsidRPr="00F0117E">
        <w:rPr>
          <w:lang w:val="uk-UA"/>
        </w:rPr>
        <w:t>представлені у державах-членах засоби правового захисту носили характер цивільного права</w:t>
      </w:r>
      <w:r w:rsidRPr="00F0117E">
        <w:rPr>
          <w:lang w:val="uk-UA"/>
        </w:rPr>
        <w:t xml:space="preserve">, </w:t>
      </w:r>
      <w:r w:rsidR="00174A2D" w:rsidRPr="00F0117E">
        <w:rPr>
          <w:lang w:val="uk-UA"/>
        </w:rPr>
        <w:t>можливо – у поєднанні з процесуальними засобами правового захисту,</w:t>
      </w:r>
      <w:r w:rsidRPr="00F0117E">
        <w:rPr>
          <w:lang w:val="uk-UA"/>
        </w:rPr>
        <w:t xml:space="preserve"> </w:t>
      </w:r>
      <w:r w:rsidR="00174A2D" w:rsidRPr="00F0117E">
        <w:rPr>
          <w:lang w:val="uk-UA"/>
        </w:rPr>
        <w:t xml:space="preserve">такими, як надання судового наказу </w:t>
      </w:r>
      <w:r w:rsidRPr="00F0117E">
        <w:rPr>
          <w:lang w:val="uk-UA"/>
        </w:rPr>
        <w:t>(</w:t>
      </w:r>
      <w:r w:rsidR="00174A2D" w:rsidRPr="00F0117E">
        <w:rPr>
          <w:lang w:val="uk-UA"/>
        </w:rPr>
        <w:t>див., зокрема</w:t>
      </w:r>
      <w:r w:rsidRPr="00F0117E">
        <w:rPr>
          <w:lang w:val="uk-UA"/>
        </w:rPr>
        <w:t xml:space="preserve">, </w:t>
      </w:r>
      <w:proofErr w:type="spellStart"/>
      <w:r w:rsidRPr="00F0117E">
        <w:rPr>
          <w:i/>
          <w:lang w:val="uk-UA"/>
        </w:rPr>
        <w:t>Von</w:t>
      </w:r>
      <w:proofErr w:type="spellEnd"/>
      <w:r w:rsidRPr="00F0117E">
        <w:rPr>
          <w:i/>
          <w:lang w:val="uk-UA"/>
        </w:rPr>
        <w:t xml:space="preserve"> </w:t>
      </w:r>
      <w:proofErr w:type="spellStart"/>
      <w:r w:rsidRPr="00F0117E">
        <w:rPr>
          <w:i/>
          <w:lang w:val="uk-UA"/>
        </w:rPr>
        <w:t>Hannover</w:t>
      </w:r>
      <w:proofErr w:type="spellEnd"/>
      <w:r w:rsidRPr="00F0117E">
        <w:rPr>
          <w:lang w:val="uk-UA"/>
        </w:rPr>
        <w:t xml:space="preserve">, </w:t>
      </w:r>
      <w:proofErr w:type="spellStart"/>
      <w:r w:rsidR="00174A2D" w:rsidRPr="00F0117E">
        <w:rPr>
          <w:lang w:val="uk-UA"/>
        </w:rPr>
        <w:t>цит</w:t>
      </w:r>
      <w:proofErr w:type="spellEnd"/>
      <w:r w:rsidR="00174A2D" w:rsidRPr="00F0117E">
        <w:rPr>
          <w:lang w:val="uk-UA"/>
        </w:rPr>
        <w:t>. вище</w:t>
      </w:r>
      <w:r w:rsidRPr="00F0117E">
        <w:rPr>
          <w:lang w:val="uk-UA"/>
        </w:rPr>
        <w:t xml:space="preserve">; </w:t>
      </w:r>
      <w:proofErr w:type="spellStart"/>
      <w:r w:rsidRPr="00F0117E">
        <w:rPr>
          <w:i/>
          <w:lang w:val="uk-UA"/>
        </w:rPr>
        <w:t>Reklos</w:t>
      </w:r>
      <w:proofErr w:type="spellEnd"/>
      <w:r w:rsidRPr="00F0117E">
        <w:rPr>
          <w:i/>
          <w:lang w:val="uk-UA"/>
        </w:rPr>
        <w:t xml:space="preserve"> </w:t>
      </w:r>
      <w:proofErr w:type="spellStart"/>
      <w:r w:rsidRPr="00F0117E">
        <w:rPr>
          <w:i/>
          <w:lang w:val="uk-UA"/>
        </w:rPr>
        <w:t>and</w:t>
      </w:r>
      <w:proofErr w:type="spellEnd"/>
      <w:r w:rsidRPr="00F0117E">
        <w:rPr>
          <w:i/>
          <w:lang w:val="uk-UA"/>
        </w:rPr>
        <w:t xml:space="preserve"> </w:t>
      </w:r>
      <w:proofErr w:type="spellStart"/>
      <w:r w:rsidRPr="00F0117E">
        <w:rPr>
          <w:i/>
          <w:lang w:val="uk-UA"/>
        </w:rPr>
        <w:t>Davourlis</w:t>
      </w:r>
      <w:proofErr w:type="spellEnd"/>
      <w:r w:rsidRPr="00F0117E">
        <w:rPr>
          <w:i/>
          <w:lang w:val="uk-UA"/>
        </w:rPr>
        <w:t xml:space="preserve"> v. </w:t>
      </w:r>
      <w:proofErr w:type="spellStart"/>
      <w:r w:rsidRPr="00F0117E">
        <w:rPr>
          <w:i/>
          <w:lang w:val="uk-UA"/>
        </w:rPr>
        <w:t>Greece</w:t>
      </w:r>
      <w:proofErr w:type="spellEnd"/>
      <w:r w:rsidRPr="00F0117E">
        <w:rPr>
          <w:lang w:val="uk-UA"/>
        </w:rPr>
        <w:t xml:space="preserve">, </w:t>
      </w:r>
      <w:r w:rsidR="00174A2D" w:rsidRPr="00F0117E">
        <w:rPr>
          <w:lang w:val="uk-UA"/>
        </w:rPr>
        <w:t>№</w:t>
      </w:r>
      <w:r w:rsidRPr="00F0117E">
        <w:rPr>
          <w:lang w:val="uk-UA"/>
        </w:rPr>
        <w:t xml:space="preserve"> 1234/05, 15 </w:t>
      </w:r>
      <w:r w:rsidR="00174A2D" w:rsidRPr="00F0117E">
        <w:rPr>
          <w:lang w:val="uk-UA"/>
        </w:rPr>
        <w:t>січня</w:t>
      </w:r>
      <w:r w:rsidRPr="00F0117E">
        <w:rPr>
          <w:lang w:val="uk-UA"/>
        </w:rPr>
        <w:t xml:space="preserve"> 2009</w:t>
      </w:r>
      <w:r w:rsidR="00174A2D" w:rsidRPr="00F0117E">
        <w:rPr>
          <w:lang w:val="uk-UA"/>
        </w:rPr>
        <w:t xml:space="preserve"> року</w:t>
      </w:r>
      <w:r w:rsidRPr="00F0117E">
        <w:rPr>
          <w:lang w:val="uk-UA"/>
        </w:rPr>
        <w:t xml:space="preserve">; </w:t>
      </w:r>
      <w:r w:rsidR="00174A2D" w:rsidRPr="00F0117E">
        <w:rPr>
          <w:lang w:val="uk-UA"/>
        </w:rPr>
        <w:t>і</w:t>
      </w:r>
      <w:r w:rsidRPr="00F0117E">
        <w:rPr>
          <w:lang w:val="uk-UA"/>
        </w:rPr>
        <w:t xml:space="preserve"> </w:t>
      </w:r>
      <w:proofErr w:type="spellStart"/>
      <w:r w:rsidRPr="00F0117E">
        <w:rPr>
          <w:i/>
          <w:lang w:val="uk-UA"/>
        </w:rPr>
        <w:t>Schüssel</w:t>
      </w:r>
      <w:proofErr w:type="spellEnd"/>
      <w:r w:rsidRPr="00F0117E">
        <w:rPr>
          <w:i/>
          <w:lang w:val="uk-UA"/>
        </w:rPr>
        <w:t xml:space="preserve"> v. </w:t>
      </w:r>
      <w:proofErr w:type="spellStart"/>
      <w:r w:rsidRPr="00F0117E">
        <w:rPr>
          <w:i/>
          <w:lang w:val="uk-UA"/>
        </w:rPr>
        <w:t>Austria</w:t>
      </w:r>
      <w:proofErr w:type="spellEnd"/>
      <w:r w:rsidRPr="00F0117E">
        <w:rPr>
          <w:lang w:val="uk-UA"/>
        </w:rPr>
        <w:t xml:space="preserve"> (</w:t>
      </w:r>
      <w:proofErr w:type="spellStart"/>
      <w:r w:rsidRPr="00F0117E">
        <w:rPr>
          <w:lang w:val="uk-UA"/>
        </w:rPr>
        <w:t>dec</w:t>
      </w:r>
      <w:proofErr w:type="spellEnd"/>
      <w:r w:rsidRPr="00F0117E">
        <w:rPr>
          <w:lang w:val="uk-UA"/>
        </w:rPr>
        <w:t xml:space="preserve">.), </w:t>
      </w:r>
      <w:r w:rsidR="00174A2D" w:rsidRPr="00F0117E">
        <w:rPr>
          <w:lang w:val="uk-UA"/>
        </w:rPr>
        <w:t>№</w:t>
      </w:r>
      <w:r w:rsidRPr="00F0117E">
        <w:rPr>
          <w:lang w:val="uk-UA"/>
        </w:rPr>
        <w:t xml:space="preserve"> 42409/98, 21 </w:t>
      </w:r>
      <w:r w:rsidR="00174A2D" w:rsidRPr="00F0117E">
        <w:rPr>
          <w:lang w:val="uk-UA"/>
        </w:rPr>
        <w:t>лютого</w:t>
      </w:r>
      <w:r w:rsidRPr="00F0117E">
        <w:rPr>
          <w:lang w:val="uk-UA"/>
        </w:rPr>
        <w:t xml:space="preserve"> 2002</w:t>
      </w:r>
      <w:r w:rsidR="00174A2D" w:rsidRPr="00F0117E">
        <w:rPr>
          <w:lang w:val="uk-UA"/>
        </w:rPr>
        <w:t xml:space="preserve"> року</w:t>
      </w:r>
      <w:r w:rsidRPr="00F0117E">
        <w:rPr>
          <w:lang w:val="uk-UA"/>
        </w:rPr>
        <w:t>)</w:t>
      </w:r>
      <w:r w:rsidR="00B475CA" w:rsidRPr="00F0117E">
        <w:rPr>
          <w:lang w:val="uk-UA"/>
        </w:rPr>
        <w:t xml:space="preserve"> </w:t>
      </w:r>
      <w:r w:rsidR="006320CF" w:rsidRPr="00F0117E">
        <w:rPr>
          <w:lang w:val="uk-UA"/>
        </w:rPr>
        <w:t>(</w:t>
      </w:r>
      <w:proofErr w:type="spellStart"/>
      <w:r w:rsidR="006320CF" w:rsidRPr="00F0117E">
        <w:rPr>
          <w:i/>
          <w:lang w:val="uk-UA"/>
        </w:rPr>
        <w:t>Söderman</w:t>
      </w:r>
      <w:proofErr w:type="spellEnd"/>
      <w:r w:rsidR="006320CF" w:rsidRPr="00F0117E">
        <w:rPr>
          <w:lang w:val="uk-UA"/>
        </w:rPr>
        <w:t xml:space="preserve">, </w:t>
      </w:r>
      <w:proofErr w:type="spellStart"/>
      <w:r w:rsidR="00174A2D" w:rsidRPr="00F0117E">
        <w:rPr>
          <w:lang w:val="uk-UA"/>
        </w:rPr>
        <w:t>цит</w:t>
      </w:r>
      <w:proofErr w:type="spellEnd"/>
      <w:r w:rsidR="00174A2D" w:rsidRPr="00F0117E">
        <w:rPr>
          <w:lang w:val="uk-UA"/>
        </w:rPr>
        <w:t>. вище</w:t>
      </w:r>
      <w:r w:rsidR="006320CF" w:rsidRPr="00F0117E">
        <w:rPr>
          <w:lang w:val="uk-UA"/>
        </w:rPr>
        <w:t xml:space="preserve">, </w:t>
      </w:r>
      <w:r w:rsidR="00B475CA" w:rsidRPr="00F0117E">
        <w:rPr>
          <w:lang w:val="uk-UA"/>
        </w:rPr>
        <w:t>§ 85</w:t>
      </w:r>
      <w:r w:rsidR="006320CF" w:rsidRPr="00F0117E">
        <w:rPr>
          <w:lang w:val="uk-UA"/>
        </w:rPr>
        <w:t>)</w:t>
      </w:r>
      <w:r w:rsidRPr="00F0117E">
        <w:rPr>
          <w:lang w:val="uk-UA"/>
        </w:rPr>
        <w:t>.</w:t>
      </w:r>
    </w:p>
    <w:p w:rsidR="00E36F4C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4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174A2D" w:rsidRPr="00F0117E">
        <w:rPr>
          <w:lang w:val="uk-UA"/>
        </w:rPr>
        <w:t>Факти цієї справи, як визнає більшість, принаймні неявно</w:t>
      </w:r>
      <w:r w:rsidR="000169B9" w:rsidRPr="00F0117E">
        <w:rPr>
          <w:lang w:val="uk-UA"/>
        </w:rPr>
        <w:t xml:space="preserve"> (</w:t>
      </w:r>
      <w:r w:rsidR="00174A2D" w:rsidRPr="00F0117E">
        <w:rPr>
          <w:lang w:val="uk-UA"/>
        </w:rPr>
        <w:t>див. пункт 80 рішення</w:t>
      </w:r>
      <w:r w:rsidR="000169B9" w:rsidRPr="00F0117E">
        <w:rPr>
          <w:lang w:val="uk-UA"/>
        </w:rPr>
        <w:t xml:space="preserve">), </w:t>
      </w:r>
      <w:r w:rsidR="00174A2D" w:rsidRPr="00F0117E">
        <w:rPr>
          <w:lang w:val="uk-UA"/>
        </w:rPr>
        <w:t>звичайно, дуже далекі від серйозності справ, які розглядаються у рішенні</w:t>
      </w:r>
      <w:r w:rsidR="000169B9" w:rsidRPr="00F0117E">
        <w:rPr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Söderman</w:t>
      </w:r>
      <w:proofErr w:type="spellEnd"/>
      <w:r w:rsidR="000169B9" w:rsidRPr="00F0117E">
        <w:rPr>
          <w:lang w:val="uk-UA"/>
        </w:rPr>
        <w:t xml:space="preserve">. </w:t>
      </w:r>
      <w:r w:rsidR="00174A2D" w:rsidRPr="00F0117E">
        <w:rPr>
          <w:lang w:val="uk-UA"/>
        </w:rPr>
        <w:t>Врешті-решт, у тій справі Суд розглядав</w:t>
      </w:r>
      <w:r w:rsidR="000169B9" w:rsidRPr="00F0117E">
        <w:rPr>
          <w:lang w:val="uk-UA"/>
        </w:rPr>
        <w:t xml:space="preserve"> </w:t>
      </w:r>
      <w:r w:rsidR="00174A2D" w:rsidRPr="00F0117E">
        <w:rPr>
          <w:lang w:val="uk-UA"/>
        </w:rPr>
        <w:t>твердження про порушення фізичної або психологічної цілісності особи іншою особою</w:t>
      </w:r>
      <w:r w:rsidR="000169B9" w:rsidRPr="00F0117E">
        <w:rPr>
          <w:lang w:val="uk-UA"/>
        </w:rPr>
        <w:t>.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5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174A2D" w:rsidRPr="00F0117E">
        <w:rPr>
          <w:lang w:val="uk-UA"/>
        </w:rPr>
        <w:t>Однак, навіть у такому контексті очевидно, по-перше, що вибір засобів, призначених</w:t>
      </w:r>
      <w:r w:rsidR="000169B9" w:rsidRPr="00F0117E">
        <w:rPr>
          <w:lang w:val="uk-UA"/>
        </w:rPr>
        <w:t xml:space="preserve"> </w:t>
      </w:r>
      <w:r w:rsidR="00174A2D" w:rsidRPr="00F0117E">
        <w:rPr>
          <w:lang w:val="uk-UA"/>
        </w:rPr>
        <w:t>для забезпечення поваги до приватного життя</w:t>
      </w:r>
      <w:r w:rsidR="000169B9" w:rsidRPr="00F0117E">
        <w:rPr>
          <w:lang w:val="uk-UA"/>
        </w:rPr>
        <w:t xml:space="preserve"> </w:t>
      </w:r>
      <w:r w:rsidR="00174A2D" w:rsidRPr="00F0117E">
        <w:rPr>
          <w:lang w:val="uk-UA"/>
        </w:rPr>
        <w:t>відповідно до статті</w:t>
      </w:r>
      <w:r w:rsidR="000169B9" w:rsidRPr="00F0117E">
        <w:rPr>
          <w:lang w:val="uk-UA"/>
        </w:rPr>
        <w:t xml:space="preserve"> 8, </w:t>
      </w:r>
      <w:r w:rsidR="00174A2D" w:rsidRPr="00F0117E">
        <w:rPr>
          <w:lang w:val="uk-UA"/>
        </w:rPr>
        <w:t xml:space="preserve">навіть у сфері </w:t>
      </w:r>
      <w:r w:rsidR="007935AA">
        <w:rPr>
          <w:lang w:val="uk-UA"/>
        </w:rPr>
        <w:t>стосунків</w:t>
      </w:r>
      <w:r w:rsidR="00174A2D" w:rsidRPr="00F0117E">
        <w:rPr>
          <w:lang w:val="uk-UA"/>
        </w:rPr>
        <w:t xml:space="preserve"> осіб між собою</w:t>
      </w:r>
      <w:r w:rsidR="000169B9" w:rsidRPr="00F0117E">
        <w:rPr>
          <w:lang w:val="uk-UA"/>
        </w:rPr>
        <w:t xml:space="preserve">, </w:t>
      </w:r>
      <w:r w:rsidR="00174A2D" w:rsidRPr="00F0117E">
        <w:rPr>
          <w:lang w:val="uk-UA"/>
        </w:rPr>
        <w:t>належить, переважно, договірним державам</w:t>
      </w:r>
      <w:r w:rsidR="000169B9" w:rsidRPr="00F0117E">
        <w:rPr>
          <w:lang w:val="uk-UA"/>
        </w:rPr>
        <w:t xml:space="preserve">; </w:t>
      </w:r>
      <w:r w:rsidR="00174A2D" w:rsidRPr="00F0117E">
        <w:rPr>
          <w:lang w:val="uk-UA"/>
        </w:rPr>
        <w:t xml:space="preserve">і це вибір, </w:t>
      </w:r>
      <w:r w:rsidR="00FC34C7">
        <w:rPr>
          <w:lang w:val="uk-UA"/>
        </w:rPr>
        <w:t xml:space="preserve">стосовно </w:t>
      </w:r>
      <w:r w:rsidR="00174A2D" w:rsidRPr="00F0117E">
        <w:rPr>
          <w:lang w:val="uk-UA"/>
        </w:rPr>
        <w:t>якого вони користуються широкою свободою розсуду</w:t>
      </w:r>
      <w:r w:rsidR="000169B9" w:rsidRPr="00F0117E">
        <w:rPr>
          <w:lang w:val="uk-UA"/>
        </w:rPr>
        <w:t xml:space="preserve"> (</w:t>
      </w:r>
      <w:r w:rsidR="00174A2D" w:rsidRPr="00F0117E">
        <w:rPr>
          <w:lang w:val="uk-UA"/>
        </w:rPr>
        <w:t xml:space="preserve">див. пункт 119 </w:t>
      </w:r>
      <w:r w:rsidR="00174A2D" w:rsidRPr="00F0117E">
        <w:rPr>
          <w:lang w:val="uk-UA"/>
        </w:rPr>
        <w:lastRenderedPageBreak/>
        <w:t>рішення</w:t>
      </w:r>
      <w:r w:rsidR="006F38F8" w:rsidRPr="00F0117E">
        <w:rPr>
          <w:lang w:val="uk-UA"/>
        </w:rPr>
        <w:t>,</w:t>
      </w:r>
      <w:r w:rsidR="000169B9" w:rsidRPr="00F0117E">
        <w:rPr>
          <w:lang w:val="uk-UA"/>
        </w:rPr>
        <w:t xml:space="preserve"> </w:t>
      </w:r>
      <w:r w:rsidR="00174A2D" w:rsidRPr="00F0117E">
        <w:rPr>
          <w:lang w:val="uk-UA"/>
        </w:rPr>
        <w:t>який уточнює, коли, на відміну від даної справи</w:t>
      </w:r>
      <w:r w:rsidR="000169B9" w:rsidRPr="00F0117E">
        <w:rPr>
          <w:lang w:val="uk-UA"/>
        </w:rPr>
        <w:t xml:space="preserve">, </w:t>
      </w:r>
      <w:r w:rsidR="00174A2D" w:rsidRPr="00F0117E">
        <w:rPr>
          <w:lang w:val="uk-UA"/>
        </w:rPr>
        <w:t>на кону конкретний важливий аспект</w:t>
      </w:r>
      <w:r w:rsidR="000169B9" w:rsidRPr="00F0117E">
        <w:rPr>
          <w:lang w:val="uk-UA"/>
        </w:rPr>
        <w:t xml:space="preserve"> </w:t>
      </w:r>
      <w:r w:rsidR="00174A2D" w:rsidRPr="00F0117E">
        <w:rPr>
          <w:lang w:val="uk-UA"/>
        </w:rPr>
        <w:t>існування або ідентичності фізичної особи</w:t>
      </w:r>
      <w:r w:rsidR="000169B9" w:rsidRPr="00F0117E">
        <w:rPr>
          <w:lang w:val="uk-UA"/>
        </w:rPr>
        <w:t xml:space="preserve">, </w:t>
      </w:r>
      <w:r w:rsidR="00174A2D" w:rsidRPr="00F0117E">
        <w:rPr>
          <w:lang w:val="uk-UA"/>
        </w:rPr>
        <w:t>або коли відповідна діяльність включає найбільш інтимний аспект приватного життя</w:t>
      </w:r>
      <w:r w:rsidR="000169B9" w:rsidRPr="00F0117E">
        <w:rPr>
          <w:lang w:val="uk-UA"/>
        </w:rPr>
        <w:t xml:space="preserve">). </w:t>
      </w:r>
      <w:r w:rsidR="0079500C" w:rsidRPr="00F0117E">
        <w:rPr>
          <w:lang w:val="uk-UA"/>
        </w:rPr>
        <w:t>В основі цього висновку лежить той факт,</w:t>
      </w:r>
      <w:r w:rsidR="000169B9" w:rsidRPr="00F0117E">
        <w:rPr>
          <w:lang w:val="uk-UA"/>
        </w:rPr>
        <w:t xml:space="preserve"> </w:t>
      </w:r>
      <w:r w:rsidR="0079500C" w:rsidRPr="00F0117E">
        <w:rPr>
          <w:lang w:val="uk-UA"/>
        </w:rPr>
        <w:t>що не існує європейського консенсусу з цього питання,</w:t>
      </w:r>
      <w:r w:rsidR="000169B9" w:rsidRPr="00F0117E">
        <w:rPr>
          <w:lang w:val="uk-UA"/>
        </w:rPr>
        <w:t xml:space="preserve"> </w:t>
      </w:r>
      <w:r w:rsidR="0079500C" w:rsidRPr="00F0117E">
        <w:rPr>
          <w:lang w:val="uk-UA"/>
        </w:rPr>
        <w:t>і лише шість з тридцяти чотирьох досліджених</w:t>
      </w:r>
      <w:r w:rsidR="000169B9" w:rsidRPr="00F0117E">
        <w:rPr>
          <w:lang w:val="uk-UA"/>
        </w:rPr>
        <w:t xml:space="preserve"> </w:t>
      </w:r>
      <w:r w:rsidR="0079500C" w:rsidRPr="00F0117E">
        <w:rPr>
          <w:lang w:val="uk-UA"/>
        </w:rPr>
        <w:t>держав-членів Ради Європи</w:t>
      </w:r>
      <w:r w:rsidR="000169B9" w:rsidRPr="00F0117E">
        <w:rPr>
          <w:lang w:val="uk-UA"/>
        </w:rPr>
        <w:t xml:space="preserve"> </w:t>
      </w:r>
      <w:r w:rsidR="0079500C" w:rsidRPr="00F0117E">
        <w:rPr>
          <w:lang w:val="uk-UA"/>
        </w:rPr>
        <w:t>чітко врегулювали питання приватності на робочому місці</w:t>
      </w:r>
      <w:r w:rsidR="000169B9" w:rsidRPr="00F0117E">
        <w:rPr>
          <w:lang w:val="uk-UA"/>
        </w:rPr>
        <w:t xml:space="preserve"> (</w:t>
      </w:r>
      <w:r w:rsidR="0079500C" w:rsidRPr="00F0117E">
        <w:rPr>
          <w:lang w:val="uk-UA"/>
        </w:rPr>
        <w:t>див. пункти</w:t>
      </w:r>
      <w:r w:rsidR="000169B9" w:rsidRPr="00F0117E">
        <w:rPr>
          <w:lang w:val="uk-UA"/>
        </w:rPr>
        <w:t xml:space="preserve"> 52 </w:t>
      </w:r>
      <w:r w:rsidR="0079500C" w:rsidRPr="00F0117E">
        <w:rPr>
          <w:lang w:val="uk-UA"/>
        </w:rPr>
        <w:t>та 118 рішення</w:t>
      </w:r>
      <w:r w:rsidR="000169B9" w:rsidRPr="00F0117E">
        <w:rPr>
          <w:lang w:val="uk-UA"/>
        </w:rPr>
        <w:t xml:space="preserve">). </w:t>
      </w:r>
      <w:r w:rsidR="0079500C" w:rsidRPr="00F0117E">
        <w:rPr>
          <w:lang w:val="uk-UA"/>
        </w:rPr>
        <w:t>По-друге, «заходи», вжиті державою</w:t>
      </w:r>
      <w:r w:rsidR="000169B9" w:rsidRPr="00F0117E">
        <w:rPr>
          <w:lang w:val="uk-UA"/>
        </w:rPr>
        <w:t xml:space="preserve"> </w:t>
      </w:r>
      <w:r w:rsidR="0079500C" w:rsidRPr="00F0117E">
        <w:rPr>
          <w:lang w:val="uk-UA"/>
        </w:rPr>
        <w:t>відповідно до статті 8, повинні, в принципі,</w:t>
      </w:r>
      <w:r w:rsidR="000169B9" w:rsidRPr="00F0117E">
        <w:rPr>
          <w:lang w:val="uk-UA"/>
        </w:rPr>
        <w:t xml:space="preserve"> </w:t>
      </w:r>
      <w:r w:rsidR="0079500C" w:rsidRPr="00F0117E">
        <w:rPr>
          <w:lang w:val="uk-UA"/>
        </w:rPr>
        <w:t>мати форму належної «юридичної системи»,</w:t>
      </w:r>
      <w:r w:rsidR="000169B9" w:rsidRPr="00F0117E">
        <w:rPr>
          <w:lang w:val="uk-UA"/>
        </w:rPr>
        <w:t xml:space="preserve"> </w:t>
      </w:r>
      <w:r w:rsidR="0079500C" w:rsidRPr="00F0117E">
        <w:rPr>
          <w:lang w:val="uk-UA"/>
        </w:rPr>
        <w:t>яка забезпечує захист постраждалого</w:t>
      </w:r>
      <w:r w:rsidR="000169B9" w:rsidRPr="00F0117E">
        <w:rPr>
          <w:lang w:val="uk-UA"/>
        </w:rPr>
        <w:t xml:space="preserve">. </w:t>
      </w:r>
      <w:r w:rsidR="0079500C" w:rsidRPr="00F0117E">
        <w:rPr>
          <w:lang w:val="uk-UA"/>
        </w:rPr>
        <w:t>Стаття 8 не обов’язково потребує існування ефективного положення кримінального права,</w:t>
      </w:r>
      <w:r w:rsidR="000169B9" w:rsidRPr="00F0117E">
        <w:rPr>
          <w:lang w:val="uk-UA"/>
        </w:rPr>
        <w:t xml:space="preserve"> </w:t>
      </w:r>
      <w:r w:rsidR="0079500C" w:rsidRPr="00F0117E">
        <w:rPr>
          <w:lang w:val="uk-UA"/>
        </w:rPr>
        <w:t>яке б охоплювало конкретну дію</w:t>
      </w:r>
      <w:r w:rsidR="000169B9" w:rsidRPr="00F0117E">
        <w:rPr>
          <w:lang w:val="uk-UA"/>
        </w:rPr>
        <w:t xml:space="preserve">. </w:t>
      </w:r>
      <w:r w:rsidR="0079500C" w:rsidRPr="00F0117E">
        <w:rPr>
          <w:lang w:val="uk-UA"/>
        </w:rPr>
        <w:t>Правова система може також складатися</w:t>
      </w:r>
      <w:r w:rsidR="000169B9" w:rsidRPr="00F0117E">
        <w:rPr>
          <w:lang w:val="uk-UA"/>
        </w:rPr>
        <w:t xml:space="preserve"> </w:t>
      </w:r>
      <w:r w:rsidR="0079500C" w:rsidRPr="00F0117E">
        <w:rPr>
          <w:lang w:val="uk-UA"/>
        </w:rPr>
        <w:t>з засобів правового захисту у межах цивільного права,</w:t>
      </w:r>
      <w:r w:rsidR="000169B9" w:rsidRPr="00F0117E">
        <w:rPr>
          <w:lang w:val="uk-UA"/>
        </w:rPr>
        <w:t xml:space="preserve"> </w:t>
      </w:r>
      <w:r w:rsidR="0079500C" w:rsidRPr="00F0117E">
        <w:rPr>
          <w:lang w:val="uk-UA"/>
        </w:rPr>
        <w:t>здатних забезпечити достатній захист</w:t>
      </w:r>
      <w:r w:rsidR="000169B9" w:rsidRPr="00F0117E">
        <w:rPr>
          <w:lang w:val="uk-UA"/>
        </w:rPr>
        <w:t>.</w:t>
      </w:r>
    </w:p>
    <w:p w:rsidR="00E36F4C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6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79500C" w:rsidRPr="00F0117E">
        <w:rPr>
          <w:lang w:val="uk-UA"/>
        </w:rPr>
        <w:t>Це, звичайно, застосовується з необхідними змінами й до даної справи,</w:t>
      </w:r>
      <w:r w:rsidR="000169B9" w:rsidRPr="00F0117E">
        <w:rPr>
          <w:lang w:val="uk-UA"/>
        </w:rPr>
        <w:t xml:space="preserve"> </w:t>
      </w:r>
      <w:r w:rsidR="0079500C" w:rsidRPr="00F0117E">
        <w:rPr>
          <w:lang w:val="uk-UA"/>
        </w:rPr>
        <w:t>в якій, як визначає більшість</w:t>
      </w:r>
      <w:r w:rsidR="000169B9" w:rsidRPr="00F0117E">
        <w:rPr>
          <w:lang w:val="uk-UA"/>
        </w:rPr>
        <w:t xml:space="preserve">, </w:t>
      </w:r>
      <w:r w:rsidR="0079500C" w:rsidRPr="00F0117E">
        <w:rPr>
          <w:lang w:val="uk-UA"/>
        </w:rPr>
        <w:t>Суд у кращому випадку турбується про невід’ємний, мінімальний рівень захисту приватного життя</w:t>
      </w:r>
      <w:r w:rsidR="000169B9" w:rsidRPr="00F0117E">
        <w:rPr>
          <w:lang w:val="uk-UA"/>
        </w:rPr>
        <w:t xml:space="preserve"> </w:t>
      </w:r>
      <w:r w:rsidR="0079500C" w:rsidRPr="00F0117E">
        <w:rPr>
          <w:lang w:val="uk-UA"/>
        </w:rPr>
        <w:t>і кореспонденції на робочому місці</w:t>
      </w:r>
      <w:r w:rsidR="000169B9" w:rsidRPr="00F0117E">
        <w:rPr>
          <w:lang w:val="uk-UA"/>
        </w:rPr>
        <w:t xml:space="preserve"> </w:t>
      </w:r>
      <w:r w:rsidR="0079500C" w:rsidRPr="00F0117E">
        <w:rPr>
          <w:lang w:val="uk-UA"/>
        </w:rPr>
        <w:t>від втручання приватного роботодавця</w:t>
      </w:r>
      <w:r w:rsidR="000169B9" w:rsidRPr="00F0117E">
        <w:rPr>
          <w:lang w:val="uk-UA"/>
        </w:rPr>
        <w:t>.</w:t>
      </w:r>
    </w:p>
    <w:p w:rsidR="000169B9" w:rsidRPr="00F0117E" w:rsidRDefault="00BA3799" w:rsidP="008B2B31">
      <w:pPr>
        <w:pStyle w:val="OpiHA"/>
        <w:ind w:hanging="73"/>
        <w:rPr>
          <w:lang w:val="uk-UA"/>
        </w:rPr>
      </w:pPr>
      <w:r w:rsidRPr="00F0117E">
        <w:rPr>
          <w:lang w:val="uk-UA"/>
        </w:rPr>
        <w:t>Центральний момент перевірки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7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FC402A" w:rsidRPr="00F0117E">
        <w:rPr>
          <w:lang w:val="uk-UA"/>
        </w:rPr>
        <w:t>Визначивши деякі з наведених вище принципів</w:t>
      </w:r>
      <w:r w:rsidR="000169B9" w:rsidRPr="00F0117E">
        <w:rPr>
          <w:lang w:val="uk-UA"/>
        </w:rPr>
        <w:t xml:space="preserve">, </w:t>
      </w:r>
      <w:r w:rsidR="00FC402A" w:rsidRPr="00F0117E">
        <w:rPr>
          <w:lang w:val="uk-UA"/>
        </w:rPr>
        <w:t>більшість, у пункті</w:t>
      </w:r>
      <w:r w:rsidR="000169B9" w:rsidRPr="00F0117E">
        <w:rPr>
          <w:lang w:val="uk-UA"/>
        </w:rPr>
        <w:t xml:space="preserve"> 123, </w:t>
      </w:r>
      <w:r w:rsidR="00FC402A" w:rsidRPr="00F0117E">
        <w:rPr>
          <w:lang w:val="uk-UA"/>
        </w:rPr>
        <w:t>несправедливо, на нашу думку, обмежила свою перевірку</w:t>
      </w:r>
      <w:r w:rsidR="000169B9" w:rsidRPr="00F0117E">
        <w:rPr>
          <w:lang w:val="uk-UA"/>
        </w:rPr>
        <w:t xml:space="preserve"> </w:t>
      </w:r>
      <w:r w:rsidR="00FC402A" w:rsidRPr="00F0117E">
        <w:rPr>
          <w:lang w:val="uk-UA"/>
        </w:rPr>
        <w:t>питанням</w:t>
      </w:r>
      <w:r w:rsidR="00862550" w:rsidRPr="00F0117E">
        <w:rPr>
          <w:lang w:val="uk-UA"/>
        </w:rPr>
        <w:t xml:space="preserve"> про те,</w:t>
      </w:r>
      <w:r w:rsidR="000169B9" w:rsidRPr="00F0117E">
        <w:rPr>
          <w:lang w:val="uk-UA"/>
        </w:rPr>
        <w:t xml:space="preserve"> </w:t>
      </w:r>
      <w:r w:rsidR="00862550" w:rsidRPr="00F0117E">
        <w:rPr>
          <w:lang w:val="uk-UA"/>
        </w:rPr>
        <w:t>«як національні суди,</w:t>
      </w:r>
      <w:r w:rsidR="000169B9" w:rsidRPr="00F0117E">
        <w:rPr>
          <w:lang w:val="uk-UA"/>
        </w:rPr>
        <w:t xml:space="preserve"> </w:t>
      </w:r>
      <w:r w:rsidR="00862550" w:rsidRPr="00F0117E">
        <w:rPr>
          <w:lang w:val="uk-UA"/>
        </w:rPr>
        <w:t>до яких звернувся заявник, розглянули його скаргу</w:t>
      </w:r>
      <w:r w:rsidR="000169B9" w:rsidRPr="00F0117E">
        <w:rPr>
          <w:lang w:val="uk-UA"/>
        </w:rPr>
        <w:t xml:space="preserve"> </w:t>
      </w:r>
      <w:r w:rsidR="00862550" w:rsidRPr="00F0117E">
        <w:rPr>
          <w:lang w:val="uk-UA"/>
        </w:rPr>
        <w:t>на порушення роботодавцем</w:t>
      </w:r>
      <w:r w:rsidR="000169B9" w:rsidRPr="00F0117E">
        <w:rPr>
          <w:lang w:val="uk-UA"/>
        </w:rPr>
        <w:t xml:space="preserve"> </w:t>
      </w:r>
      <w:r w:rsidR="00862550" w:rsidRPr="00F0117E">
        <w:rPr>
          <w:lang w:val="uk-UA"/>
        </w:rPr>
        <w:t>його права на повагу до приватного життя</w:t>
      </w:r>
      <w:r w:rsidR="000169B9" w:rsidRPr="00F0117E">
        <w:rPr>
          <w:lang w:val="uk-UA"/>
        </w:rPr>
        <w:t xml:space="preserve"> </w:t>
      </w:r>
      <w:r w:rsidR="00862550" w:rsidRPr="00F0117E">
        <w:rPr>
          <w:lang w:val="uk-UA"/>
        </w:rPr>
        <w:t>та кореспонденції у контексті працевлаштування»</w:t>
      </w:r>
      <w:r w:rsidR="000169B9" w:rsidRPr="00F0117E">
        <w:rPr>
          <w:lang w:val="uk-UA"/>
        </w:rPr>
        <w:t>.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8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862550" w:rsidRPr="00F0117E">
        <w:rPr>
          <w:lang w:val="uk-UA"/>
        </w:rPr>
        <w:t>Визнаючи, що «засоби захисту</w:t>
      </w:r>
      <w:r w:rsidR="000169B9" w:rsidRPr="00F0117E">
        <w:rPr>
          <w:lang w:val="uk-UA"/>
        </w:rPr>
        <w:t xml:space="preserve"> </w:t>
      </w:r>
      <w:r w:rsidR="00862550" w:rsidRPr="00F0117E">
        <w:rPr>
          <w:lang w:val="uk-UA"/>
        </w:rPr>
        <w:t>можна знайти не лише у трудовому праві</w:t>
      </w:r>
      <w:r w:rsidR="000169B9" w:rsidRPr="00F0117E">
        <w:rPr>
          <w:lang w:val="uk-UA"/>
        </w:rPr>
        <w:t xml:space="preserve">, </w:t>
      </w:r>
      <w:r w:rsidR="00862550" w:rsidRPr="00F0117E">
        <w:rPr>
          <w:lang w:val="uk-UA"/>
        </w:rPr>
        <w:t>але і у цивільному та кримінальному праві»</w:t>
      </w:r>
      <w:r w:rsidR="000169B9" w:rsidRPr="00F0117E">
        <w:rPr>
          <w:lang w:val="uk-UA"/>
        </w:rPr>
        <w:t xml:space="preserve"> (</w:t>
      </w:r>
      <w:r w:rsidR="00862550" w:rsidRPr="00F0117E">
        <w:rPr>
          <w:lang w:val="uk-UA"/>
        </w:rPr>
        <w:t>див. пункт 116 рішення</w:t>
      </w:r>
      <w:r w:rsidR="000169B9" w:rsidRPr="00F0117E">
        <w:rPr>
          <w:lang w:val="uk-UA"/>
        </w:rPr>
        <w:t xml:space="preserve">), </w:t>
      </w:r>
      <w:r w:rsidR="00862550" w:rsidRPr="00F0117E">
        <w:rPr>
          <w:lang w:val="uk-UA"/>
        </w:rPr>
        <w:t>більшість, насправді, стала у стороні</w:t>
      </w:r>
      <w:r w:rsidR="000169B9" w:rsidRPr="00F0117E">
        <w:rPr>
          <w:lang w:val="uk-UA"/>
        </w:rPr>
        <w:t xml:space="preserve"> </w:t>
      </w:r>
      <w:r w:rsidR="00862550" w:rsidRPr="00F0117E">
        <w:rPr>
          <w:lang w:val="uk-UA"/>
        </w:rPr>
        <w:t>та уникнула справжнього питання, на яке необхідно відповісти</w:t>
      </w:r>
      <w:r w:rsidR="000169B9" w:rsidRPr="00F0117E">
        <w:rPr>
          <w:lang w:val="uk-UA"/>
        </w:rPr>
        <w:t xml:space="preserve">, </w:t>
      </w:r>
      <w:r w:rsidR="00862550" w:rsidRPr="00F0117E">
        <w:rPr>
          <w:lang w:val="uk-UA"/>
        </w:rPr>
        <w:t>а саме, чи підтримала та застосувала Висока Договірна Сторона</w:t>
      </w:r>
      <w:r w:rsidR="000169B9" w:rsidRPr="00F0117E">
        <w:rPr>
          <w:lang w:val="uk-UA"/>
        </w:rPr>
        <w:t xml:space="preserve"> </w:t>
      </w:r>
      <w:r w:rsidR="00862550" w:rsidRPr="00F0117E">
        <w:rPr>
          <w:lang w:val="uk-UA"/>
        </w:rPr>
        <w:t>належну «правову систему»,</w:t>
      </w:r>
      <w:r w:rsidR="000169B9" w:rsidRPr="00F0117E">
        <w:rPr>
          <w:lang w:val="uk-UA"/>
        </w:rPr>
        <w:t xml:space="preserve"> </w:t>
      </w:r>
      <w:r w:rsidR="00862550" w:rsidRPr="00F0117E">
        <w:rPr>
          <w:lang w:val="uk-UA"/>
        </w:rPr>
        <w:t>яка б надала щонайменш</w:t>
      </w:r>
      <w:r w:rsidR="007935AA">
        <w:rPr>
          <w:lang w:val="uk-UA"/>
        </w:rPr>
        <w:t>е</w:t>
      </w:r>
      <w:r w:rsidR="00862550" w:rsidRPr="00F0117E">
        <w:rPr>
          <w:lang w:val="uk-UA"/>
        </w:rPr>
        <w:t xml:space="preserve"> засоби правового захисту в рамках цивільного права,</w:t>
      </w:r>
      <w:r w:rsidR="000169B9" w:rsidRPr="00F0117E">
        <w:rPr>
          <w:lang w:val="uk-UA"/>
        </w:rPr>
        <w:t xml:space="preserve"> </w:t>
      </w:r>
      <w:r w:rsidR="00862550" w:rsidRPr="00F0117E">
        <w:rPr>
          <w:lang w:val="uk-UA"/>
        </w:rPr>
        <w:t>здатні забезпечити достатній захист заявника</w:t>
      </w:r>
      <w:r w:rsidR="002B476B" w:rsidRPr="00F0117E">
        <w:rPr>
          <w:lang w:val="uk-UA"/>
        </w:rPr>
        <w:t>?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9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3418B4" w:rsidRPr="00F0117E">
        <w:rPr>
          <w:lang w:val="uk-UA"/>
        </w:rPr>
        <w:t>Як стверджувала держава-відповідач</w:t>
      </w:r>
      <w:r w:rsidR="000169B9" w:rsidRPr="00F0117E">
        <w:rPr>
          <w:lang w:val="uk-UA"/>
        </w:rPr>
        <w:t xml:space="preserve">, </w:t>
      </w:r>
      <w:r w:rsidR="003418B4" w:rsidRPr="00F0117E">
        <w:rPr>
          <w:lang w:val="uk-UA"/>
        </w:rPr>
        <w:t>і як визнала більшість</w:t>
      </w:r>
      <w:r w:rsidR="000169B9" w:rsidRPr="00F0117E">
        <w:rPr>
          <w:lang w:val="uk-UA"/>
        </w:rPr>
        <w:t xml:space="preserve">, </w:t>
      </w:r>
      <w:r w:rsidR="003418B4" w:rsidRPr="00F0117E">
        <w:rPr>
          <w:lang w:val="uk-UA"/>
        </w:rPr>
        <w:t>відповідна «правова система» у Румунії</w:t>
      </w:r>
      <w:r w:rsidR="000169B9" w:rsidRPr="00F0117E">
        <w:rPr>
          <w:lang w:val="uk-UA"/>
        </w:rPr>
        <w:t xml:space="preserve"> </w:t>
      </w:r>
      <w:r w:rsidR="003418B4" w:rsidRPr="00F0117E">
        <w:rPr>
          <w:lang w:val="uk-UA"/>
        </w:rPr>
        <w:t>складається не лише з трудових судів</w:t>
      </w:r>
      <w:r w:rsidR="000169B9" w:rsidRPr="00F0117E">
        <w:rPr>
          <w:lang w:val="uk-UA"/>
        </w:rPr>
        <w:t xml:space="preserve">, </w:t>
      </w:r>
      <w:r w:rsidR="003418B4" w:rsidRPr="00F0117E">
        <w:rPr>
          <w:lang w:val="uk-UA"/>
        </w:rPr>
        <w:t>до яких заявник звернувся зі своєю скаргою</w:t>
      </w:r>
      <w:r w:rsidR="00B166FF" w:rsidRPr="00F0117E">
        <w:rPr>
          <w:lang w:val="uk-UA"/>
        </w:rPr>
        <w:t>. До неї також входили, зокрема</w:t>
      </w:r>
      <w:r w:rsidR="000169B9" w:rsidRPr="00F0117E">
        <w:rPr>
          <w:lang w:val="uk-UA"/>
        </w:rPr>
        <w:t>:</w:t>
      </w:r>
    </w:p>
    <w:p w:rsidR="00E36F4C" w:rsidRPr="00F0117E" w:rsidRDefault="000169B9" w:rsidP="008B2B31">
      <w:pPr>
        <w:pStyle w:val="OpiParaSub"/>
        <w:rPr>
          <w:lang w:val="uk-UA"/>
        </w:rPr>
      </w:pPr>
      <w:r w:rsidRPr="00F0117E">
        <w:rPr>
          <w:lang w:val="uk-UA"/>
        </w:rPr>
        <w:t>(a)</w:t>
      </w:r>
      <w:r w:rsidR="00FA6D4F" w:rsidRPr="00F0117E">
        <w:rPr>
          <w:lang w:val="uk-UA"/>
        </w:rPr>
        <w:t xml:space="preserve"> </w:t>
      </w:r>
      <w:r w:rsidR="0035667C" w:rsidRPr="00F0117E">
        <w:rPr>
          <w:lang w:val="uk-UA"/>
        </w:rPr>
        <w:t>кримінальне правопорушення,</w:t>
      </w:r>
      <w:r w:rsidRPr="00F0117E">
        <w:rPr>
          <w:lang w:val="uk-UA"/>
        </w:rPr>
        <w:t xml:space="preserve"> </w:t>
      </w:r>
      <w:r w:rsidR="0035667C" w:rsidRPr="00F0117E">
        <w:rPr>
          <w:lang w:val="uk-UA"/>
        </w:rPr>
        <w:t>«порушення таємниці кореспонденції»</w:t>
      </w:r>
      <w:r w:rsidRPr="00F0117E">
        <w:rPr>
          <w:lang w:val="uk-UA"/>
        </w:rPr>
        <w:t xml:space="preserve"> </w:t>
      </w:r>
      <w:r w:rsidR="0035667C" w:rsidRPr="00F0117E">
        <w:rPr>
          <w:lang w:val="uk-UA"/>
        </w:rPr>
        <w:t>у розумінні статті 195 Кримінального кодексу</w:t>
      </w:r>
      <w:r w:rsidRPr="00F0117E">
        <w:rPr>
          <w:lang w:val="uk-UA"/>
        </w:rPr>
        <w:t xml:space="preserve"> (</w:t>
      </w:r>
      <w:r w:rsidR="0035667C" w:rsidRPr="00F0117E">
        <w:rPr>
          <w:lang w:val="uk-UA"/>
        </w:rPr>
        <w:t>див. пункт 33 рішення</w:t>
      </w:r>
      <w:r w:rsidRPr="00F0117E">
        <w:rPr>
          <w:lang w:val="uk-UA"/>
        </w:rPr>
        <w:t xml:space="preserve">); </w:t>
      </w:r>
      <w:r w:rsidR="0035667C" w:rsidRPr="00F0117E">
        <w:rPr>
          <w:lang w:val="uk-UA"/>
        </w:rPr>
        <w:t>до речі, саме той засіб правового захисту, яким скористався заявник,</w:t>
      </w:r>
      <w:r w:rsidRPr="00F0117E">
        <w:rPr>
          <w:lang w:val="uk-UA"/>
        </w:rPr>
        <w:t xml:space="preserve"> </w:t>
      </w:r>
      <w:r w:rsidR="0035667C" w:rsidRPr="00F0117E">
        <w:rPr>
          <w:lang w:val="uk-UA"/>
        </w:rPr>
        <w:t>коли подав скаргу у кримінальному порядку</w:t>
      </w:r>
      <w:r w:rsidRPr="00F0117E">
        <w:rPr>
          <w:lang w:val="uk-UA"/>
        </w:rPr>
        <w:t xml:space="preserve">, </w:t>
      </w:r>
      <w:r w:rsidR="0035667C" w:rsidRPr="00F0117E">
        <w:rPr>
          <w:lang w:val="uk-UA"/>
        </w:rPr>
        <w:lastRenderedPageBreak/>
        <w:t>але, після рішення прокурора</w:t>
      </w:r>
      <w:r w:rsidRPr="00F0117E">
        <w:rPr>
          <w:lang w:val="uk-UA"/>
        </w:rPr>
        <w:t xml:space="preserve"> </w:t>
      </w:r>
      <w:r w:rsidR="0035667C" w:rsidRPr="00F0117E">
        <w:rPr>
          <w:lang w:val="uk-UA"/>
        </w:rPr>
        <w:t>про те, що не було підстав для відповіді на цю скаргу</w:t>
      </w:r>
      <w:r w:rsidRPr="00F0117E">
        <w:rPr>
          <w:lang w:val="uk-UA"/>
        </w:rPr>
        <w:t xml:space="preserve">, </w:t>
      </w:r>
      <w:r w:rsidR="0035667C" w:rsidRPr="00F0117E">
        <w:rPr>
          <w:lang w:val="uk-UA"/>
        </w:rPr>
        <w:t>не вичерпав його через те,</w:t>
      </w:r>
      <w:r w:rsidRPr="00F0117E">
        <w:rPr>
          <w:lang w:val="uk-UA"/>
        </w:rPr>
        <w:t xml:space="preserve"> </w:t>
      </w:r>
      <w:r w:rsidR="0035667C" w:rsidRPr="00F0117E">
        <w:rPr>
          <w:lang w:val="uk-UA"/>
        </w:rPr>
        <w:t>що не опротестував це рішення в національних судах</w:t>
      </w:r>
      <w:r w:rsidRPr="00F0117E">
        <w:rPr>
          <w:lang w:val="uk-UA"/>
        </w:rPr>
        <w:t xml:space="preserve">: </w:t>
      </w:r>
      <w:r w:rsidR="0035667C" w:rsidRPr="00F0117E">
        <w:rPr>
          <w:lang w:val="uk-UA"/>
        </w:rPr>
        <w:t>пункт 31 рішення</w:t>
      </w:r>
      <w:r w:rsidRPr="00F0117E">
        <w:rPr>
          <w:lang w:val="uk-UA"/>
        </w:rPr>
        <w:t>;</w:t>
      </w:r>
    </w:p>
    <w:p w:rsidR="000169B9" w:rsidRPr="00F0117E" w:rsidRDefault="000169B9" w:rsidP="008B2B31">
      <w:pPr>
        <w:pStyle w:val="OpiParaSub"/>
        <w:rPr>
          <w:lang w:val="uk-UA"/>
        </w:rPr>
      </w:pPr>
      <w:r w:rsidRPr="00F0117E">
        <w:rPr>
          <w:lang w:val="uk-UA"/>
        </w:rPr>
        <w:t>(b)</w:t>
      </w:r>
      <w:r w:rsidR="00FA6D4F" w:rsidRPr="00F0117E">
        <w:rPr>
          <w:lang w:val="uk-UA"/>
        </w:rPr>
        <w:t xml:space="preserve"> </w:t>
      </w:r>
      <w:r w:rsidR="0065176D" w:rsidRPr="00F0117E">
        <w:rPr>
          <w:lang w:val="uk-UA"/>
        </w:rPr>
        <w:t>положення Закону №</w:t>
      </w:r>
      <w:r w:rsidRPr="00F0117E">
        <w:rPr>
          <w:lang w:val="uk-UA"/>
        </w:rPr>
        <w:t xml:space="preserve"> 677/2001 </w:t>
      </w:r>
      <w:r w:rsidR="0065176D" w:rsidRPr="00F0117E">
        <w:rPr>
          <w:lang w:val="uk-UA"/>
        </w:rPr>
        <w:t>«про захист фізичних осіб у зв’язку</w:t>
      </w:r>
      <w:r w:rsidRPr="00F0117E">
        <w:rPr>
          <w:lang w:val="uk-UA"/>
        </w:rPr>
        <w:t xml:space="preserve"> </w:t>
      </w:r>
      <w:r w:rsidR="0065176D" w:rsidRPr="00F0117E">
        <w:rPr>
          <w:lang w:val="uk-UA"/>
        </w:rPr>
        <w:t>з опрацюванням персональних даних</w:t>
      </w:r>
      <w:r w:rsidRPr="00F0117E">
        <w:rPr>
          <w:lang w:val="uk-UA"/>
        </w:rPr>
        <w:t xml:space="preserve"> </w:t>
      </w:r>
      <w:r w:rsidR="0065176D" w:rsidRPr="00F0117E">
        <w:rPr>
          <w:lang w:val="uk-UA"/>
        </w:rPr>
        <w:t>та вільним переміщенням таких даних»</w:t>
      </w:r>
      <w:r w:rsidRPr="00F0117E">
        <w:rPr>
          <w:lang w:val="uk-UA"/>
        </w:rPr>
        <w:t xml:space="preserve"> (</w:t>
      </w:r>
      <w:r w:rsidR="0065176D" w:rsidRPr="00F0117E">
        <w:rPr>
          <w:lang w:val="uk-UA"/>
        </w:rPr>
        <w:t>див. пункт</w:t>
      </w:r>
      <w:r w:rsidRPr="00F0117E">
        <w:rPr>
          <w:lang w:val="uk-UA"/>
        </w:rPr>
        <w:t xml:space="preserve"> 36</w:t>
      </w:r>
      <w:r w:rsidR="002B476B" w:rsidRPr="00F0117E">
        <w:rPr>
          <w:lang w:val="uk-UA"/>
        </w:rPr>
        <w:t xml:space="preserve"> </w:t>
      </w:r>
      <w:r w:rsidR="0065176D" w:rsidRPr="00F0117E">
        <w:rPr>
          <w:lang w:val="uk-UA"/>
        </w:rPr>
        <w:t>рішення</w:t>
      </w:r>
      <w:r w:rsidRPr="00F0117E">
        <w:rPr>
          <w:lang w:val="uk-UA"/>
        </w:rPr>
        <w:t>)</w:t>
      </w:r>
      <w:r w:rsidR="00766B40" w:rsidRPr="00F0117E">
        <w:rPr>
          <w:lang w:val="uk-UA"/>
        </w:rPr>
        <w:t>,</w:t>
      </w:r>
      <w:r w:rsidRPr="00F0117E">
        <w:rPr>
          <w:lang w:val="uk-UA"/>
        </w:rPr>
        <w:t xml:space="preserve"> </w:t>
      </w:r>
      <w:r w:rsidR="0065176D" w:rsidRPr="00F0117E">
        <w:rPr>
          <w:lang w:val="uk-UA"/>
        </w:rPr>
        <w:t>який в очікуванні вступу Румунії до ЄС</w:t>
      </w:r>
      <w:r w:rsidRPr="00F0117E">
        <w:rPr>
          <w:lang w:val="uk-UA"/>
        </w:rPr>
        <w:t xml:space="preserve"> </w:t>
      </w:r>
      <w:r w:rsidR="0065176D" w:rsidRPr="00F0117E">
        <w:rPr>
          <w:lang w:val="uk-UA"/>
        </w:rPr>
        <w:t>повторює деякі положення</w:t>
      </w:r>
      <w:r w:rsidRPr="00F0117E">
        <w:rPr>
          <w:lang w:val="uk-UA"/>
        </w:rPr>
        <w:t xml:space="preserve"> </w:t>
      </w:r>
      <w:r w:rsidR="0065176D" w:rsidRPr="00F0117E">
        <w:rPr>
          <w:lang w:val="uk-UA"/>
        </w:rPr>
        <w:t>Директиви</w:t>
      </w:r>
      <w:r w:rsidRPr="00F0117E">
        <w:rPr>
          <w:lang w:val="uk-UA"/>
        </w:rPr>
        <w:t xml:space="preserve"> 95/46/EC </w:t>
      </w:r>
      <w:r w:rsidR="0065176D" w:rsidRPr="00F0117E">
        <w:rPr>
          <w:lang w:val="uk-UA"/>
        </w:rPr>
        <w:t>Європейського Парламенту та Ради Європейського Союзу від</w:t>
      </w:r>
      <w:r w:rsidRPr="00F0117E">
        <w:rPr>
          <w:lang w:val="uk-UA"/>
        </w:rPr>
        <w:t xml:space="preserve"> 24 </w:t>
      </w:r>
      <w:r w:rsidR="0065176D" w:rsidRPr="00F0117E">
        <w:rPr>
          <w:lang w:val="uk-UA"/>
        </w:rPr>
        <w:t>жовтня</w:t>
      </w:r>
      <w:r w:rsidRPr="00F0117E">
        <w:rPr>
          <w:lang w:val="uk-UA"/>
        </w:rPr>
        <w:t xml:space="preserve"> 1995 </w:t>
      </w:r>
      <w:r w:rsidR="0065176D" w:rsidRPr="00F0117E">
        <w:rPr>
          <w:lang w:val="uk-UA"/>
        </w:rPr>
        <w:t>року про захист фізичних осіб у зв’язку</w:t>
      </w:r>
      <w:r w:rsidRPr="00F0117E">
        <w:rPr>
          <w:lang w:val="uk-UA"/>
        </w:rPr>
        <w:t xml:space="preserve"> </w:t>
      </w:r>
      <w:r w:rsidR="0065176D" w:rsidRPr="00F0117E">
        <w:rPr>
          <w:lang w:val="uk-UA"/>
        </w:rPr>
        <w:t>з опрацюванням персональних даних</w:t>
      </w:r>
      <w:r w:rsidRPr="00F0117E">
        <w:rPr>
          <w:lang w:val="uk-UA"/>
        </w:rPr>
        <w:t xml:space="preserve"> </w:t>
      </w:r>
      <w:r w:rsidR="0065176D" w:rsidRPr="00F0117E">
        <w:rPr>
          <w:lang w:val="uk-UA"/>
        </w:rPr>
        <w:t>та вільне переміщення таких даних</w:t>
      </w:r>
      <w:r w:rsidRPr="00F0117E">
        <w:rPr>
          <w:lang w:val="uk-UA"/>
        </w:rPr>
        <w:t xml:space="preserve">. </w:t>
      </w:r>
      <w:r w:rsidR="0065176D" w:rsidRPr="00F0117E">
        <w:rPr>
          <w:lang w:val="uk-UA"/>
        </w:rPr>
        <w:t>Цей закон чітко передбачає, у статті</w:t>
      </w:r>
      <w:r w:rsidRPr="00F0117E">
        <w:rPr>
          <w:lang w:val="uk-UA"/>
        </w:rPr>
        <w:t xml:space="preserve"> 18, </w:t>
      </w:r>
      <w:r w:rsidR="0065176D" w:rsidRPr="00F0117E">
        <w:rPr>
          <w:lang w:val="uk-UA"/>
        </w:rPr>
        <w:t>право</w:t>
      </w:r>
      <w:r w:rsidRPr="00F0117E">
        <w:rPr>
          <w:lang w:val="uk-UA"/>
        </w:rPr>
        <w:t xml:space="preserve"> (i) </w:t>
      </w:r>
      <w:r w:rsidR="0065176D" w:rsidRPr="00F0117E">
        <w:rPr>
          <w:lang w:val="uk-UA"/>
        </w:rPr>
        <w:t>подати скаргу до контролюючого органу</w:t>
      </w:r>
      <w:r w:rsidRPr="00F0117E">
        <w:rPr>
          <w:lang w:val="uk-UA"/>
        </w:rPr>
        <w:t xml:space="preserve"> </w:t>
      </w:r>
      <w:r w:rsidR="0065176D" w:rsidRPr="00F0117E">
        <w:rPr>
          <w:lang w:val="uk-UA"/>
        </w:rPr>
        <w:t>та, в якості альтернативи або згодом</w:t>
      </w:r>
      <w:r w:rsidRPr="00F0117E">
        <w:rPr>
          <w:lang w:val="uk-UA"/>
        </w:rPr>
        <w:t xml:space="preserve">, (ii) </w:t>
      </w:r>
      <w:r w:rsidR="0065176D" w:rsidRPr="00F0117E">
        <w:rPr>
          <w:lang w:val="uk-UA"/>
        </w:rPr>
        <w:t>звернутися до компетентних судів</w:t>
      </w:r>
      <w:r w:rsidRPr="00F0117E">
        <w:rPr>
          <w:lang w:val="uk-UA"/>
        </w:rPr>
        <w:t xml:space="preserve"> </w:t>
      </w:r>
      <w:r w:rsidR="0065176D" w:rsidRPr="00F0117E">
        <w:rPr>
          <w:lang w:val="uk-UA"/>
        </w:rPr>
        <w:t>за захистом прав на захист даних,</w:t>
      </w:r>
      <w:r w:rsidRPr="00F0117E">
        <w:rPr>
          <w:lang w:val="uk-UA"/>
        </w:rPr>
        <w:t xml:space="preserve"> </w:t>
      </w:r>
      <w:r w:rsidR="0065176D" w:rsidRPr="00F0117E">
        <w:rPr>
          <w:lang w:val="uk-UA"/>
        </w:rPr>
        <w:t>гарантованим цим законом</w:t>
      </w:r>
      <w:r w:rsidRPr="00F0117E">
        <w:rPr>
          <w:lang w:val="uk-UA"/>
        </w:rPr>
        <w:t xml:space="preserve">, </w:t>
      </w:r>
      <w:r w:rsidR="0065176D" w:rsidRPr="00F0117E">
        <w:rPr>
          <w:lang w:val="uk-UA"/>
        </w:rPr>
        <w:t>у тому числі права прагнути відшкодування</w:t>
      </w:r>
      <w:r w:rsidRPr="00F0117E">
        <w:rPr>
          <w:lang w:val="uk-UA"/>
        </w:rPr>
        <w:t xml:space="preserve"> </w:t>
      </w:r>
      <w:r w:rsidR="0065176D" w:rsidRPr="00F0117E">
        <w:rPr>
          <w:lang w:val="uk-UA"/>
        </w:rPr>
        <w:t>у зв’язку з будь-якою понесеною шкодою</w:t>
      </w:r>
      <w:r w:rsidRPr="00F0117E">
        <w:rPr>
          <w:lang w:val="uk-UA"/>
        </w:rPr>
        <w:t xml:space="preserve">; </w:t>
      </w:r>
      <w:r w:rsidR="00F80F03" w:rsidRPr="00F0117E">
        <w:rPr>
          <w:lang w:val="uk-UA"/>
        </w:rPr>
        <w:t>а також</w:t>
      </w:r>
    </w:p>
    <w:p w:rsidR="000169B9" w:rsidRPr="00F0117E" w:rsidRDefault="000169B9" w:rsidP="008B2B31">
      <w:pPr>
        <w:pStyle w:val="OpiParaSub"/>
        <w:rPr>
          <w:lang w:val="uk-UA"/>
        </w:rPr>
      </w:pPr>
      <w:r w:rsidRPr="00F0117E">
        <w:rPr>
          <w:lang w:val="uk-UA"/>
        </w:rPr>
        <w:t>(c)</w:t>
      </w:r>
      <w:r w:rsidR="00FA6D4F" w:rsidRPr="00F0117E">
        <w:rPr>
          <w:lang w:val="uk-UA"/>
        </w:rPr>
        <w:t xml:space="preserve"> </w:t>
      </w:r>
      <w:r w:rsidR="00F80F03" w:rsidRPr="00F0117E">
        <w:rPr>
          <w:lang w:val="uk-UA"/>
        </w:rPr>
        <w:t>положення Цивільного кодексу</w:t>
      </w:r>
      <w:r w:rsidRPr="00F0117E">
        <w:rPr>
          <w:lang w:val="uk-UA"/>
        </w:rPr>
        <w:t xml:space="preserve"> (</w:t>
      </w:r>
      <w:r w:rsidR="00F80F03" w:rsidRPr="00F0117E">
        <w:rPr>
          <w:lang w:val="uk-UA"/>
        </w:rPr>
        <w:t>статті</w:t>
      </w:r>
      <w:r w:rsidRPr="00F0117E">
        <w:rPr>
          <w:lang w:val="uk-UA"/>
        </w:rPr>
        <w:t xml:space="preserve"> 998 </w:t>
      </w:r>
      <w:r w:rsidR="00F80F03" w:rsidRPr="00F0117E">
        <w:rPr>
          <w:lang w:val="uk-UA"/>
        </w:rPr>
        <w:t>та</w:t>
      </w:r>
      <w:r w:rsidRPr="00F0117E">
        <w:rPr>
          <w:lang w:val="uk-UA"/>
        </w:rPr>
        <w:t xml:space="preserve"> 999; </w:t>
      </w:r>
      <w:r w:rsidR="00F80F03" w:rsidRPr="00F0117E">
        <w:rPr>
          <w:lang w:val="uk-UA"/>
        </w:rPr>
        <w:t>пункт</w:t>
      </w:r>
      <w:r w:rsidR="000A7468" w:rsidRPr="00F0117E">
        <w:rPr>
          <w:lang w:val="uk-UA"/>
        </w:rPr>
        <w:t> </w:t>
      </w:r>
      <w:r w:rsidRPr="00F0117E">
        <w:rPr>
          <w:lang w:val="uk-UA"/>
        </w:rPr>
        <w:t>34</w:t>
      </w:r>
      <w:r w:rsidR="00766B40" w:rsidRPr="00F0117E">
        <w:rPr>
          <w:lang w:val="uk-UA"/>
        </w:rPr>
        <w:t xml:space="preserve"> </w:t>
      </w:r>
      <w:r w:rsidR="00F80F03" w:rsidRPr="00F0117E">
        <w:rPr>
          <w:lang w:val="uk-UA"/>
        </w:rPr>
        <w:t>рішення</w:t>
      </w:r>
      <w:r w:rsidRPr="00F0117E">
        <w:rPr>
          <w:lang w:val="uk-UA"/>
        </w:rPr>
        <w:t>)</w:t>
      </w:r>
      <w:r w:rsidR="00F80F03" w:rsidRPr="00F0117E">
        <w:rPr>
          <w:lang w:val="uk-UA"/>
        </w:rPr>
        <w:t>,</w:t>
      </w:r>
      <w:r w:rsidRPr="00F0117E">
        <w:rPr>
          <w:lang w:val="uk-UA"/>
        </w:rPr>
        <w:t xml:space="preserve"> </w:t>
      </w:r>
      <w:r w:rsidR="00F80F03" w:rsidRPr="00F0117E">
        <w:rPr>
          <w:lang w:val="uk-UA"/>
        </w:rPr>
        <w:t>які дозволяють подати деліктний позов</w:t>
      </w:r>
      <w:r w:rsidRPr="00F0117E">
        <w:rPr>
          <w:lang w:val="uk-UA"/>
        </w:rPr>
        <w:t xml:space="preserve"> </w:t>
      </w:r>
      <w:r w:rsidR="00F80F03" w:rsidRPr="00F0117E">
        <w:rPr>
          <w:lang w:val="uk-UA"/>
        </w:rPr>
        <w:t>з метою отримання відшкодування</w:t>
      </w:r>
      <w:r w:rsidRPr="00F0117E">
        <w:rPr>
          <w:lang w:val="uk-UA"/>
        </w:rPr>
        <w:t xml:space="preserve"> </w:t>
      </w:r>
      <w:r w:rsidR="00F80F03" w:rsidRPr="00F0117E">
        <w:rPr>
          <w:lang w:val="uk-UA"/>
        </w:rPr>
        <w:t>шкоди, заподіяної навмисно або через недбалість</w:t>
      </w:r>
      <w:r w:rsidRPr="00F0117E">
        <w:rPr>
          <w:lang w:val="uk-UA"/>
        </w:rPr>
        <w:t>.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10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F80F03" w:rsidRPr="00F0117E">
        <w:rPr>
          <w:lang w:val="uk-UA"/>
        </w:rPr>
        <w:t>Окрім скарги у кримінальному порядку, за як</w:t>
      </w:r>
      <w:r w:rsidR="007935AA">
        <w:rPr>
          <w:lang w:val="uk-UA"/>
        </w:rPr>
        <w:t>ою</w:t>
      </w:r>
      <w:r w:rsidR="00F80F03" w:rsidRPr="00F0117E">
        <w:rPr>
          <w:lang w:val="uk-UA"/>
        </w:rPr>
        <w:t xml:space="preserve"> не слідували жодні дії</w:t>
      </w:r>
      <w:r w:rsidR="000169B9" w:rsidRPr="00F0117E">
        <w:rPr>
          <w:lang w:val="uk-UA"/>
        </w:rPr>
        <w:t xml:space="preserve">, </w:t>
      </w:r>
      <w:r w:rsidR="00F80F03" w:rsidRPr="00F0117E">
        <w:rPr>
          <w:lang w:val="uk-UA"/>
        </w:rPr>
        <w:t>жодний з національних засобів правового захисту</w:t>
      </w:r>
      <w:r w:rsidR="000169B9" w:rsidRPr="00F0117E">
        <w:rPr>
          <w:lang w:val="uk-UA"/>
        </w:rPr>
        <w:t xml:space="preserve"> </w:t>
      </w:r>
      <w:r w:rsidR="00F80F03" w:rsidRPr="00F0117E">
        <w:rPr>
          <w:lang w:val="uk-UA"/>
        </w:rPr>
        <w:t>не був застосований заявником</w:t>
      </w:r>
      <w:r w:rsidR="000169B9" w:rsidRPr="00F0117E">
        <w:rPr>
          <w:lang w:val="uk-UA"/>
        </w:rPr>
        <w:t xml:space="preserve">. </w:t>
      </w:r>
      <w:r w:rsidR="00F80F03" w:rsidRPr="00F0117E">
        <w:rPr>
          <w:lang w:val="uk-UA"/>
        </w:rPr>
        <w:t>Замість цього заявник звернувся лише до трудових судів</w:t>
      </w:r>
      <w:r w:rsidR="000169B9" w:rsidRPr="00F0117E">
        <w:rPr>
          <w:lang w:val="uk-UA"/>
        </w:rPr>
        <w:t xml:space="preserve"> </w:t>
      </w:r>
      <w:r w:rsidR="00F80F03" w:rsidRPr="00F0117E">
        <w:rPr>
          <w:lang w:val="uk-UA"/>
        </w:rPr>
        <w:t>для оскарження здебільшого не втручання роботодавця</w:t>
      </w:r>
      <w:r w:rsidR="000169B9" w:rsidRPr="00F0117E">
        <w:rPr>
          <w:lang w:val="uk-UA"/>
        </w:rPr>
        <w:t xml:space="preserve"> </w:t>
      </w:r>
      <w:r w:rsidR="00F80F03" w:rsidRPr="00F0117E">
        <w:rPr>
          <w:lang w:val="uk-UA"/>
        </w:rPr>
        <w:t>у його приватне життя/кореспонденцію,</w:t>
      </w:r>
      <w:r w:rsidR="000169B9" w:rsidRPr="00F0117E">
        <w:rPr>
          <w:lang w:val="uk-UA"/>
        </w:rPr>
        <w:t xml:space="preserve"> </w:t>
      </w:r>
      <w:r w:rsidR="00F80F03" w:rsidRPr="00F0117E">
        <w:rPr>
          <w:lang w:val="uk-UA"/>
        </w:rPr>
        <w:t>а звільнення</w:t>
      </w:r>
      <w:r w:rsidR="000169B9" w:rsidRPr="00F0117E">
        <w:rPr>
          <w:lang w:val="uk-UA"/>
        </w:rPr>
        <w:t xml:space="preserve">. </w:t>
      </w:r>
      <w:r w:rsidR="00F80F03" w:rsidRPr="00F0117E">
        <w:rPr>
          <w:lang w:val="uk-UA"/>
        </w:rPr>
        <w:t>Як більшість зауважила у пункті 24</w:t>
      </w:r>
      <w:r w:rsidR="000169B9" w:rsidRPr="00F0117E">
        <w:rPr>
          <w:lang w:val="uk-UA"/>
        </w:rPr>
        <w:t>:</w:t>
      </w:r>
    </w:p>
    <w:p w:rsidR="000169B9" w:rsidRPr="00F0117E" w:rsidRDefault="000169B9" w:rsidP="008B2B31">
      <w:pPr>
        <w:pStyle w:val="OpiQuot"/>
        <w:rPr>
          <w:lang w:val="uk-UA"/>
        </w:rPr>
      </w:pPr>
      <w:r w:rsidRPr="00F0117E">
        <w:rPr>
          <w:lang w:val="uk-UA"/>
        </w:rPr>
        <w:t>“</w:t>
      </w:r>
      <w:r w:rsidR="00F80F03" w:rsidRPr="00F0117E">
        <w:rPr>
          <w:lang w:val="uk-UA"/>
        </w:rPr>
        <w:t>Він попросив суд, по-перше, відставити у сторону звільнення; по-друге, наказати роботодавцеві сплатити йому суми, які він заборгував стосовно заробітної плати та будь-яких інших виплат, та повернути його до посади; і по-третє, наказати роботодавцеві сплатити йому 100,000 румунських лей (приблизно 30,000 євро) в якості відшкодування шкоди, понесеної в результаті його звільнення, та відшкодувати судові витрати</w:t>
      </w:r>
      <w:r w:rsidRPr="00F0117E">
        <w:rPr>
          <w:lang w:val="uk-UA"/>
        </w:rPr>
        <w:t>.”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11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F80F03" w:rsidRPr="00F0117E">
        <w:rPr>
          <w:lang w:val="uk-UA"/>
        </w:rPr>
        <w:t>Лише у контексті цих проваджень щодо звільнення,</w:t>
      </w:r>
      <w:r w:rsidR="000169B9" w:rsidRPr="00F0117E">
        <w:rPr>
          <w:lang w:val="uk-UA"/>
        </w:rPr>
        <w:t xml:space="preserve"> </w:t>
      </w:r>
      <w:r w:rsidR="00F80F03" w:rsidRPr="00F0117E">
        <w:rPr>
          <w:lang w:val="uk-UA"/>
        </w:rPr>
        <w:t>спираючись на рішення Суду у справі</w:t>
      </w:r>
      <w:r w:rsidR="000169B9" w:rsidRPr="00F0117E">
        <w:rPr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Copland</w:t>
      </w:r>
      <w:proofErr w:type="spellEnd"/>
      <w:r w:rsidR="000169B9" w:rsidRPr="00F0117E">
        <w:rPr>
          <w:i/>
          <w:lang w:val="uk-UA"/>
        </w:rPr>
        <w:t xml:space="preserve"> v. </w:t>
      </w:r>
      <w:proofErr w:type="spellStart"/>
      <w:r w:rsidR="000169B9" w:rsidRPr="00F0117E">
        <w:rPr>
          <w:i/>
          <w:lang w:val="uk-UA"/>
        </w:rPr>
        <w:t>the</w:t>
      </w:r>
      <w:proofErr w:type="spellEnd"/>
      <w:r w:rsidR="000169B9" w:rsidRPr="00F0117E">
        <w:rPr>
          <w:i/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United</w:t>
      </w:r>
      <w:proofErr w:type="spellEnd"/>
      <w:r w:rsidR="000169B9" w:rsidRPr="00F0117E">
        <w:rPr>
          <w:i/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Kingdom</w:t>
      </w:r>
      <w:proofErr w:type="spellEnd"/>
      <w:r w:rsidR="000169B9" w:rsidRPr="00F0117E">
        <w:rPr>
          <w:lang w:val="uk-UA"/>
        </w:rPr>
        <w:t xml:space="preserve"> (</w:t>
      </w:r>
      <w:r w:rsidR="00F80F03" w:rsidRPr="00F0117E">
        <w:rPr>
          <w:lang w:val="uk-UA"/>
        </w:rPr>
        <w:t>№</w:t>
      </w:r>
      <w:r w:rsidR="00FA6D4F" w:rsidRPr="00F0117E">
        <w:rPr>
          <w:lang w:val="uk-UA"/>
        </w:rPr>
        <w:t xml:space="preserve"> </w:t>
      </w:r>
      <w:r w:rsidR="00157BF5" w:rsidRPr="00F0117E">
        <w:rPr>
          <w:lang w:val="uk-UA"/>
        </w:rPr>
        <w:t>62617/00, §§ 43-44, ECHR 2007-</w:t>
      </w:r>
      <w:r w:rsidR="000169B9" w:rsidRPr="00F0117E">
        <w:rPr>
          <w:lang w:val="uk-UA"/>
        </w:rPr>
        <w:t xml:space="preserve">I), </w:t>
      </w:r>
      <w:r w:rsidR="00F80F03" w:rsidRPr="00F0117E">
        <w:rPr>
          <w:lang w:val="uk-UA"/>
        </w:rPr>
        <w:t>заявник стверджував, що рішення про його звільнення</w:t>
      </w:r>
      <w:r w:rsidR="000169B9" w:rsidRPr="00F0117E">
        <w:rPr>
          <w:lang w:val="uk-UA"/>
        </w:rPr>
        <w:t xml:space="preserve"> </w:t>
      </w:r>
      <w:r w:rsidR="00F80F03" w:rsidRPr="00F0117E">
        <w:rPr>
          <w:lang w:val="uk-UA"/>
        </w:rPr>
        <w:t>було незаконним, і що шляхом моніторингу його повідомлень</w:t>
      </w:r>
      <w:r w:rsidR="000169B9" w:rsidRPr="00F0117E">
        <w:rPr>
          <w:lang w:val="uk-UA"/>
        </w:rPr>
        <w:t xml:space="preserve"> </w:t>
      </w:r>
      <w:r w:rsidR="00F80F03" w:rsidRPr="00F0117E">
        <w:rPr>
          <w:lang w:val="uk-UA"/>
        </w:rPr>
        <w:t>та доступу до їх змісту роботодавець порушив кримінальне законодавство</w:t>
      </w:r>
      <w:r w:rsidR="000169B9" w:rsidRPr="00F0117E">
        <w:rPr>
          <w:lang w:val="uk-UA"/>
        </w:rPr>
        <w:t>.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12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D6997" w:rsidRPr="00F0117E">
        <w:rPr>
          <w:lang w:val="uk-UA"/>
        </w:rPr>
        <w:t>Той факт, що заявник був сфокусований переважно (якщо не виключно)</w:t>
      </w:r>
      <w:r w:rsidR="000169B9" w:rsidRPr="00F0117E">
        <w:rPr>
          <w:lang w:val="uk-UA"/>
        </w:rPr>
        <w:t xml:space="preserve"> </w:t>
      </w:r>
      <w:r w:rsidR="005D6997" w:rsidRPr="00F0117E">
        <w:rPr>
          <w:lang w:val="uk-UA"/>
        </w:rPr>
        <w:t>на законності звільнення</w:t>
      </w:r>
      <w:r w:rsidR="000169B9" w:rsidRPr="00F0117E">
        <w:rPr>
          <w:lang w:val="uk-UA"/>
        </w:rPr>
        <w:t xml:space="preserve">, </w:t>
      </w:r>
      <w:r w:rsidR="005D6997" w:rsidRPr="00F0117E">
        <w:rPr>
          <w:lang w:val="uk-UA"/>
        </w:rPr>
        <w:t>а не на втручанні роботодавця у його право</w:t>
      </w:r>
      <w:r w:rsidR="000169B9" w:rsidRPr="00F0117E">
        <w:rPr>
          <w:lang w:val="uk-UA"/>
        </w:rPr>
        <w:t xml:space="preserve"> </w:t>
      </w:r>
      <w:r w:rsidR="005D6997" w:rsidRPr="00F0117E">
        <w:rPr>
          <w:lang w:val="uk-UA"/>
        </w:rPr>
        <w:t>на повагу до приватного життя/кореспонденції</w:t>
      </w:r>
      <w:r w:rsidR="000169B9" w:rsidRPr="00F0117E">
        <w:rPr>
          <w:lang w:val="uk-UA"/>
        </w:rPr>
        <w:t xml:space="preserve">, </w:t>
      </w:r>
      <w:r w:rsidR="005D6997" w:rsidRPr="00F0117E">
        <w:rPr>
          <w:lang w:val="uk-UA"/>
        </w:rPr>
        <w:t>також відображається в тому, як справу заявника було представлено у цьому Суді</w:t>
      </w:r>
      <w:r w:rsidR="000169B9" w:rsidRPr="00F0117E">
        <w:rPr>
          <w:lang w:val="uk-UA"/>
        </w:rPr>
        <w:t xml:space="preserve">. </w:t>
      </w:r>
      <w:r w:rsidR="005D6997" w:rsidRPr="00F0117E">
        <w:rPr>
          <w:lang w:val="uk-UA"/>
        </w:rPr>
        <w:t>Як зазначає рішення у пункті</w:t>
      </w:r>
      <w:r w:rsidR="000169B9" w:rsidRPr="00F0117E">
        <w:rPr>
          <w:lang w:val="uk-UA"/>
        </w:rPr>
        <w:t xml:space="preserve"> 55, </w:t>
      </w:r>
      <w:r w:rsidR="005D6997" w:rsidRPr="00F0117E">
        <w:rPr>
          <w:lang w:val="uk-UA"/>
        </w:rPr>
        <w:t>скарга заявника полягала в тому, що «його звільнення</w:t>
      </w:r>
      <w:r w:rsidR="000169B9" w:rsidRPr="00F0117E">
        <w:rPr>
          <w:lang w:val="uk-UA"/>
        </w:rPr>
        <w:t xml:space="preserve"> </w:t>
      </w:r>
      <w:r w:rsidR="005D6997" w:rsidRPr="00F0117E">
        <w:rPr>
          <w:lang w:val="uk-UA"/>
        </w:rPr>
        <w:t>роботодавцем ґрунтувалося на порушенні</w:t>
      </w:r>
      <w:r w:rsidR="000169B9" w:rsidRPr="00F0117E">
        <w:rPr>
          <w:lang w:val="uk-UA"/>
        </w:rPr>
        <w:t xml:space="preserve"> </w:t>
      </w:r>
      <w:r w:rsidR="005D6997" w:rsidRPr="00F0117E">
        <w:rPr>
          <w:lang w:val="uk-UA"/>
        </w:rPr>
        <w:lastRenderedPageBreak/>
        <w:t>його права на повагу до приватного життя</w:t>
      </w:r>
      <w:r w:rsidR="000169B9" w:rsidRPr="00F0117E">
        <w:rPr>
          <w:lang w:val="uk-UA"/>
        </w:rPr>
        <w:t xml:space="preserve"> </w:t>
      </w:r>
      <w:r w:rsidR="005D6997" w:rsidRPr="00F0117E">
        <w:rPr>
          <w:lang w:val="uk-UA"/>
        </w:rPr>
        <w:t>та кореспонденції,</w:t>
      </w:r>
      <w:r w:rsidR="000169B9" w:rsidRPr="00F0117E">
        <w:rPr>
          <w:lang w:val="uk-UA"/>
        </w:rPr>
        <w:t xml:space="preserve"> </w:t>
      </w:r>
      <w:r w:rsidR="005D6997" w:rsidRPr="00F0117E">
        <w:rPr>
          <w:lang w:val="uk-UA"/>
        </w:rPr>
        <w:t>і що коли національні суди не скасували цей захід</w:t>
      </w:r>
      <w:r w:rsidR="000169B9" w:rsidRPr="00F0117E">
        <w:rPr>
          <w:lang w:val="uk-UA"/>
        </w:rPr>
        <w:t xml:space="preserve">, </w:t>
      </w:r>
      <w:r w:rsidR="005D6997" w:rsidRPr="00F0117E">
        <w:rPr>
          <w:lang w:val="uk-UA"/>
        </w:rPr>
        <w:t>вони не виконали своє зобов’язання щодо захисту відповідного права»</w:t>
      </w:r>
      <w:r w:rsidR="000169B9" w:rsidRPr="00F0117E">
        <w:rPr>
          <w:lang w:val="uk-UA"/>
        </w:rPr>
        <w:t>.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13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D6997" w:rsidRPr="00F0117E">
        <w:rPr>
          <w:lang w:val="uk-UA"/>
        </w:rPr>
        <w:t>Внаслідок цього не можна не помітити</w:t>
      </w:r>
      <w:r w:rsidR="000169B9" w:rsidRPr="00F0117E">
        <w:rPr>
          <w:lang w:val="uk-UA"/>
        </w:rPr>
        <w:t xml:space="preserve"> (</w:t>
      </w:r>
      <w:r w:rsidR="005D6997" w:rsidRPr="00F0117E">
        <w:rPr>
          <w:lang w:val="uk-UA"/>
        </w:rPr>
        <w:t>хоча б побіжно</w:t>
      </w:r>
      <w:r w:rsidR="000169B9" w:rsidRPr="00F0117E">
        <w:rPr>
          <w:lang w:val="uk-UA"/>
        </w:rPr>
        <w:t>)</w:t>
      </w:r>
      <w:r w:rsidR="005D6997" w:rsidRPr="00F0117E">
        <w:rPr>
          <w:lang w:val="uk-UA"/>
        </w:rPr>
        <w:t>,</w:t>
      </w:r>
      <w:r w:rsidR="000169B9" w:rsidRPr="00F0117E">
        <w:rPr>
          <w:lang w:val="uk-UA"/>
        </w:rPr>
        <w:t xml:space="preserve"> </w:t>
      </w:r>
      <w:r w:rsidR="005D6997" w:rsidRPr="00F0117E">
        <w:rPr>
          <w:lang w:val="uk-UA"/>
        </w:rPr>
        <w:t>що якщо б Уряд-відповідач висунув це в якості</w:t>
      </w:r>
      <w:r w:rsidR="000169B9" w:rsidRPr="00F0117E">
        <w:rPr>
          <w:lang w:val="uk-UA"/>
        </w:rPr>
        <w:t xml:space="preserve"> </w:t>
      </w:r>
      <w:r w:rsidR="005D6997" w:rsidRPr="00F0117E">
        <w:rPr>
          <w:lang w:val="uk-UA"/>
        </w:rPr>
        <w:t>попереднього заперечення</w:t>
      </w:r>
      <w:r w:rsidR="000169B9" w:rsidRPr="00F0117E">
        <w:rPr>
          <w:lang w:val="uk-UA"/>
        </w:rPr>
        <w:t xml:space="preserve">, </w:t>
      </w:r>
      <w:r w:rsidR="005D6997" w:rsidRPr="00F0117E">
        <w:rPr>
          <w:lang w:val="uk-UA"/>
        </w:rPr>
        <w:t>могли б виникнути питання</w:t>
      </w:r>
      <w:r w:rsidR="000169B9" w:rsidRPr="00F0117E">
        <w:rPr>
          <w:lang w:val="uk-UA"/>
        </w:rPr>
        <w:t xml:space="preserve"> </w:t>
      </w:r>
      <w:r w:rsidR="005D6997" w:rsidRPr="00F0117E">
        <w:rPr>
          <w:lang w:val="uk-UA"/>
        </w:rPr>
        <w:t>про те, чи дійсно заявник вичерпав національні засоби правового захисту, «які стосуються заявлених порушень і в той же час є доступними та достатніми»</w:t>
      </w:r>
      <w:r w:rsidR="000169B9" w:rsidRPr="00F0117E">
        <w:rPr>
          <w:lang w:val="uk-UA"/>
        </w:rPr>
        <w:t xml:space="preserve">, </w:t>
      </w:r>
      <w:r w:rsidR="005D6997" w:rsidRPr="00F0117E">
        <w:rPr>
          <w:lang w:val="uk-UA"/>
        </w:rPr>
        <w:t>шляхом звернення до трудових судів так, як він зробив</w:t>
      </w:r>
      <w:r w:rsidR="000169B9" w:rsidRPr="00F0117E">
        <w:rPr>
          <w:lang w:val="uk-UA"/>
        </w:rPr>
        <w:t xml:space="preserve"> (</w:t>
      </w:r>
      <w:r w:rsidR="005D6997" w:rsidRPr="00F0117E">
        <w:rPr>
          <w:lang w:val="uk-UA"/>
        </w:rPr>
        <w:t>див.</w:t>
      </w:r>
      <w:r w:rsidR="000169B9" w:rsidRPr="00F0117E">
        <w:rPr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Aquilina</w:t>
      </w:r>
      <w:proofErr w:type="spellEnd"/>
      <w:r w:rsidR="000169B9" w:rsidRPr="00F0117E">
        <w:rPr>
          <w:i/>
          <w:lang w:val="uk-UA"/>
        </w:rPr>
        <w:t xml:space="preserve"> v. </w:t>
      </w:r>
      <w:proofErr w:type="spellStart"/>
      <w:r w:rsidR="000169B9" w:rsidRPr="00F0117E">
        <w:rPr>
          <w:i/>
          <w:lang w:val="uk-UA"/>
        </w:rPr>
        <w:t>Malta</w:t>
      </w:r>
      <w:proofErr w:type="spellEnd"/>
      <w:r w:rsidR="000169B9" w:rsidRPr="00F0117E">
        <w:rPr>
          <w:lang w:val="uk-UA"/>
        </w:rPr>
        <w:t xml:space="preserve"> [GC], </w:t>
      </w:r>
      <w:r w:rsidR="005D6997" w:rsidRPr="00F0117E">
        <w:rPr>
          <w:lang w:val="uk-UA"/>
        </w:rPr>
        <w:t>№</w:t>
      </w:r>
      <w:r w:rsidR="000169B9" w:rsidRPr="00F0117E">
        <w:rPr>
          <w:lang w:val="uk-UA"/>
        </w:rPr>
        <w:t> 25642/94, § 39, ECHR 1999</w:t>
      </w:r>
      <w:r w:rsidR="00157BF5" w:rsidRPr="00F0117E">
        <w:rPr>
          <w:lang w:val="uk-UA"/>
        </w:rPr>
        <w:t>-</w:t>
      </w:r>
      <w:r w:rsidR="000169B9" w:rsidRPr="00F0117E">
        <w:rPr>
          <w:lang w:val="uk-UA"/>
        </w:rPr>
        <w:t xml:space="preserve">III). </w:t>
      </w:r>
      <w:r w:rsidR="005D6997" w:rsidRPr="00F0117E">
        <w:rPr>
          <w:lang w:val="uk-UA"/>
        </w:rPr>
        <w:t>Врешті-решт, у розпорядженні Суду немає матеріалів, які б свідчили, що будь-який з трьох засобів правового захисту,</w:t>
      </w:r>
      <w:r w:rsidR="000169B9" w:rsidRPr="00F0117E">
        <w:rPr>
          <w:lang w:val="uk-UA"/>
        </w:rPr>
        <w:t xml:space="preserve"> </w:t>
      </w:r>
      <w:r w:rsidR="005D6997" w:rsidRPr="00F0117E">
        <w:rPr>
          <w:lang w:val="uk-UA"/>
        </w:rPr>
        <w:t>визначених вище, і зокрема, скарга до</w:t>
      </w:r>
      <w:r w:rsidR="000169B9" w:rsidRPr="00F0117E">
        <w:rPr>
          <w:lang w:val="uk-UA"/>
        </w:rPr>
        <w:t xml:space="preserve"> </w:t>
      </w:r>
      <w:r w:rsidR="005D6997" w:rsidRPr="00F0117E">
        <w:rPr>
          <w:lang w:val="uk-UA"/>
        </w:rPr>
        <w:t>спеціалізованого контрольного органу з питань захисту даних</w:t>
      </w:r>
      <w:r w:rsidR="000169B9" w:rsidRPr="00F0117E">
        <w:rPr>
          <w:lang w:val="uk-UA"/>
        </w:rPr>
        <w:t xml:space="preserve"> </w:t>
      </w:r>
      <w:r w:rsidR="005D6997" w:rsidRPr="00F0117E">
        <w:rPr>
          <w:lang w:val="uk-UA"/>
        </w:rPr>
        <w:t>та/або позов з метою відшкодування шкоди</w:t>
      </w:r>
      <w:r w:rsidR="000169B9" w:rsidRPr="00F0117E">
        <w:rPr>
          <w:lang w:val="uk-UA"/>
        </w:rPr>
        <w:t xml:space="preserve"> </w:t>
      </w:r>
      <w:r w:rsidR="005D6997" w:rsidRPr="00F0117E">
        <w:rPr>
          <w:lang w:val="uk-UA"/>
        </w:rPr>
        <w:t>відповідно до Закону №</w:t>
      </w:r>
      <w:r w:rsidR="000D4C6B" w:rsidRPr="00F0117E">
        <w:rPr>
          <w:lang w:val="uk-UA"/>
        </w:rPr>
        <w:t xml:space="preserve"> </w:t>
      </w:r>
      <w:r w:rsidR="000169B9" w:rsidRPr="00F0117E">
        <w:rPr>
          <w:lang w:val="uk-UA"/>
        </w:rPr>
        <w:t xml:space="preserve">677/2001 </w:t>
      </w:r>
      <w:r w:rsidR="005D6997" w:rsidRPr="00F0117E">
        <w:rPr>
          <w:lang w:val="uk-UA"/>
        </w:rPr>
        <w:t>до компетентних судів</w:t>
      </w:r>
      <w:r w:rsidR="000169B9" w:rsidRPr="00F0117E">
        <w:rPr>
          <w:lang w:val="uk-UA"/>
        </w:rPr>
        <w:t xml:space="preserve"> </w:t>
      </w:r>
      <w:r w:rsidR="005D6997" w:rsidRPr="00F0117E">
        <w:rPr>
          <w:lang w:val="uk-UA"/>
        </w:rPr>
        <w:t>могли «призвести до невдачі»</w:t>
      </w:r>
      <w:r w:rsidR="000169B9" w:rsidRPr="00F0117E">
        <w:rPr>
          <w:lang w:val="uk-UA"/>
        </w:rPr>
        <w:t xml:space="preserve"> (</w:t>
      </w:r>
      <w:r w:rsidR="005D6997" w:rsidRPr="00F0117E">
        <w:rPr>
          <w:lang w:val="uk-UA"/>
        </w:rPr>
        <w:t>див.</w:t>
      </w:r>
      <w:r w:rsidR="000169B9" w:rsidRPr="00F0117E">
        <w:rPr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Davydov</w:t>
      </w:r>
      <w:proofErr w:type="spellEnd"/>
      <w:r w:rsidR="000169B9" w:rsidRPr="00F0117E">
        <w:rPr>
          <w:i/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and</w:t>
      </w:r>
      <w:proofErr w:type="spellEnd"/>
      <w:r w:rsidR="000169B9" w:rsidRPr="00F0117E">
        <w:rPr>
          <w:i/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Others</w:t>
      </w:r>
      <w:proofErr w:type="spellEnd"/>
      <w:r w:rsidR="000169B9" w:rsidRPr="00F0117E">
        <w:rPr>
          <w:i/>
          <w:lang w:val="uk-UA"/>
        </w:rPr>
        <w:t xml:space="preserve"> v. </w:t>
      </w:r>
      <w:proofErr w:type="spellStart"/>
      <w:r w:rsidR="000169B9" w:rsidRPr="00F0117E">
        <w:rPr>
          <w:i/>
          <w:lang w:val="uk-UA"/>
        </w:rPr>
        <w:t>Russia</w:t>
      </w:r>
      <w:proofErr w:type="spellEnd"/>
      <w:r w:rsidR="000169B9" w:rsidRPr="00F0117E">
        <w:rPr>
          <w:lang w:val="uk-UA"/>
        </w:rPr>
        <w:t xml:space="preserve">, </w:t>
      </w:r>
      <w:r w:rsidR="005D6997" w:rsidRPr="00F0117E">
        <w:rPr>
          <w:lang w:val="uk-UA"/>
        </w:rPr>
        <w:t>№</w:t>
      </w:r>
      <w:r w:rsidR="000169B9" w:rsidRPr="00F0117E">
        <w:rPr>
          <w:i/>
          <w:lang w:val="uk-UA"/>
        </w:rPr>
        <w:t> </w:t>
      </w:r>
      <w:r w:rsidR="000169B9" w:rsidRPr="00F0117E">
        <w:rPr>
          <w:lang w:val="uk-UA"/>
        </w:rPr>
        <w:t xml:space="preserve">75947/11, § 233, 30 </w:t>
      </w:r>
      <w:r w:rsidR="005D6997" w:rsidRPr="00F0117E">
        <w:rPr>
          <w:lang w:val="uk-UA"/>
        </w:rPr>
        <w:t>травня</w:t>
      </w:r>
      <w:r w:rsidR="000169B9" w:rsidRPr="00F0117E">
        <w:rPr>
          <w:lang w:val="uk-UA"/>
        </w:rPr>
        <w:t xml:space="preserve"> 2017</w:t>
      </w:r>
      <w:r w:rsidR="005D6997" w:rsidRPr="00F0117E">
        <w:rPr>
          <w:lang w:val="uk-UA"/>
        </w:rPr>
        <w:t xml:space="preserve"> року</w:t>
      </w:r>
      <w:r w:rsidR="000169B9" w:rsidRPr="00F0117E">
        <w:rPr>
          <w:lang w:val="uk-UA"/>
        </w:rPr>
        <w:t>).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14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5D6997" w:rsidRPr="00F0117E">
        <w:rPr>
          <w:lang w:val="uk-UA"/>
        </w:rPr>
        <w:t>Наші сумніви щодо ефективності трудових судів</w:t>
      </w:r>
      <w:r w:rsidR="000169B9" w:rsidRPr="00F0117E">
        <w:rPr>
          <w:lang w:val="uk-UA"/>
        </w:rPr>
        <w:t xml:space="preserve"> </w:t>
      </w:r>
      <w:r w:rsidR="005D6997" w:rsidRPr="00F0117E">
        <w:rPr>
          <w:lang w:val="uk-UA"/>
        </w:rPr>
        <w:t>у цьому контексті (та доречності</w:t>
      </w:r>
      <w:r w:rsidR="000169B9" w:rsidRPr="00F0117E">
        <w:rPr>
          <w:lang w:val="uk-UA"/>
        </w:rPr>
        <w:t xml:space="preserve"> </w:t>
      </w:r>
      <w:r w:rsidR="005D6997" w:rsidRPr="00F0117E">
        <w:rPr>
          <w:lang w:val="uk-UA"/>
        </w:rPr>
        <w:t>того, що Суд обмежив свій аналіз</w:t>
      </w:r>
      <w:r w:rsidR="000169B9" w:rsidRPr="00F0117E">
        <w:rPr>
          <w:lang w:val="uk-UA"/>
        </w:rPr>
        <w:t xml:space="preserve"> </w:t>
      </w:r>
      <w:r w:rsidR="005D6997" w:rsidRPr="00F0117E">
        <w:rPr>
          <w:lang w:val="uk-UA"/>
        </w:rPr>
        <w:t>належністю аналізу трудових судів</w:t>
      </w:r>
      <w:r w:rsidR="000169B9" w:rsidRPr="00F0117E">
        <w:rPr>
          <w:lang w:val="uk-UA"/>
        </w:rPr>
        <w:t xml:space="preserve">) </w:t>
      </w:r>
      <w:r w:rsidR="005D6997" w:rsidRPr="00F0117E">
        <w:rPr>
          <w:lang w:val="uk-UA"/>
        </w:rPr>
        <w:t>також підкреслюються тим фактом,</w:t>
      </w:r>
      <w:r w:rsidR="000169B9" w:rsidRPr="00F0117E">
        <w:rPr>
          <w:lang w:val="uk-UA"/>
        </w:rPr>
        <w:t xml:space="preserve"> </w:t>
      </w:r>
      <w:r w:rsidR="005D6997" w:rsidRPr="00F0117E">
        <w:rPr>
          <w:lang w:val="uk-UA"/>
        </w:rPr>
        <w:t>що відповідно до юриспруденції Суду за статтею</w:t>
      </w:r>
      <w:r w:rsidR="000169B9" w:rsidRPr="00F0117E">
        <w:rPr>
          <w:lang w:val="uk-UA"/>
        </w:rPr>
        <w:t xml:space="preserve"> 6 </w:t>
      </w:r>
      <w:r w:rsidR="005D6997" w:rsidRPr="00F0117E">
        <w:rPr>
          <w:lang w:val="uk-UA"/>
        </w:rPr>
        <w:t>Конвенції</w:t>
      </w:r>
      <w:r w:rsidR="000169B9" w:rsidRPr="00F0117E">
        <w:rPr>
          <w:lang w:val="uk-UA"/>
        </w:rPr>
        <w:t xml:space="preserve">, </w:t>
      </w:r>
      <w:r w:rsidR="005D6997" w:rsidRPr="00F0117E">
        <w:rPr>
          <w:lang w:val="uk-UA"/>
        </w:rPr>
        <w:t>незалежно від того, чи були дії роботодавця незаконними,</w:t>
      </w:r>
      <w:r w:rsidR="000169B9" w:rsidRPr="00F0117E">
        <w:rPr>
          <w:lang w:val="uk-UA"/>
        </w:rPr>
        <w:t xml:space="preserve"> </w:t>
      </w:r>
      <w:r w:rsidR="005D6997" w:rsidRPr="00F0117E">
        <w:rPr>
          <w:lang w:val="uk-UA"/>
        </w:rPr>
        <w:t>цей факт не міг сам по собі підірвати належність</w:t>
      </w:r>
      <w:r w:rsidR="000169B9" w:rsidRPr="00F0117E">
        <w:rPr>
          <w:lang w:val="uk-UA"/>
        </w:rPr>
        <w:t xml:space="preserve"> </w:t>
      </w:r>
      <w:r w:rsidR="005D6997" w:rsidRPr="00F0117E">
        <w:rPr>
          <w:lang w:val="uk-UA"/>
        </w:rPr>
        <w:t>дисциплінарних проваджень у даній справі</w:t>
      </w:r>
      <w:r w:rsidR="000169B9" w:rsidRPr="00F0117E">
        <w:rPr>
          <w:lang w:val="uk-UA"/>
        </w:rPr>
        <w:t xml:space="preserve">. </w:t>
      </w:r>
      <w:r w:rsidR="005D6997" w:rsidRPr="00F0117E">
        <w:rPr>
          <w:lang w:val="uk-UA"/>
        </w:rPr>
        <w:t>Врешті-решт, як цей Суд підтвердив нещодавно у справі</w:t>
      </w:r>
      <w:r w:rsidR="000169B9" w:rsidRPr="00F0117E">
        <w:rPr>
          <w:lang w:val="uk-UA"/>
        </w:rPr>
        <w:t xml:space="preserve"> </w:t>
      </w:r>
      <w:r w:rsidR="000169B9" w:rsidRPr="00F0117E">
        <w:rPr>
          <w:i/>
          <w:lang w:val="uk-UA"/>
        </w:rPr>
        <w:t xml:space="preserve">Vukota-Bojić v. </w:t>
      </w:r>
      <w:proofErr w:type="spellStart"/>
      <w:r w:rsidR="000169B9" w:rsidRPr="00F0117E">
        <w:rPr>
          <w:i/>
          <w:lang w:val="uk-UA"/>
        </w:rPr>
        <w:t>Switzerland</w:t>
      </w:r>
      <w:proofErr w:type="spellEnd"/>
      <w:r w:rsidR="000169B9" w:rsidRPr="00F0117E">
        <w:rPr>
          <w:lang w:val="uk-UA"/>
        </w:rPr>
        <w:t xml:space="preserve"> (</w:t>
      </w:r>
      <w:r w:rsidR="005D6997" w:rsidRPr="00F0117E">
        <w:rPr>
          <w:lang w:val="uk-UA"/>
        </w:rPr>
        <w:t>№</w:t>
      </w:r>
      <w:r w:rsidR="000169B9" w:rsidRPr="00F0117E">
        <w:rPr>
          <w:lang w:val="uk-UA"/>
        </w:rPr>
        <w:t xml:space="preserve"> 61838/10, §§ 94-95, 18 </w:t>
      </w:r>
      <w:r w:rsidR="005D6997" w:rsidRPr="00F0117E">
        <w:rPr>
          <w:lang w:val="uk-UA"/>
        </w:rPr>
        <w:t>жовтня</w:t>
      </w:r>
      <w:r w:rsidR="000169B9" w:rsidRPr="00F0117E">
        <w:rPr>
          <w:lang w:val="uk-UA"/>
        </w:rPr>
        <w:t xml:space="preserve"> 2016):</w:t>
      </w:r>
    </w:p>
    <w:p w:rsidR="000169B9" w:rsidRPr="00F0117E" w:rsidRDefault="000169B9" w:rsidP="008B2B31">
      <w:pPr>
        <w:pStyle w:val="OpiQuot"/>
        <w:rPr>
          <w:lang w:val="uk-UA"/>
        </w:rPr>
      </w:pPr>
      <w:r w:rsidRPr="00F0117E">
        <w:rPr>
          <w:lang w:val="uk-UA"/>
        </w:rPr>
        <w:t>“</w:t>
      </w:r>
      <w:r w:rsidR="00E36F4C" w:rsidRPr="00F0117E">
        <w:rPr>
          <w:lang w:val="uk-UA"/>
        </w:rPr>
        <w:t>...</w:t>
      </w:r>
      <w:r w:rsidRPr="00F0117E">
        <w:rPr>
          <w:lang w:val="uk-UA"/>
        </w:rPr>
        <w:t xml:space="preserve"> </w:t>
      </w:r>
      <w:r w:rsidR="002A5532" w:rsidRPr="00F0117E">
        <w:rPr>
          <w:lang w:val="uk-UA"/>
        </w:rPr>
        <w:t>питання того, чи робило використання</w:t>
      </w:r>
      <w:r w:rsidRPr="00F0117E">
        <w:rPr>
          <w:lang w:val="uk-UA"/>
        </w:rPr>
        <w:t xml:space="preserve"> </w:t>
      </w:r>
      <w:r w:rsidR="002A5532" w:rsidRPr="00F0117E">
        <w:rPr>
          <w:lang w:val="uk-UA"/>
        </w:rPr>
        <w:t>в якості доказів інформації, отриманої</w:t>
      </w:r>
      <w:r w:rsidRPr="00F0117E">
        <w:rPr>
          <w:lang w:val="uk-UA"/>
        </w:rPr>
        <w:t xml:space="preserve"> </w:t>
      </w:r>
      <w:r w:rsidR="002A5532" w:rsidRPr="00F0117E">
        <w:rPr>
          <w:lang w:val="uk-UA"/>
        </w:rPr>
        <w:t>в порушення статті</w:t>
      </w:r>
      <w:r w:rsidRPr="00F0117E">
        <w:rPr>
          <w:lang w:val="uk-UA"/>
        </w:rPr>
        <w:t xml:space="preserve"> 8</w:t>
      </w:r>
      <w:r w:rsidR="002A5532" w:rsidRPr="00F0117E">
        <w:rPr>
          <w:lang w:val="uk-UA"/>
        </w:rPr>
        <w:t>,</w:t>
      </w:r>
      <w:r w:rsidRPr="00F0117E">
        <w:rPr>
          <w:lang w:val="uk-UA"/>
        </w:rPr>
        <w:t xml:space="preserve"> </w:t>
      </w:r>
      <w:r w:rsidR="002A5532" w:rsidRPr="00F0117E">
        <w:rPr>
          <w:lang w:val="uk-UA"/>
        </w:rPr>
        <w:t>несправедливим суд у цілому,</w:t>
      </w:r>
      <w:r w:rsidRPr="00F0117E">
        <w:rPr>
          <w:lang w:val="uk-UA"/>
        </w:rPr>
        <w:t xml:space="preserve"> </w:t>
      </w:r>
      <w:r w:rsidR="002A5532" w:rsidRPr="00F0117E">
        <w:rPr>
          <w:lang w:val="uk-UA"/>
        </w:rPr>
        <w:t>всупереч статті 6,</w:t>
      </w:r>
      <w:r w:rsidRPr="00F0117E">
        <w:rPr>
          <w:lang w:val="uk-UA"/>
        </w:rPr>
        <w:t xml:space="preserve"> </w:t>
      </w:r>
      <w:r w:rsidR="002A5532" w:rsidRPr="00F0117E">
        <w:rPr>
          <w:lang w:val="uk-UA"/>
        </w:rPr>
        <w:t>необхідно визначити, беручи до уваги усі обставини справи</w:t>
      </w:r>
      <w:r w:rsidRPr="00F0117E">
        <w:rPr>
          <w:lang w:val="uk-UA"/>
        </w:rPr>
        <w:t xml:space="preserve">, </w:t>
      </w:r>
      <w:r w:rsidR="002A5532" w:rsidRPr="00F0117E">
        <w:rPr>
          <w:lang w:val="uk-UA"/>
        </w:rPr>
        <w:t xml:space="preserve">у тому числі повагу </w:t>
      </w:r>
      <w:r w:rsidR="007935AA">
        <w:rPr>
          <w:lang w:val="uk-UA"/>
        </w:rPr>
        <w:t>д</w:t>
      </w:r>
      <w:r w:rsidR="002A5532" w:rsidRPr="00F0117E">
        <w:rPr>
          <w:lang w:val="uk-UA"/>
        </w:rPr>
        <w:t>о прав заявника на захист</w:t>
      </w:r>
      <w:r w:rsidRPr="00F0117E">
        <w:rPr>
          <w:lang w:val="uk-UA"/>
        </w:rPr>
        <w:t xml:space="preserve"> </w:t>
      </w:r>
      <w:r w:rsidR="002A5532" w:rsidRPr="00F0117E">
        <w:rPr>
          <w:lang w:val="uk-UA"/>
        </w:rPr>
        <w:t>і якість та важливість відповідних доказів</w:t>
      </w:r>
      <w:r w:rsidRPr="00F0117E">
        <w:rPr>
          <w:lang w:val="uk-UA"/>
        </w:rPr>
        <w:t xml:space="preserve"> (</w:t>
      </w:r>
      <w:r w:rsidR="002A5532" w:rsidRPr="00F0117E">
        <w:rPr>
          <w:lang w:val="uk-UA"/>
        </w:rPr>
        <w:t>порівняйте, зокрема</w:t>
      </w:r>
      <w:r w:rsidRPr="00F0117E">
        <w:rPr>
          <w:lang w:val="uk-UA"/>
        </w:rPr>
        <w:t xml:space="preserve">, </w:t>
      </w:r>
      <w:proofErr w:type="spellStart"/>
      <w:r w:rsidRPr="00F0117E">
        <w:rPr>
          <w:i/>
          <w:lang w:val="uk-UA"/>
        </w:rPr>
        <w:t>Khan</w:t>
      </w:r>
      <w:proofErr w:type="spellEnd"/>
      <w:r w:rsidRPr="00F0117E">
        <w:rPr>
          <w:lang w:val="uk-UA"/>
        </w:rPr>
        <w:t xml:space="preserve">, </w:t>
      </w:r>
      <w:proofErr w:type="spellStart"/>
      <w:r w:rsidR="002A5532" w:rsidRPr="00F0117E">
        <w:rPr>
          <w:lang w:val="uk-UA"/>
        </w:rPr>
        <w:t>цит</w:t>
      </w:r>
      <w:proofErr w:type="spellEnd"/>
      <w:r w:rsidR="002A5532" w:rsidRPr="00F0117E">
        <w:rPr>
          <w:lang w:val="uk-UA"/>
        </w:rPr>
        <w:t>. вище</w:t>
      </w:r>
      <w:r w:rsidRPr="00F0117E">
        <w:rPr>
          <w:lang w:val="uk-UA"/>
        </w:rPr>
        <w:t xml:space="preserve">, §§ 35-40; </w:t>
      </w:r>
      <w:r w:rsidRPr="00F0117E">
        <w:rPr>
          <w:i/>
          <w:lang w:val="uk-UA"/>
        </w:rPr>
        <w:t xml:space="preserve">P.G. </w:t>
      </w:r>
      <w:proofErr w:type="spellStart"/>
      <w:r w:rsidRPr="00F0117E">
        <w:rPr>
          <w:i/>
          <w:lang w:val="uk-UA"/>
        </w:rPr>
        <w:t>and</w:t>
      </w:r>
      <w:proofErr w:type="spellEnd"/>
      <w:r w:rsidRPr="00F0117E">
        <w:rPr>
          <w:i/>
          <w:lang w:val="uk-UA"/>
        </w:rPr>
        <w:t xml:space="preserve"> J.H. v. </w:t>
      </w:r>
      <w:proofErr w:type="spellStart"/>
      <w:r w:rsidRPr="00F0117E">
        <w:rPr>
          <w:i/>
          <w:lang w:val="uk-UA"/>
        </w:rPr>
        <w:t>the</w:t>
      </w:r>
      <w:proofErr w:type="spellEnd"/>
      <w:r w:rsidRPr="00F0117E">
        <w:rPr>
          <w:i/>
          <w:lang w:val="uk-UA"/>
        </w:rPr>
        <w:t xml:space="preserve"> </w:t>
      </w:r>
      <w:proofErr w:type="spellStart"/>
      <w:r w:rsidRPr="00F0117E">
        <w:rPr>
          <w:i/>
          <w:lang w:val="uk-UA"/>
        </w:rPr>
        <w:t>United</w:t>
      </w:r>
      <w:proofErr w:type="spellEnd"/>
      <w:r w:rsidRPr="00F0117E">
        <w:rPr>
          <w:i/>
          <w:lang w:val="uk-UA"/>
        </w:rPr>
        <w:t xml:space="preserve"> </w:t>
      </w:r>
      <w:proofErr w:type="spellStart"/>
      <w:r w:rsidRPr="00F0117E">
        <w:rPr>
          <w:i/>
          <w:lang w:val="uk-UA"/>
        </w:rPr>
        <w:t>Kingdom</w:t>
      </w:r>
      <w:proofErr w:type="spellEnd"/>
      <w:r w:rsidRPr="00F0117E">
        <w:rPr>
          <w:lang w:val="uk-UA"/>
        </w:rPr>
        <w:t xml:space="preserve">, </w:t>
      </w:r>
      <w:proofErr w:type="spellStart"/>
      <w:r w:rsidR="002A5532" w:rsidRPr="00F0117E">
        <w:rPr>
          <w:lang w:val="uk-UA"/>
        </w:rPr>
        <w:t>цит</w:t>
      </w:r>
      <w:proofErr w:type="spellEnd"/>
      <w:r w:rsidR="002A5532" w:rsidRPr="00F0117E">
        <w:rPr>
          <w:lang w:val="uk-UA"/>
        </w:rPr>
        <w:t>. вище</w:t>
      </w:r>
      <w:r w:rsidRPr="00F0117E">
        <w:rPr>
          <w:lang w:val="uk-UA"/>
        </w:rPr>
        <w:t xml:space="preserve">, §§ 77-79; </w:t>
      </w:r>
      <w:r w:rsidR="002A5532" w:rsidRPr="00F0117E">
        <w:rPr>
          <w:lang w:val="uk-UA"/>
        </w:rPr>
        <w:t>та</w:t>
      </w:r>
      <w:r w:rsidRPr="00F0117E">
        <w:rPr>
          <w:lang w:val="uk-UA"/>
        </w:rPr>
        <w:t xml:space="preserve"> </w:t>
      </w:r>
      <w:proofErr w:type="spellStart"/>
      <w:r w:rsidRPr="00F0117E">
        <w:rPr>
          <w:i/>
          <w:lang w:val="uk-UA"/>
        </w:rPr>
        <w:t>Bykov</w:t>
      </w:r>
      <w:proofErr w:type="spellEnd"/>
      <w:r w:rsidRPr="00F0117E">
        <w:rPr>
          <w:i/>
          <w:lang w:val="uk-UA"/>
        </w:rPr>
        <w:t xml:space="preserve"> v. </w:t>
      </w:r>
      <w:proofErr w:type="spellStart"/>
      <w:r w:rsidRPr="00F0117E">
        <w:rPr>
          <w:i/>
          <w:lang w:val="uk-UA"/>
        </w:rPr>
        <w:t>Russia</w:t>
      </w:r>
      <w:proofErr w:type="spellEnd"/>
      <w:r w:rsidRPr="00F0117E">
        <w:rPr>
          <w:lang w:val="uk-UA"/>
        </w:rPr>
        <w:t xml:space="preserve"> [GC], </w:t>
      </w:r>
      <w:r w:rsidR="002A5532" w:rsidRPr="00F0117E">
        <w:rPr>
          <w:lang w:val="uk-UA"/>
        </w:rPr>
        <w:t>№</w:t>
      </w:r>
      <w:r w:rsidRPr="00F0117E">
        <w:rPr>
          <w:lang w:val="uk-UA"/>
        </w:rPr>
        <w:t xml:space="preserve"> 4378/02, §§ 94-98, 10 </w:t>
      </w:r>
      <w:r w:rsidR="002A5532" w:rsidRPr="00F0117E">
        <w:rPr>
          <w:lang w:val="uk-UA"/>
        </w:rPr>
        <w:t>березня</w:t>
      </w:r>
      <w:r w:rsidRPr="00F0117E">
        <w:rPr>
          <w:lang w:val="uk-UA"/>
        </w:rPr>
        <w:t xml:space="preserve"> 2009</w:t>
      </w:r>
      <w:r w:rsidR="002A5532" w:rsidRPr="00F0117E">
        <w:rPr>
          <w:lang w:val="uk-UA"/>
        </w:rPr>
        <w:t xml:space="preserve"> року</w:t>
      </w:r>
      <w:r w:rsidRPr="00F0117E">
        <w:rPr>
          <w:lang w:val="uk-UA"/>
        </w:rPr>
        <w:t xml:space="preserve">, </w:t>
      </w:r>
      <w:r w:rsidR="002A5532" w:rsidRPr="00F0117E">
        <w:rPr>
          <w:lang w:val="uk-UA"/>
        </w:rPr>
        <w:t>в якому не було виявлено порушення статті 6</w:t>
      </w:r>
      <w:r w:rsidRPr="00F0117E">
        <w:rPr>
          <w:lang w:val="uk-UA"/>
        </w:rPr>
        <w:t>).</w:t>
      </w:r>
    </w:p>
    <w:p w:rsidR="000169B9" w:rsidRPr="00F0117E" w:rsidRDefault="00B47274" w:rsidP="008B2B31">
      <w:pPr>
        <w:pStyle w:val="OpiQuot"/>
        <w:rPr>
          <w:lang w:val="uk-UA"/>
        </w:rPr>
      </w:pPr>
      <w:r w:rsidRPr="00F0117E">
        <w:rPr>
          <w:lang w:val="uk-UA"/>
        </w:rPr>
        <w:t>Зокрема, необхідно розглянути, чи отримав заявник можливість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 xml:space="preserve">опротестувати </w:t>
      </w:r>
      <w:proofErr w:type="spellStart"/>
      <w:r w:rsidRPr="00F0117E">
        <w:rPr>
          <w:lang w:val="uk-UA"/>
        </w:rPr>
        <w:t>аутентичність</w:t>
      </w:r>
      <w:proofErr w:type="spellEnd"/>
      <w:r w:rsidRPr="00F0117E">
        <w:rPr>
          <w:lang w:val="uk-UA"/>
        </w:rPr>
        <w:t xml:space="preserve"> доказів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та заперечувати проти їх використання</w:t>
      </w:r>
      <w:r w:rsidR="000169B9" w:rsidRPr="00F0117E">
        <w:rPr>
          <w:lang w:val="uk-UA"/>
        </w:rPr>
        <w:t xml:space="preserve">. </w:t>
      </w:r>
      <w:r w:rsidRPr="00F0117E">
        <w:rPr>
          <w:lang w:val="uk-UA"/>
        </w:rPr>
        <w:t>Крім того, слід взяти до уваги якість доказів</w:t>
      </w:r>
      <w:r w:rsidR="000169B9" w:rsidRPr="00F0117E">
        <w:rPr>
          <w:lang w:val="uk-UA"/>
        </w:rPr>
        <w:t xml:space="preserve">, </w:t>
      </w:r>
      <w:r w:rsidRPr="00F0117E">
        <w:rPr>
          <w:lang w:val="uk-UA"/>
        </w:rPr>
        <w:t>як і обставини, за яких вони були отримані,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і чи викликають ці докази сумніви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>щодо їх надійності та точності</w:t>
      </w:r>
      <w:r w:rsidR="000169B9" w:rsidRPr="00F0117E">
        <w:rPr>
          <w:lang w:val="uk-UA"/>
        </w:rPr>
        <w:t xml:space="preserve">. </w:t>
      </w:r>
      <w:r w:rsidRPr="00F0117E">
        <w:rPr>
          <w:lang w:val="uk-UA"/>
        </w:rPr>
        <w:t>Нарешті, Суд повинен надати ваги</w:t>
      </w:r>
      <w:r w:rsidR="000169B9" w:rsidRPr="00F0117E">
        <w:rPr>
          <w:lang w:val="uk-UA"/>
        </w:rPr>
        <w:t xml:space="preserve"> </w:t>
      </w:r>
      <w:r w:rsidRPr="00F0117E">
        <w:rPr>
          <w:lang w:val="uk-UA"/>
        </w:rPr>
        <w:t xml:space="preserve">тому, чи мали відповідні докази вирішальне </w:t>
      </w:r>
      <w:r w:rsidR="0015780F" w:rsidRPr="00F0117E">
        <w:rPr>
          <w:lang w:val="uk-UA"/>
        </w:rPr>
        <w:t xml:space="preserve">значення </w:t>
      </w:r>
      <w:r w:rsidRPr="00F0117E">
        <w:rPr>
          <w:lang w:val="uk-UA"/>
        </w:rPr>
        <w:t xml:space="preserve">для результату проваджень </w:t>
      </w:r>
      <w:r w:rsidR="000169B9" w:rsidRPr="00F0117E">
        <w:rPr>
          <w:lang w:val="uk-UA"/>
        </w:rPr>
        <w:t>(</w:t>
      </w:r>
      <w:r w:rsidRPr="00F0117E">
        <w:rPr>
          <w:lang w:val="uk-UA"/>
        </w:rPr>
        <w:t>порівняйте, зокрема</w:t>
      </w:r>
      <w:r w:rsidR="000169B9" w:rsidRPr="00F0117E">
        <w:rPr>
          <w:lang w:val="uk-UA"/>
        </w:rPr>
        <w:t xml:space="preserve">, </w:t>
      </w:r>
      <w:proofErr w:type="spellStart"/>
      <w:r w:rsidR="000169B9" w:rsidRPr="00F0117E">
        <w:rPr>
          <w:i/>
          <w:lang w:val="uk-UA"/>
        </w:rPr>
        <w:t>Khan</w:t>
      </w:r>
      <w:proofErr w:type="spellEnd"/>
      <w:r w:rsidR="000169B9" w:rsidRPr="00F0117E">
        <w:rPr>
          <w:lang w:val="uk-UA"/>
        </w:rPr>
        <w:t xml:space="preserve">, </w:t>
      </w:r>
      <w:proofErr w:type="spellStart"/>
      <w:r w:rsidRPr="00F0117E">
        <w:rPr>
          <w:lang w:val="uk-UA"/>
        </w:rPr>
        <w:t>цит</w:t>
      </w:r>
      <w:proofErr w:type="spellEnd"/>
      <w:r w:rsidRPr="00F0117E">
        <w:rPr>
          <w:lang w:val="uk-UA"/>
        </w:rPr>
        <w:t>. вище</w:t>
      </w:r>
      <w:r w:rsidR="000169B9" w:rsidRPr="00F0117E">
        <w:rPr>
          <w:lang w:val="uk-UA"/>
        </w:rPr>
        <w:t xml:space="preserve">, §§ 35 </w:t>
      </w:r>
      <w:r w:rsidRPr="00F0117E">
        <w:rPr>
          <w:lang w:val="uk-UA"/>
        </w:rPr>
        <w:t>і</w:t>
      </w:r>
      <w:r w:rsidR="000169B9" w:rsidRPr="00F0117E">
        <w:rPr>
          <w:lang w:val="uk-UA"/>
        </w:rPr>
        <w:t xml:space="preserve"> 37).”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15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B47274" w:rsidRPr="00F0117E">
        <w:rPr>
          <w:lang w:val="uk-UA"/>
        </w:rPr>
        <w:t>У будь-якому випадку, наведені вище альтернативні національні засоби правового захисту</w:t>
      </w:r>
      <w:r w:rsidR="000169B9" w:rsidRPr="00F0117E">
        <w:rPr>
          <w:lang w:val="uk-UA"/>
        </w:rPr>
        <w:t xml:space="preserve">, </w:t>
      </w:r>
      <w:r w:rsidR="00B47274" w:rsidRPr="00F0117E">
        <w:rPr>
          <w:lang w:val="uk-UA"/>
        </w:rPr>
        <w:t>декотрі з яких явно більш придатні</w:t>
      </w:r>
      <w:r w:rsidR="000169B9" w:rsidRPr="00F0117E">
        <w:rPr>
          <w:lang w:val="uk-UA"/>
        </w:rPr>
        <w:t xml:space="preserve"> </w:t>
      </w:r>
      <w:r w:rsidR="00B47274" w:rsidRPr="00F0117E">
        <w:rPr>
          <w:lang w:val="uk-UA"/>
        </w:rPr>
        <w:t>для захисту приватного життя/кореспонденції фізичних осіб</w:t>
      </w:r>
      <w:r w:rsidR="000169B9" w:rsidRPr="00F0117E">
        <w:rPr>
          <w:lang w:val="uk-UA"/>
        </w:rPr>
        <w:t xml:space="preserve"> </w:t>
      </w:r>
      <w:r w:rsidR="00B47274" w:rsidRPr="00F0117E">
        <w:rPr>
          <w:lang w:val="uk-UA"/>
        </w:rPr>
        <w:t>на робочому місці</w:t>
      </w:r>
      <w:r w:rsidR="000169B9" w:rsidRPr="00F0117E">
        <w:rPr>
          <w:lang w:val="uk-UA"/>
        </w:rPr>
        <w:t xml:space="preserve">, </w:t>
      </w:r>
      <w:r w:rsidR="00B47274" w:rsidRPr="00F0117E">
        <w:rPr>
          <w:lang w:val="uk-UA"/>
        </w:rPr>
        <w:t>були важливими для оцінки того, чи була здатна</w:t>
      </w:r>
      <w:r w:rsidR="000169B9" w:rsidRPr="00F0117E">
        <w:rPr>
          <w:lang w:val="uk-UA"/>
        </w:rPr>
        <w:t xml:space="preserve"> </w:t>
      </w:r>
      <w:r w:rsidR="00B47274" w:rsidRPr="00F0117E">
        <w:rPr>
          <w:lang w:val="uk-UA"/>
        </w:rPr>
        <w:t>створена в Румунії «правова система»</w:t>
      </w:r>
      <w:r w:rsidR="000169B9" w:rsidRPr="00F0117E">
        <w:rPr>
          <w:lang w:val="uk-UA"/>
        </w:rPr>
        <w:t xml:space="preserve"> </w:t>
      </w:r>
      <w:r w:rsidR="00B47274" w:rsidRPr="00F0117E">
        <w:rPr>
          <w:lang w:val="uk-UA"/>
        </w:rPr>
        <w:t>забезпечити «належний захист»</w:t>
      </w:r>
      <w:r w:rsidR="000169B9" w:rsidRPr="00F0117E">
        <w:rPr>
          <w:lang w:val="uk-UA"/>
        </w:rPr>
        <w:t xml:space="preserve"> </w:t>
      </w:r>
      <w:r w:rsidR="00B47274" w:rsidRPr="00F0117E">
        <w:rPr>
          <w:lang w:val="uk-UA"/>
        </w:rPr>
        <w:t>заявника від незаконного втручання</w:t>
      </w:r>
      <w:r w:rsidR="000169B9" w:rsidRPr="00F0117E">
        <w:rPr>
          <w:lang w:val="uk-UA"/>
        </w:rPr>
        <w:t xml:space="preserve"> </w:t>
      </w:r>
      <w:r w:rsidR="00B47274" w:rsidRPr="00F0117E">
        <w:rPr>
          <w:lang w:val="uk-UA"/>
        </w:rPr>
        <w:t>у його право на повагу до приватного життя/кореспонденції</w:t>
      </w:r>
      <w:r w:rsidR="000169B9" w:rsidRPr="00F0117E">
        <w:rPr>
          <w:lang w:val="uk-UA"/>
        </w:rPr>
        <w:t xml:space="preserve"> </w:t>
      </w:r>
      <w:r w:rsidR="00B47274" w:rsidRPr="00F0117E">
        <w:rPr>
          <w:lang w:val="uk-UA"/>
        </w:rPr>
        <w:t>відповідно до статті</w:t>
      </w:r>
      <w:r w:rsidR="000169B9" w:rsidRPr="00F0117E">
        <w:rPr>
          <w:lang w:val="uk-UA"/>
        </w:rPr>
        <w:t xml:space="preserve"> 8 </w:t>
      </w:r>
      <w:r w:rsidR="00B47274" w:rsidRPr="00F0117E">
        <w:rPr>
          <w:lang w:val="uk-UA"/>
        </w:rPr>
        <w:t>з боку іншої приватної фізичної особи</w:t>
      </w:r>
      <w:r w:rsidR="000169B9" w:rsidRPr="00F0117E">
        <w:rPr>
          <w:lang w:val="uk-UA"/>
        </w:rPr>
        <w:t xml:space="preserve"> (</w:t>
      </w:r>
      <w:r w:rsidR="00B47274" w:rsidRPr="00F0117E">
        <w:rPr>
          <w:lang w:val="uk-UA"/>
        </w:rPr>
        <w:t>у цьому випадку – його роботодавця</w:t>
      </w:r>
      <w:r w:rsidR="000169B9" w:rsidRPr="00F0117E">
        <w:rPr>
          <w:lang w:val="uk-UA"/>
        </w:rPr>
        <w:t>).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lastRenderedPageBreak/>
        <w:t>16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E63E9C" w:rsidRPr="00F0117E">
        <w:rPr>
          <w:lang w:val="uk-UA"/>
        </w:rPr>
        <w:t>Не включивши ці альтернативи, в достатній або будь-якій мірі</w:t>
      </w:r>
      <w:r w:rsidR="000169B9" w:rsidRPr="00F0117E">
        <w:rPr>
          <w:lang w:val="uk-UA"/>
        </w:rPr>
        <w:t xml:space="preserve">, </w:t>
      </w:r>
      <w:r w:rsidR="00E63E9C" w:rsidRPr="00F0117E">
        <w:rPr>
          <w:lang w:val="uk-UA"/>
        </w:rPr>
        <w:t>у свій аналіз, більшість</w:t>
      </w:r>
      <w:r w:rsidR="000169B9" w:rsidRPr="00F0117E">
        <w:rPr>
          <w:lang w:val="uk-UA"/>
        </w:rPr>
        <w:t xml:space="preserve"> </w:t>
      </w:r>
      <w:r w:rsidR="00E63E9C" w:rsidRPr="00F0117E">
        <w:rPr>
          <w:lang w:val="uk-UA"/>
        </w:rPr>
        <w:t>не взяла до уваги важливі чинники,</w:t>
      </w:r>
      <w:r w:rsidR="000169B9" w:rsidRPr="00F0117E">
        <w:rPr>
          <w:lang w:val="uk-UA"/>
        </w:rPr>
        <w:t xml:space="preserve"> </w:t>
      </w:r>
      <w:r w:rsidR="00E63E9C" w:rsidRPr="00F0117E">
        <w:rPr>
          <w:lang w:val="uk-UA"/>
        </w:rPr>
        <w:t>які стосуються питання, представленого у цій справі,</w:t>
      </w:r>
      <w:r w:rsidR="000169B9" w:rsidRPr="00F0117E">
        <w:rPr>
          <w:lang w:val="uk-UA"/>
        </w:rPr>
        <w:t xml:space="preserve"> </w:t>
      </w:r>
      <w:r w:rsidR="00E63E9C" w:rsidRPr="00F0117E">
        <w:rPr>
          <w:lang w:val="uk-UA"/>
        </w:rPr>
        <w:t>і не надали ваги визнаній широкій свободі розсуду, якою</w:t>
      </w:r>
      <w:r w:rsidR="000169B9" w:rsidRPr="00F0117E">
        <w:rPr>
          <w:lang w:val="uk-UA"/>
        </w:rPr>
        <w:t xml:space="preserve"> </w:t>
      </w:r>
      <w:r w:rsidR="00E63E9C" w:rsidRPr="00F0117E">
        <w:rPr>
          <w:lang w:val="uk-UA"/>
        </w:rPr>
        <w:t>користуються Високі Договірні Сторони</w:t>
      </w:r>
      <w:r w:rsidR="000169B9" w:rsidRPr="00F0117E">
        <w:rPr>
          <w:lang w:val="uk-UA"/>
        </w:rPr>
        <w:t xml:space="preserve"> </w:t>
      </w:r>
      <w:r w:rsidR="00E63E9C" w:rsidRPr="00F0117E">
        <w:rPr>
          <w:lang w:val="uk-UA"/>
        </w:rPr>
        <w:t>при визначенні того, які заходи вживати</w:t>
      </w:r>
      <w:r w:rsidR="000169B9" w:rsidRPr="00F0117E">
        <w:rPr>
          <w:lang w:val="uk-UA"/>
        </w:rPr>
        <w:t xml:space="preserve"> </w:t>
      </w:r>
      <w:r w:rsidR="00E63E9C" w:rsidRPr="00F0117E">
        <w:rPr>
          <w:lang w:val="uk-UA"/>
        </w:rPr>
        <w:t>та які засоби правового захисту передбачати відповідно до свого позитивного зобов’язання</w:t>
      </w:r>
      <w:r w:rsidR="000169B9" w:rsidRPr="00F0117E">
        <w:rPr>
          <w:lang w:val="uk-UA"/>
        </w:rPr>
        <w:t xml:space="preserve"> </w:t>
      </w:r>
      <w:r w:rsidR="00E63E9C" w:rsidRPr="00F0117E">
        <w:rPr>
          <w:lang w:val="uk-UA"/>
        </w:rPr>
        <w:t>за статтею</w:t>
      </w:r>
      <w:r w:rsidR="000169B9" w:rsidRPr="00F0117E">
        <w:rPr>
          <w:lang w:val="uk-UA"/>
        </w:rPr>
        <w:t xml:space="preserve"> 8 </w:t>
      </w:r>
      <w:r w:rsidR="00E63E9C" w:rsidRPr="00F0117E">
        <w:rPr>
          <w:lang w:val="uk-UA"/>
        </w:rPr>
        <w:t>щодо створення належної «правової системи»</w:t>
      </w:r>
      <w:r w:rsidR="000169B9" w:rsidRPr="00F0117E">
        <w:rPr>
          <w:lang w:val="uk-UA"/>
        </w:rPr>
        <w:t xml:space="preserve">. </w:t>
      </w:r>
      <w:r w:rsidR="00E63E9C" w:rsidRPr="00F0117E">
        <w:rPr>
          <w:lang w:val="uk-UA"/>
        </w:rPr>
        <w:t>Без будь-яких доказів, які б свідчили,</w:t>
      </w:r>
      <w:r w:rsidR="000169B9" w:rsidRPr="00F0117E">
        <w:rPr>
          <w:lang w:val="uk-UA"/>
        </w:rPr>
        <w:t xml:space="preserve"> </w:t>
      </w:r>
      <w:r w:rsidR="00E63E9C" w:rsidRPr="00F0117E">
        <w:rPr>
          <w:lang w:val="uk-UA"/>
        </w:rPr>
        <w:t>що національні засоби правового захисту, взяті по окремості або разом,</w:t>
      </w:r>
      <w:r w:rsidR="000169B9" w:rsidRPr="00F0117E">
        <w:rPr>
          <w:lang w:val="uk-UA"/>
        </w:rPr>
        <w:t xml:space="preserve"> </w:t>
      </w:r>
      <w:r w:rsidR="00E63E9C" w:rsidRPr="00F0117E">
        <w:rPr>
          <w:lang w:val="uk-UA"/>
        </w:rPr>
        <w:t>не були в достатній мірі доступними</w:t>
      </w:r>
      <w:r w:rsidR="000169B9" w:rsidRPr="00F0117E">
        <w:rPr>
          <w:lang w:val="uk-UA"/>
        </w:rPr>
        <w:t xml:space="preserve"> </w:t>
      </w:r>
      <w:r w:rsidR="00E63E9C" w:rsidRPr="00F0117E">
        <w:rPr>
          <w:lang w:val="uk-UA"/>
        </w:rPr>
        <w:t>або ефективними для надання</w:t>
      </w:r>
      <w:r w:rsidR="000169B9" w:rsidRPr="00F0117E">
        <w:rPr>
          <w:lang w:val="uk-UA"/>
        </w:rPr>
        <w:t xml:space="preserve"> </w:t>
      </w:r>
      <w:r w:rsidR="00E63E9C" w:rsidRPr="00F0117E">
        <w:rPr>
          <w:lang w:val="uk-UA"/>
        </w:rPr>
        <w:t>захисту, який потребує стаття</w:t>
      </w:r>
      <w:r w:rsidR="000169B9" w:rsidRPr="00F0117E">
        <w:rPr>
          <w:lang w:val="uk-UA"/>
        </w:rPr>
        <w:t xml:space="preserve"> 8, </w:t>
      </w:r>
      <w:r w:rsidR="00E63E9C" w:rsidRPr="00F0117E">
        <w:rPr>
          <w:lang w:val="uk-UA"/>
        </w:rPr>
        <w:t>нам здається, що немає підстави, на якій Суд</w:t>
      </w:r>
      <w:r w:rsidR="000169B9" w:rsidRPr="00F0117E">
        <w:rPr>
          <w:lang w:val="uk-UA"/>
        </w:rPr>
        <w:t xml:space="preserve"> </w:t>
      </w:r>
      <w:r w:rsidR="00E63E9C" w:rsidRPr="00F0117E">
        <w:rPr>
          <w:lang w:val="uk-UA"/>
        </w:rPr>
        <w:t>може виявити порушення статті</w:t>
      </w:r>
      <w:r w:rsidR="000169B9" w:rsidRPr="00F0117E">
        <w:rPr>
          <w:lang w:val="uk-UA"/>
        </w:rPr>
        <w:t xml:space="preserve"> 8 </w:t>
      </w:r>
      <w:r w:rsidR="00E63E9C" w:rsidRPr="00F0117E">
        <w:rPr>
          <w:lang w:val="uk-UA"/>
        </w:rPr>
        <w:t>за обставин даної справи</w:t>
      </w:r>
      <w:r w:rsidR="000169B9" w:rsidRPr="00F0117E">
        <w:rPr>
          <w:lang w:val="uk-UA"/>
        </w:rPr>
        <w:t>.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17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8D40C0" w:rsidRPr="00F0117E">
        <w:rPr>
          <w:lang w:val="uk-UA"/>
        </w:rPr>
        <w:t>До того, як залишити це питання доречного центрального моменту перевірки</w:t>
      </w:r>
      <w:r w:rsidR="000169B9" w:rsidRPr="00F0117E">
        <w:rPr>
          <w:lang w:val="uk-UA"/>
        </w:rPr>
        <w:t xml:space="preserve">, </w:t>
      </w:r>
      <w:r w:rsidR="008D40C0" w:rsidRPr="00F0117E">
        <w:rPr>
          <w:lang w:val="uk-UA"/>
        </w:rPr>
        <w:t>ми хотіли б висловити свою щиру надію</w:t>
      </w:r>
      <w:r w:rsidR="000169B9" w:rsidRPr="00F0117E">
        <w:rPr>
          <w:lang w:val="uk-UA"/>
        </w:rPr>
        <w:t xml:space="preserve"> </w:t>
      </w:r>
      <w:r w:rsidR="008D40C0" w:rsidRPr="00F0117E">
        <w:rPr>
          <w:lang w:val="uk-UA"/>
        </w:rPr>
        <w:t>на те, що рішення більшості не слід читати, як</w:t>
      </w:r>
      <w:r w:rsidR="000169B9" w:rsidRPr="00F0117E">
        <w:rPr>
          <w:lang w:val="uk-UA"/>
        </w:rPr>
        <w:t xml:space="preserve"> </w:t>
      </w:r>
      <w:r w:rsidR="008D40C0" w:rsidRPr="00F0117E">
        <w:rPr>
          <w:lang w:val="uk-UA"/>
        </w:rPr>
        <w:t>загальну вимогу згідно з Конвенцією того,</w:t>
      </w:r>
      <w:r w:rsidR="000169B9" w:rsidRPr="00F0117E">
        <w:rPr>
          <w:lang w:val="uk-UA"/>
        </w:rPr>
        <w:t xml:space="preserve"> </w:t>
      </w:r>
      <w:r w:rsidR="008D40C0" w:rsidRPr="00F0117E">
        <w:rPr>
          <w:lang w:val="uk-UA"/>
        </w:rPr>
        <w:t>щоб коли більш доречні засоби правового захисту є доступними</w:t>
      </w:r>
      <w:r w:rsidR="000169B9" w:rsidRPr="00F0117E">
        <w:rPr>
          <w:lang w:val="uk-UA"/>
        </w:rPr>
        <w:t xml:space="preserve"> </w:t>
      </w:r>
      <w:r w:rsidR="008D40C0" w:rsidRPr="00F0117E">
        <w:rPr>
          <w:lang w:val="uk-UA"/>
        </w:rPr>
        <w:t>у національній правовій системі</w:t>
      </w:r>
      <w:r w:rsidR="000169B9" w:rsidRPr="00F0117E">
        <w:rPr>
          <w:lang w:val="uk-UA"/>
        </w:rPr>
        <w:t xml:space="preserve"> (</w:t>
      </w:r>
      <w:r w:rsidR="008D40C0" w:rsidRPr="00F0117E">
        <w:rPr>
          <w:lang w:val="uk-UA"/>
        </w:rPr>
        <w:t>такі, як, наприклад, засоби, які необхідно встановити відповідно до актуального законодавства ЄС щодо захисту даних</w:t>
      </w:r>
      <w:r w:rsidR="000169B9" w:rsidRPr="00F0117E">
        <w:rPr>
          <w:lang w:val="uk-UA"/>
        </w:rPr>
        <w:t xml:space="preserve">), </w:t>
      </w:r>
      <w:r w:rsidR="008D40C0" w:rsidRPr="00F0117E">
        <w:rPr>
          <w:lang w:val="uk-UA"/>
        </w:rPr>
        <w:t>національні трудові суди</w:t>
      </w:r>
      <w:r w:rsidR="000169B9" w:rsidRPr="00F0117E">
        <w:rPr>
          <w:lang w:val="uk-UA"/>
        </w:rPr>
        <w:t xml:space="preserve">, </w:t>
      </w:r>
      <w:r w:rsidR="003415AB" w:rsidRPr="00F0117E">
        <w:rPr>
          <w:lang w:val="uk-UA"/>
        </w:rPr>
        <w:t>при розгляді такої справи, як справа заявника</w:t>
      </w:r>
      <w:r w:rsidR="000169B9" w:rsidRPr="00F0117E">
        <w:rPr>
          <w:lang w:val="uk-UA"/>
        </w:rPr>
        <w:t xml:space="preserve">, </w:t>
      </w:r>
      <w:r w:rsidR="003415AB" w:rsidRPr="00F0117E">
        <w:rPr>
          <w:lang w:val="uk-UA"/>
        </w:rPr>
        <w:t>повинні були продублювати функції будь-якого такого, більш доречного, спеціалізованого засобу правового захисту</w:t>
      </w:r>
      <w:r w:rsidR="000169B9" w:rsidRPr="00F0117E">
        <w:rPr>
          <w:lang w:val="uk-UA"/>
        </w:rPr>
        <w:t>.</w:t>
      </w:r>
    </w:p>
    <w:p w:rsidR="000169B9" w:rsidRPr="00F0117E" w:rsidRDefault="003415AB" w:rsidP="008B2B31">
      <w:pPr>
        <w:pStyle w:val="OpiHA"/>
        <w:ind w:hanging="73"/>
        <w:rPr>
          <w:lang w:val="uk-UA"/>
        </w:rPr>
      </w:pPr>
      <w:r w:rsidRPr="00F0117E">
        <w:rPr>
          <w:lang w:val="uk-UA"/>
        </w:rPr>
        <w:t>Аналіз з боку національних трудових судів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18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3415AB" w:rsidRPr="00F0117E">
        <w:rPr>
          <w:lang w:val="uk-UA"/>
        </w:rPr>
        <w:t>Однак, навіть якщо б, всупереч наведеному вище</w:t>
      </w:r>
      <w:r w:rsidR="000169B9" w:rsidRPr="00F0117E">
        <w:rPr>
          <w:lang w:val="uk-UA"/>
        </w:rPr>
        <w:t xml:space="preserve">, </w:t>
      </w:r>
      <w:r w:rsidR="003415AB" w:rsidRPr="00F0117E">
        <w:rPr>
          <w:lang w:val="uk-UA"/>
        </w:rPr>
        <w:t>концентрація більшості лише на аналізі</w:t>
      </w:r>
      <w:r w:rsidR="000169B9" w:rsidRPr="00F0117E">
        <w:rPr>
          <w:lang w:val="uk-UA"/>
        </w:rPr>
        <w:t xml:space="preserve"> </w:t>
      </w:r>
      <w:r w:rsidR="003415AB" w:rsidRPr="00F0117E">
        <w:rPr>
          <w:lang w:val="uk-UA"/>
        </w:rPr>
        <w:t>з боку національних трудових судів</w:t>
      </w:r>
      <w:r w:rsidR="000169B9" w:rsidRPr="00F0117E">
        <w:rPr>
          <w:lang w:val="uk-UA"/>
        </w:rPr>
        <w:t xml:space="preserve"> </w:t>
      </w:r>
      <w:r w:rsidR="003415AB" w:rsidRPr="00F0117E">
        <w:rPr>
          <w:lang w:val="uk-UA"/>
        </w:rPr>
        <w:t>була доречним підходом</w:t>
      </w:r>
      <w:r w:rsidR="000169B9" w:rsidRPr="00F0117E">
        <w:rPr>
          <w:lang w:val="uk-UA"/>
        </w:rPr>
        <w:t xml:space="preserve">, </w:t>
      </w:r>
      <w:r w:rsidR="003415AB" w:rsidRPr="00F0117E">
        <w:rPr>
          <w:lang w:val="uk-UA"/>
        </w:rPr>
        <w:t>ми також не погоджуємося з тим, що</w:t>
      </w:r>
      <w:r w:rsidR="000169B9" w:rsidRPr="00F0117E">
        <w:rPr>
          <w:lang w:val="uk-UA"/>
        </w:rPr>
        <w:t xml:space="preserve">, </w:t>
      </w:r>
      <w:r w:rsidR="003415AB" w:rsidRPr="00F0117E">
        <w:rPr>
          <w:lang w:val="uk-UA"/>
        </w:rPr>
        <w:t>в дійсності, цей аналіз є настільки дефективним, що це призвело до виявлення порушення статті</w:t>
      </w:r>
      <w:r w:rsidR="000169B9" w:rsidRPr="00F0117E">
        <w:rPr>
          <w:lang w:val="uk-UA"/>
        </w:rPr>
        <w:t xml:space="preserve"> 8.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19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3415AB" w:rsidRPr="00F0117E">
        <w:rPr>
          <w:lang w:val="uk-UA"/>
        </w:rPr>
        <w:t>При розгляді рішень окружного суду</w:t>
      </w:r>
      <w:r w:rsidR="000169B9" w:rsidRPr="00F0117E">
        <w:rPr>
          <w:lang w:val="uk-UA"/>
        </w:rPr>
        <w:t xml:space="preserve"> </w:t>
      </w:r>
      <w:r w:rsidR="003415AB" w:rsidRPr="00F0117E">
        <w:rPr>
          <w:lang w:val="uk-UA"/>
        </w:rPr>
        <w:t>та Апеляційного суду Бухаресту</w:t>
      </w:r>
      <w:r w:rsidR="000169B9" w:rsidRPr="00F0117E">
        <w:rPr>
          <w:lang w:val="uk-UA"/>
        </w:rPr>
        <w:t xml:space="preserve"> </w:t>
      </w:r>
      <w:r w:rsidR="003415AB" w:rsidRPr="00F0117E">
        <w:rPr>
          <w:lang w:val="uk-UA"/>
        </w:rPr>
        <w:t>ми зазначаємо, що обидва національні суди взяли до уваги</w:t>
      </w:r>
      <w:r w:rsidR="000169B9" w:rsidRPr="00F0117E">
        <w:rPr>
          <w:lang w:val="uk-UA"/>
        </w:rPr>
        <w:t xml:space="preserve"> </w:t>
      </w:r>
      <w:r w:rsidR="003415AB" w:rsidRPr="00F0117E">
        <w:rPr>
          <w:lang w:val="uk-UA"/>
        </w:rPr>
        <w:t>внутрішні розпорядження роботодавця</w:t>
      </w:r>
      <w:r w:rsidR="000169B9" w:rsidRPr="00F0117E">
        <w:rPr>
          <w:lang w:val="uk-UA"/>
        </w:rPr>
        <w:t xml:space="preserve">, </w:t>
      </w:r>
      <w:r w:rsidR="003415AB" w:rsidRPr="00F0117E">
        <w:rPr>
          <w:lang w:val="uk-UA"/>
        </w:rPr>
        <w:t>які забороняли користування ресурсами компанії</w:t>
      </w:r>
      <w:r w:rsidR="000169B9" w:rsidRPr="00F0117E">
        <w:rPr>
          <w:lang w:val="uk-UA"/>
        </w:rPr>
        <w:t xml:space="preserve"> </w:t>
      </w:r>
      <w:r w:rsidR="003415AB" w:rsidRPr="00F0117E">
        <w:rPr>
          <w:lang w:val="uk-UA"/>
        </w:rPr>
        <w:t>в особистих цілях</w:t>
      </w:r>
      <w:r w:rsidR="000169B9" w:rsidRPr="00F0117E">
        <w:rPr>
          <w:lang w:val="uk-UA"/>
        </w:rPr>
        <w:t xml:space="preserve"> (</w:t>
      </w:r>
      <w:r w:rsidR="003415AB" w:rsidRPr="00F0117E">
        <w:rPr>
          <w:lang w:val="uk-UA"/>
        </w:rPr>
        <w:t>див. пункти</w:t>
      </w:r>
      <w:r w:rsidR="000169B9" w:rsidRPr="00F0117E">
        <w:rPr>
          <w:lang w:val="uk-UA"/>
        </w:rPr>
        <w:t xml:space="preserve"> 12, 28 </w:t>
      </w:r>
      <w:r w:rsidR="003415AB" w:rsidRPr="00F0117E">
        <w:rPr>
          <w:lang w:val="uk-UA"/>
        </w:rPr>
        <w:t>та</w:t>
      </w:r>
      <w:r w:rsidR="000169B9" w:rsidRPr="00F0117E">
        <w:rPr>
          <w:lang w:val="uk-UA"/>
        </w:rPr>
        <w:t xml:space="preserve"> </w:t>
      </w:r>
      <w:r w:rsidR="003415AB" w:rsidRPr="00F0117E">
        <w:rPr>
          <w:lang w:val="uk-UA"/>
        </w:rPr>
        <w:t>рішення</w:t>
      </w:r>
      <w:r w:rsidR="000169B9" w:rsidRPr="00F0117E">
        <w:rPr>
          <w:lang w:val="uk-UA"/>
        </w:rPr>
        <w:t xml:space="preserve">). </w:t>
      </w:r>
      <w:r w:rsidR="003415AB" w:rsidRPr="00F0117E">
        <w:rPr>
          <w:lang w:val="uk-UA"/>
        </w:rPr>
        <w:t>Ми також зауважуємо, що заявник був проінформований</w:t>
      </w:r>
      <w:r w:rsidR="000169B9" w:rsidRPr="00F0117E">
        <w:rPr>
          <w:lang w:val="uk-UA"/>
        </w:rPr>
        <w:t xml:space="preserve"> </w:t>
      </w:r>
      <w:r w:rsidR="003415AB" w:rsidRPr="00F0117E">
        <w:rPr>
          <w:lang w:val="uk-UA"/>
        </w:rPr>
        <w:t>про внутрішні розпорядження, оскільки він ознайомився</w:t>
      </w:r>
      <w:r w:rsidR="000169B9" w:rsidRPr="00F0117E">
        <w:rPr>
          <w:lang w:val="uk-UA"/>
        </w:rPr>
        <w:t xml:space="preserve"> </w:t>
      </w:r>
      <w:r w:rsidR="003415AB" w:rsidRPr="00F0117E">
        <w:rPr>
          <w:lang w:val="uk-UA"/>
        </w:rPr>
        <w:t>з ними та підписав їх копію</w:t>
      </w:r>
      <w:r w:rsidR="000169B9" w:rsidRPr="00F0117E">
        <w:rPr>
          <w:lang w:val="uk-UA"/>
        </w:rPr>
        <w:t xml:space="preserve"> 20 </w:t>
      </w:r>
      <w:r w:rsidR="003415AB" w:rsidRPr="00F0117E">
        <w:rPr>
          <w:lang w:val="uk-UA"/>
        </w:rPr>
        <w:t>грудня</w:t>
      </w:r>
      <w:r w:rsidR="000169B9" w:rsidRPr="00F0117E">
        <w:rPr>
          <w:lang w:val="uk-UA"/>
        </w:rPr>
        <w:t xml:space="preserve"> 2006</w:t>
      </w:r>
      <w:r w:rsidR="003415AB" w:rsidRPr="00F0117E">
        <w:rPr>
          <w:lang w:val="uk-UA"/>
        </w:rPr>
        <w:t xml:space="preserve"> року</w:t>
      </w:r>
      <w:r w:rsidR="000169B9" w:rsidRPr="00F0117E">
        <w:rPr>
          <w:lang w:val="uk-UA"/>
        </w:rPr>
        <w:t xml:space="preserve"> (</w:t>
      </w:r>
      <w:r w:rsidR="003415AB" w:rsidRPr="00F0117E">
        <w:rPr>
          <w:lang w:val="uk-UA"/>
        </w:rPr>
        <w:t>див. пункт</w:t>
      </w:r>
      <w:r w:rsidR="000169B9" w:rsidRPr="00F0117E">
        <w:rPr>
          <w:lang w:val="uk-UA"/>
        </w:rPr>
        <w:t xml:space="preserve"> 14 </w:t>
      </w:r>
      <w:r w:rsidR="003415AB" w:rsidRPr="00F0117E">
        <w:rPr>
          <w:lang w:val="uk-UA"/>
        </w:rPr>
        <w:t>рішення</w:t>
      </w:r>
      <w:r w:rsidR="000169B9" w:rsidRPr="00F0117E">
        <w:rPr>
          <w:lang w:val="uk-UA"/>
        </w:rPr>
        <w:t xml:space="preserve">). </w:t>
      </w:r>
      <w:r w:rsidR="003415AB" w:rsidRPr="00F0117E">
        <w:rPr>
          <w:lang w:val="uk-UA"/>
        </w:rPr>
        <w:t>Національні суди тлумачили положення цього інструменту,</w:t>
      </w:r>
      <w:r w:rsidR="000169B9" w:rsidRPr="00F0117E">
        <w:rPr>
          <w:lang w:val="uk-UA"/>
        </w:rPr>
        <w:t xml:space="preserve"> </w:t>
      </w:r>
      <w:r w:rsidR="003415AB" w:rsidRPr="00F0117E">
        <w:rPr>
          <w:lang w:val="uk-UA"/>
        </w:rPr>
        <w:t>як ті, що мають на увазі можливість того,</w:t>
      </w:r>
      <w:r w:rsidR="000169B9" w:rsidRPr="00F0117E">
        <w:rPr>
          <w:lang w:val="uk-UA"/>
        </w:rPr>
        <w:t xml:space="preserve"> </w:t>
      </w:r>
      <w:r w:rsidR="003415AB" w:rsidRPr="00F0117E">
        <w:rPr>
          <w:lang w:val="uk-UA"/>
        </w:rPr>
        <w:t>що певні заходи могли бути вжиті</w:t>
      </w:r>
      <w:r w:rsidR="000169B9" w:rsidRPr="00F0117E">
        <w:rPr>
          <w:lang w:val="uk-UA"/>
        </w:rPr>
        <w:t xml:space="preserve"> </w:t>
      </w:r>
      <w:r w:rsidR="003415AB" w:rsidRPr="00F0117E">
        <w:rPr>
          <w:lang w:val="uk-UA"/>
        </w:rPr>
        <w:t>для моніторингу спілкування</w:t>
      </w:r>
      <w:r w:rsidR="000169B9" w:rsidRPr="00F0117E">
        <w:rPr>
          <w:lang w:val="uk-UA"/>
        </w:rPr>
        <w:t xml:space="preserve">, </w:t>
      </w:r>
      <w:r w:rsidR="003415AB" w:rsidRPr="00F0117E">
        <w:rPr>
          <w:lang w:val="uk-UA"/>
        </w:rPr>
        <w:t>і це могло значно зменшити для заявника можливість</w:t>
      </w:r>
      <w:r w:rsidR="000169B9" w:rsidRPr="00F0117E">
        <w:rPr>
          <w:lang w:val="uk-UA"/>
        </w:rPr>
        <w:t xml:space="preserve"> </w:t>
      </w:r>
      <w:r w:rsidR="003415AB" w:rsidRPr="00F0117E">
        <w:rPr>
          <w:lang w:val="uk-UA"/>
        </w:rPr>
        <w:t>будь-якого обґрунтованого очікування</w:t>
      </w:r>
      <w:r w:rsidR="000169B9" w:rsidRPr="00F0117E">
        <w:rPr>
          <w:lang w:val="uk-UA"/>
        </w:rPr>
        <w:t xml:space="preserve"> </w:t>
      </w:r>
      <w:r w:rsidR="003415AB" w:rsidRPr="00F0117E">
        <w:rPr>
          <w:lang w:val="uk-UA"/>
        </w:rPr>
        <w:t>того, що приватність його кореспонденції буде дотримана</w:t>
      </w:r>
      <w:r w:rsidR="000169B9" w:rsidRPr="00F0117E">
        <w:rPr>
          <w:lang w:val="uk-UA"/>
        </w:rPr>
        <w:t xml:space="preserve"> (</w:t>
      </w:r>
      <w:r w:rsidR="003415AB" w:rsidRPr="00F0117E">
        <w:rPr>
          <w:lang w:val="uk-UA"/>
        </w:rPr>
        <w:t>порівняйте з</w:t>
      </w:r>
      <w:r w:rsidR="000169B9" w:rsidRPr="00F0117E">
        <w:rPr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Halford</w:t>
      </w:r>
      <w:proofErr w:type="spellEnd"/>
      <w:r w:rsidR="00BC57CF" w:rsidRPr="00F0117E">
        <w:rPr>
          <w:i/>
          <w:lang w:val="uk-UA"/>
        </w:rPr>
        <w:t xml:space="preserve"> v. </w:t>
      </w:r>
      <w:proofErr w:type="spellStart"/>
      <w:r w:rsidR="00BC57CF" w:rsidRPr="00F0117E">
        <w:rPr>
          <w:i/>
          <w:lang w:val="uk-UA"/>
        </w:rPr>
        <w:t>the</w:t>
      </w:r>
      <w:proofErr w:type="spellEnd"/>
      <w:r w:rsidR="00BC57CF" w:rsidRPr="00F0117E">
        <w:rPr>
          <w:i/>
          <w:lang w:val="uk-UA"/>
        </w:rPr>
        <w:t xml:space="preserve"> </w:t>
      </w:r>
      <w:proofErr w:type="spellStart"/>
      <w:r w:rsidR="00BC57CF" w:rsidRPr="00F0117E">
        <w:rPr>
          <w:i/>
          <w:lang w:val="uk-UA"/>
        </w:rPr>
        <w:t>United</w:t>
      </w:r>
      <w:proofErr w:type="spellEnd"/>
      <w:r w:rsidR="00BC57CF" w:rsidRPr="00F0117E">
        <w:rPr>
          <w:i/>
          <w:lang w:val="uk-UA"/>
        </w:rPr>
        <w:t xml:space="preserve"> </w:t>
      </w:r>
      <w:proofErr w:type="spellStart"/>
      <w:r w:rsidR="00BC57CF" w:rsidRPr="00F0117E">
        <w:rPr>
          <w:i/>
          <w:lang w:val="uk-UA"/>
        </w:rPr>
        <w:t>Kingdom</w:t>
      </w:r>
      <w:proofErr w:type="spellEnd"/>
      <w:r w:rsidR="00BC57CF" w:rsidRPr="00F0117E">
        <w:rPr>
          <w:lang w:val="uk-UA"/>
        </w:rPr>
        <w:t xml:space="preserve">, 25 </w:t>
      </w:r>
      <w:r w:rsidR="003415AB" w:rsidRPr="00F0117E">
        <w:rPr>
          <w:lang w:val="uk-UA"/>
        </w:rPr>
        <w:t>червня</w:t>
      </w:r>
      <w:r w:rsidR="00BC57CF" w:rsidRPr="00F0117E">
        <w:rPr>
          <w:lang w:val="uk-UA"/>
        </w:rPr>
        <w:t xml:space="preserve"> 1997</w:t>
      </w:r>
      <w:r w:rsidR="003415AB" w:rsidRPr="00F0117E">
        <w:rPr>
          <w:lang w:val="uk-UA"/>
        </w:rPr>
        <w:t xml:space="preserve"> року</w:t>
      </w:r>
      <w:r w:rsidR="00BC57CF" w:rsidRPr="00F0117E">
        <w:rPr>
          <w:lang w:val="uk-UA"/>
        </w:rPr>
        <w:t xml:space="preserve">, § 45, </w:t>
      </w:r>
      <w:proofErr w:type="spellStart"/>
      <w:r w:rsidR="00BC57CF" w:rsidRPr="00F0117E">
        <w:rPr>
          <w:i/>
          <w:lang w:val="uk-UA"/>
        </w:rPr>
        <w:t>Reports</w:t>
      </w:r>
      <w:proofErr w:type="spellEnd"/>
      <w:r w:rsidR="00BC57CF" w:rsidRPr="00F0117E">
        <w:rPr>
          <w:i/>
          <w:lang w:val="uk-UA"/>
        </w:rPr>
        <w:t xml:space="preserve"> </w:t>
      </w:r>
      <w:proofErr w:type="spellStart"/>
      <w:r w:rsidR="00BC57CF" w:rsidRPr="00F0117E">
        <w:rPr>
          <w:i/>
          <w:lang w:val="uk-UA"/>
        </w:rPr>
        <w:t>of</w:t>
      </w:r>
      <w:proofErr w:type="spellEnd"/>
      <w:r w:rsidR="00BC57CF" w:rsidRPr="00F0117E">
        <w:rPr>
          <w:i/>
          <w:lang w:val="uk-UA"/>
        </w:rPr>
        <w:t xml:space="preserve"> </w:t>
      </w:r>
      <w:proofErr w:type="spellStart"/>
      <w:r w:rsidR="00BC57CF" w:rsidRPr="00F0117E">
        <w:rPr>
          <w:i/>
          <w:lang w:val="uk-UA"/>
        </w:rPr>
        <w:t>Judgments</w:t>
      </w:r>
      <w:proofErr w:type="spellEnd"/>
      <w:r w:rsidR="00BC57CF" w:rsidRPr="00F0117E">
        <w:rPr>
          <w:i/>
          <w:lang w:val="uk-UA"/>
        </w:rPr>
        <w:t xml:space="preserve"> </w:t>
      </w:r>
      <w:proofErr w:type="spellStart"/>
      <w:r w:rsidR="00BC57CF" w:rsidRPr="00F0117E">
        <w:rPr>
          <w:i/>
          <w:lang w:val="uk-UA"/>
        </w:rPr>
        <w:lastRenderedPageBreak/>
        <w:t>and</w:t>
      </w:r>
      <w:proofErr w:type="spellEnd"/>
      <w:r w:rsidR="00BC57CF" w:rsidRPr="00F0117E">
        <w:rPr>
          <w:i/>
          <w:lang w:val="uk-UA"/>
        </w:rPr>
        <w:t xml:space="preserve"> </w:t>
      </w:r>
      <w:proofErr w:type="spellStart"/>
      <w:r w:rsidR="00BC57CF" w:rsidRPr="00F0117E">
        <w:rPr>
          <w:i/>
          <w:lang w:val="uk-UA"/>
        </w:rPr>
        <w:t>Decisions</w:t>
      </w:r>
      <w:proofErr w:type="spellEnd"/>
      <w:r w:rsidR="00BC57CF" w:rsidRPr="00F0117E">
        <w:rPr>
          <w:lang w:val="uk-UA"/>
        </w:rPr>
        <w:t xml:space="preserve"> 1997</w:t>
      </w:r>
      <w:r w:rsidR="00BC57CF" w:rsidRPr="00F0117E">
        <w:rPr>
          <w:lang w:val="uk-UA"/>
        </w:rPr>
        <w:noBreakHyphen/>
        <w:t>III</w:t>
      </w:r>
      <w:r w:rsidR="000169B9" w:rsidRPr="00F0117E">
        <w:rPr>
          <w:lang w:val="uk-UA"/>
        </w:rPr>
        <w:t xml:space="preserve">, </w:t>
      </w:r>
      <w:r w:rsidR="003E71B2" w:rsidRPr="00F0117E">
        <w:rPr>
          <w:lang w:val="uk-UA"/>
        </w:rPr>
        <w:t>та</w:t>
      </w:r>
      <w:r w:rsidR="000169B9" w:rsidRPr="00F0117E">
        <w:rPr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Copland</w:t>
      </w:r>
      <w:proofErr w:type="spellEnd"/>
      <w:r w:rsidR="000169B9" w:rsidRPr="00F0117E">
        <w:rPr>
          <w:lang w:val="uk-UA"/>
        </w:rPr>
        <w:t xml:space="preserve">, </w:t>
      </w:r>
      <w:proofErr w:type="spellStart"/>
      <w:r w:rsidR="003E71B2" w:rsidRPr="00F0117E">
        <w:rPr>
          <w:lang w:val="uk-UA"/>
        </w:rPr>
        <w:t>цит</w:t>
      </w:r>
      <w:proofErr w:type="spellEnd"/>
      <w:r w:rsidR="003E71B2" w:rsidRPr="00F0117E">
        <w:rPr>
          <w:lang w:val="uk-UA"/>
        </w:rPr>
        <w:t>. вище</w:t>
      </w:r>
      <w:r w:rsidR="00696825" w:rsidRPr="00F0117E">
        <w:rPr>
          <w:lang w:val="uk-UA"/>
        </w:rPr>
        <w:t>, § 42). Тому ми вважаємо, що питання необхідно знову розглянути у цьому контексті</w:t>
      </w:r>
      <w:r w:rsidR="000169B9" w:rsidRPr="00F0117E">
        <w:rPr>
          <w:lang w:val="uk-UA"/>
        </w:rPr>
        <w:t>.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20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696825" w:rsidRPr="00F0117E">
        <w:rPr>
          <w:lang w:val="uk-UA"/>
        </w:rPr>
        <w:t>У цьому контексті з доступних Суду доказів очевидно,</w:t>
      </w:r>
      <w:r w:rsidR="000169B9" w:rsidRPr="00F0117E">
        <w:rPr>
          <w:lang w:val="uk-UA"/>
        </w:rPr>
        <w:t xml:space="preserve"> </w:t>
      </w:r>
      <w:r w:rsidR="00696825" w:rsidRPr="00F0117E">
        <w:rPr>
          <w:lang w:val="uk-UA"/>
        </w:rPr>
        <w:t>що національні суди дійсно розглянули це питання</w:t>
      </w:r>
      <w:r w:rsidR="000169B9" w:rsidRPr="00F0117E">
        <w:rPr>
          <w:lang w:val="uk-UA"/>
        </w:rPr>
        <w:t xml:space="preserve">. </w:t>
      </w:r>
      <w:r w:rsidR="00696825" w:rsidRPr="00F0117E">
        <w:rPr>
          <w:lang w:val="uk-UA"/>
        </w:rPr>
        <w:t>Окружний суд та апеляційний суд придали певну вагу</w:t>
      </w:r>
      <w:r w:rsidR="000169B9" w:rsidRPr="00F0117E">
        <w:rPr>
          <w:lang w:val="uk-UA"/>
        </w:rPr>
        <w:t xml:space="preserve"> </w:t>
      </w:r>
      <w:r w:rsidR="00696825" w:rsidRPr="00F0117E">
        <w:rPr>
          <w:lang w:val="uk-UA"/>
        </w:rPr>
        <w:t>інформаційному повідомленню, яке підписав заявник</w:t>
      </w:r>
      <w:r w:rsidR="000169B9" w:rsidRPr="00F0117E">
        <w:rPr>
          <w:lang w:val="uk-UA"/>
        </w:rPr>
        <w:t xml:space="preserve">, </w:t>
      </w:r>
      <w:r w:rsidR="00696825" w:rsidRPr="00F0117E">
        <w:rPr>
          <w:lang w:val="uk-UA"/>
        </w:rPr>
        <w:t>і їх рішення вказують на те, що підписана копія повідомлення була надана у провадженнях у цих судах</w:t>
      </w:r>
      <w:r w:rsidR="000169B9" w:rsidRPr="00F0117E">
        <w:rPr>
          <w:lang w:val="uk-UA"/>
        </w:rPr>
        <w:t xml:space="preserve"> (</w:t>
      </w:r>
      <w:r w:rsidR="00696825" w:rsidRPr="00F0117E">
        <w:rPr>
          <w:lang w:val="uk-UA"/>
        </w:rPr>
        <w:t>див. пункти 28 та 30 рішення</w:t>
      </w:r>
      <w:r w:rsidR="000169B9" w:rsidRPr="00F0117E">
        <w:rPr>
          <w:lang w:val="uk-UA"/>
        </w:rPr>
        <w:t xml:space="preserve">). </w:t>
      </w:r>
      <w:r w:rsidR="00696825" w:rsidRPr="00F0117E">
        <w:rPr>
          <w:lang w:val="uk-UA"/>
        </w:rPr>
        <w:t>Окружний суд зауважив, зокрема</w:t>
      </w:r>
      <w:r w:rsidR="000169B9" w:rsidRPr="00F0117E">
        <w:rPr>
          <w:lang w:val="uk-UA"/>
        </w:rPr>
        <w:t xml:space="preserve">, </w:t>
      </w:r>
      <w:r w:rsidR="00696825" w:rsidRPr="00F0117E">
        <w:rPr>
          <w:lang w:val="uk-UA"/>
        </w:rPr>
        <w:t>що роботодавець попередив працівників</w:t>
      </w:r>
      <w:r w:rsidR="000169B9" w:rsidRPr="00F0117E">
        <w:rPr>
          <w:lang w:val="uk-UA"/>
        </w:rPr>
        <w:t xml:space="preserve"> </w:t>
      </w:r>
      <w:r w:rsidR="00696825" w:rsidRPr="00F0117E">
        <w:rPr>
          <w:lang w:val="uk-UA"/>
        </w:rPr>
        <w:t>про те, що їх діяльність, у тому числі користування комп’ютерами</w:t>
      </w:r>
      <w:r w:rsidR="000169B9" w:rsidRPr="00F0117E">
        <w:rPr>
          <w:lang w:val="uk-UA"/>
        </w:rPr>
        <w:t xml:space="preserve">, </w:t>
      </w:r>
      <w:r w:rsidR="00696825" w:rsidRPr="00F0117E">
        <w:rPr>
          <w:lang w:val="uk-UA"/>
        </w:rPr>
        <w:t>підлягала моніторингу</w:t>
      </w:r>
      <w:r w:rsidR="000169B9" w:rsidRPr="00F0117E">
        <w:rPr>
          <w:lang w:val="uk-UA"/>
        </w:rPr>
        <w:t xml:space="preserve">, </w:t>
      </w:r>
      <w:r w:rsidR="00696825" w:rsidRPr="00F0117E">
        <w:rPr>
          <w:lang w:val="uk-UA"/>
        </w:rPr>
        <w:t>і що заявник сам прийняв інформаційне повідомлення</w:t>
      </w:r>
      <w:r w:rsidR="000169B9" w:rsidRPr="00F0117E">
        <w:rPr>
          <w:lang w:val="uk-UA"/>
        </w:rPr>
        <w:t xml:space="preserve"> (</w:t>
      </w:r>
      <w:r w:rsidR="00696825" w:rsidRPr="00F0117E">
        <w:rPr>
          <w:lang w:val="uk-UA"/>
        </w:rPr>
        <w:t>див. пункт</w:t>
      </w:r>
      <w:r w:rsidR="000169B9" w:rsidRPr="00F0117E">
        <w:rPr>
          <w:lang w:val="uk-UA"/>
        </w:rPr>
        <w:t xml:space="preserve"> 28</w:t>
      </w:r>
      <w:r w:rsidR="000D4C6B" w:rsidRPr="00F0117E">
        <w:rPr>
          <w:lang w:val="uk-UA"/>
        </w:rPr>
        <w:t xml:space="preserve"> </w:t>
      </w:r>
      <w:r w:rsidR="00696825" w:rsidRPr="00F0117E">
        <w:rPr>
          <w:lang w:val="uk-UA"/>
        </w:rPr>
        <w:t>рішення</w:t>
      </w:r>
      <w:r w:rsidR="000169B9" w:rsidRPr="00F0117E">
        <w:rPr>
          <w:lang w:val="uk-UA"/>
        </w:rPr>
        <w:t xml:space="preserve">). </w:t>
      </w:r>
      <w:r w:rsidR="00696825" w:rsidRPr="00F0117E">
        <w:rPr>
          <w:lang w:val="uk-UA"/>
        </w:rPr>
        <w:t>Апеляційний суд також підтвердив,</w:t>
      </w:r>
      <w:r w:rsidR="000169B9" w:rsidRPr="00F0117E">
        <w:rPr>
          <w:lang w:val="uk-UA"/>
        </w:rPr>
        <w:t xml:space="preserve"> </w:t>
      </w:r>
      <w:r w:rsidR="00696825" w:rsidRPr="00F0117E">
        <w:rPr>
          <w:lang w:val="uk-UA"/>
        </w:rPr>
        <w:t>що «у користуванні</w:t>
      </w:r>
      <w:r w:rsidR="000169B9" w:rsidRPr="00F0117E">
        <w:rPr>
          <w:lang w:val="uk-UA"/>
        </w:rPr>
        <w:t xml:space="preserve"> [</w:t>
      </w:r>
      <w:r w:rsidR="00696825" w:rsidRPr="00F0117E">
        <w:rPr>
          <w:lang w:val="uk-UA"/>
        </w:rPr>
        <w:t>ресурсами компанії</w:t>
      </w:r>
      <w:r w:rsidR="000169B9" w:rsidRPr="00F0117E">
        <w:rPr>
          <w:lang w:val="uk-UA"/>
        </w:rPr>
        <w:t xml:space="preserve">] </w:t>
      </w:r>
      <w:r w:rsidR="00696825" w:rsidRPr="00F0117E">
        <w:rPr>
          <w:lang w:val="uk-UA"/>
        </w:rPr>
        <w:t>в особистих цілях може бути відмовлено</w:t>
      </w:r>
      <w:r w:rsidR="000169B9" w:rsidRPr="00F0117E">
        <w:rPr>
          <w:lang w:val="uk-UA"/>
        </w:rPr>
        <w:t xml:space="preserve"> ... </w:t>
      </w:r>
      <w:r w:rsidR="00696825" w:rsidRPr="00F0117E">
        <w:rPr>
          <w:lang w:val="uk-UA"/>
        </w:rPr>
        <w:t>відповідно до положень внутрішніх розпоряджень»</w:t>
      </w:r>
      <w:r w:rsidR="000169B9" w:rsidRPr="00F0117E">
        <w:rPr>
          <w:lang w:val="uk-UA"/>
        </w:rPr>
        <w:t xml:space="preserve">, </w:t>
      </w:r>
      <w:r w:rsidR="00696825" w:rsidRPr="00F0117E">
        <w:rPr>
          <w:lang w:val="uk-UA"/>
        </w:rPr>
        <w:t>про які заявник був належним чином проінформований</w:t>
      </w:r>
      <w:r w:rsidR="000169B9" w:rsidRPr="00F0117E">
        <w:rPr>
          <w:lang w:val="uk-UA"/>
        </w:rPr>
        <w:t xml:space="preserve"> (</w:t>
      </w:r>
      <w:r w:rsidR="00696825" w:rsidRPr="00F0117E">
        <w:rPr>
          <w:lang w:val="uk-UA"/>
        </w:rPr>
        <w:t>див. пункт</w:t>
      </w:r>
      <w:r w:rsidR="000169B9" w:rsidRPr="00F0117E">
        <w:rPr>
          <w:lang w:val="uk-UA"/>
        </w:rPr>
        <w:t xml:space="preserve"> 30</w:t>
      </w:r>
      <w:r w:rsidR="000D4C6B" w:rsidRPr="00F0117E">
        <w:rPr>
          <w:lang w:val="uk-UA"/>
        </w:rPr>
        <w:t xml:space="preserve"> </w:t>
      </w:r>
      <w:r w:rsidR="00696825" w:rsidRPr="00F0117E">
        <w:rPr>
          <w:lang w:val="uk-UA"/>
        </w:rPr>
        <w:t>рішення</w:t>
      </w:r>
      <w:r w:rsidR="000169B9" w:rsidRPr="00F0117E">
        <w:rPr>
          <w:lang w:val="uk-UA"/>
        </w:rPr>
        <w:t xml:space="preserve">). </w:t>
      </w:r>
      <w:r w:rsidR="00696825" w:rsidRPr="00F0117E">
        <w:rPr>
          <w:lang w:val="uk-UA"/>
        </w:rPr>
        <w:t>Відповідно, національні суди визнали, на основі документів у своєму розпорядженні</w:t>
      </w:r>
      <w:r w:rsidR="000169B9" w:rsidRPr="00F0117E">
        <w:rPr>
          <w:lang w:val="uk-UA"/>
        </w:rPr>
        <w:t xml:space="preserve">, </w:t>
      </w:r>
      <w:r w:rsidR="00696825" w:rsidRPr="00F0117E">
        <w:rPr>
          <w:lang w:val="uk-UA"/>
        </w:rPr>
        <w:t>що заявник міг отримати достатнє попередження про те, що його діяльність</w:t>
      </w:r>
      <w:r w:rsidR="000169B9" w:rsidRPr="00F0117E">
        <w:rPr>
          <w:lang w:val="uk-UA"/>
        </w:rPr>
        <w:t xml:space="preserve">, </w:t>
      </w:r>
      <w:r w:rsidR="00696825" w:rsidRPr="00F0117E">
        <w:rPr>
          <w:lang w:val="uk-UA"/>
        </w:rPr>
        <w:t>у тому числі користування комп’ютером, доступ до якого йому дав роботодавець</w:t>
      </w:r>
      <w:r w:rsidR="000169B9" w:rsidRPr="00F0117E">
        <w:rPr>
          <w:lang w:val="uk-UA"/>
        </w:rPr>
        <w:t xml:space="preserve">, </w:t>
      </w:r>
      <w:r w:rsidR="00696825" w:rsidRPr="00F0117E">
        <w:rPr>
          <w:lang w:val="uk-UA"/>
        </w:rPr>
        <w:t>могла підлягати моніторингу</w:t>
      </w:r>
      <w:r w:rsidR="000169B9" w:rsidRPr="00F0117E">
        <w:rPr>
          <w:lang w:val="uk-UA"/>
        </w:rPr>
        <w:t xml:space="preserve">. </w:t>
      </w:r>
      <w:r w:rsidR="00696825" w:rsidRPr="00F0117E">
        <w:rPr>
          <w:lang w:val="uk-UA"/>
        </w:rPr>
        <w:t>Ми не вбачаємо підстави для відхилення від своїх рішень</w:t>
      </w:r>
      <w:r w:rsidR="000169B9" w:rsidRPr="00F0117E">
        <w:rPr>
          <w:lang w:val="uk-UA"/>
        </w:rPr>
        <w:t xml:space="preserve">, </w:t>
      </w:r>
      <w:r w:rsidR="00696825" w:rsidRPr="00F0117E">
        <w:rPr>
          <w:lang w:val="uk-UA"/>
        </w:rPr>
        <w:t>і вважаємо, що заявник міг мати обґрунтовані очікування того,</w:t>
      </w:r>
      <w:r w:rsidR="000169B9" w:rsidRPr="00F0117E">
        <w:rPr>
          <w:lang w:val="uk-UA"/>
        </w:rPr>
        <w:t xml:space="preserve"> </w:t>
      </w:r>
      <w:r w:rsidR="00696825" w:rsidRPr="00F0117E">
        <w:rPr>
          <w:lang w:val="uk-UA"/>
        </w:rPr>
        <w:t>що його дії підлягали моніторингу</w:t>
      </w:r>
      <w:r w:rsidR="000169B9" w:rsidRPr="00F0117E">
        <w:rPr>
          <w:lang w:val="uk-UA"/>
        </w:rPr>
        <w:t>.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21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154B87" w:rsidRPr="00F0117E">
        <w:rPr>
          <w:lang w:val="uk-UA"/>
        </w:rPr>
        <w:t>Нарешті, ми зазначаємо, що національні органи влади</w:t>
      </w:r>
      <w:r w:rsidR="000169B9" w:rsidRPr="00F0117E">
        <w:rPr>
          <w:lang w:val="uk-UA"/>
        </w:rPr>
        <w:t xml:space="preserve"> </w:t>
      </w:r>
      <w:r w:rsidR="00154B87" w:rsidRPr="00F0117E">
        <w:rPr>
          <w:lang w:val="uk-UA"/>
        </w:rPr>
        <w:t>здійснили ретельне урівноваження</w:t>
      </w:r>
      <w:r w:rsidR="000169B9" w:rsidRPr="00F0117E">
        <w:rPr>
          <w:lang w:val="uk-UA"/>
        </w:rPr>
        <w:t xml:space="preserve"> </w:t>
      </w:r>
      <w:r w:rsidR="00154B87" w:rsidRPr="00F0117E">
        <w:rPr>
          <w:lang w:val="uk-UA"/>
        </w:rPr>
        <w:t>інтересів</w:t>
      </w:r>
      <w:r w:rsidR="000169B9" w:rsidRPr="00F0117E">
        <w:rPr>
          <w:lang w:val="uk-UA"/>
        </w:rPr>
        <w:t xml:space="preserve">, </w:t>
      </w:r>
      <w:r w:rsidR="00154B87" w:rsidRPr="00F0117E">
        <w:rPr>
          <w:lang w:val="uk-UA"/>
        </w:rPr>
        <w:t>беручи до уваги право заявника на повагу до приватного життя</w:t>
      </w:r>
      <w:r w:rsidR="000169B9" w:rsidRPr="00F0117E">
        <w:rPr>
          <w:lang w:val="uk-UA"/>
        </w:rPr>
        <w:t xml:space="preserve"> </w:t>
      </w:r>
      <w:r w:rsidR="00154B87" w:rsidRPr="00F0117E">
        <w:rPr>
          <w:lang w:val="uk-UA"/>
        </w:rPr>
        <w:t>та право роботодавця на моніторинг</w:t>
      </w:r>
      <w:r w:rsidR="000169B9" w:rsidRPr="00F0117E">
        <w:rPr>
          <w:lang w:val="uk-UA"/>
        </w:rPr>
        <w:t xml:space="preserve">, </w:t>
      </w:r>
      <w:r w:rsidR="00154B87" w:rsidRPr="00F0117E">
        <w:rPr>
          <w:lang w:val="uk-UA"/>
        </w:rPr>
        <w:t>у тому числі й відповідні дисциплінарні повноваження</w:t>
      </w:r>
      <w:r w:rsidR="000169B9" w:rsidRPr="00F0117E">
        <w:rPr>
          <w:lang w:val="uk-UA"/>
        </w:rPr>
        <w:t xml:space="preserve">, </w:t>
      </w:r>
      <w:r w:rsidR="00154B87" w:rsidRPr="00F0117E">
        <w:rPr>
          <w:lang w:val="uk-UA"/>
        </w:rPr>
        <w:t>для забезпечення безперебійного функціонування компанії</w:t>
      </w:r>
      <w:r w:rsidR="000169B9" w:rsidRPr="00F0117E">
        <w:rPr>
          <w:lang w:val="uk-UA"/>
        </w:rPr>
        <w:t xml:space="preserve"> (</w:t>
      </w:r>
      <w:r w:rsidR="00154B87" w:rsidRPr="00F0117E">
        <w:rPr>
          <w:lang w:val="uk-UA"/>
        </w:rPr>
        <w:t>див. пункти</w:t>
      </w:r>
      <w:r w:rsidR="000169B9" w:rsidRPr="00F0117E">
        <w:rPr>
          <w:lang w:val="uk-UA"/>
        </w:rPr>
        <w:t xml:space="preserve"> 28 </w:t>
      </w:r>
      <w:r w:rsidR="00154B87" w:rsidRPr="00F0117E">
        <w:rPr>
          <w:lang w:val="uk-UA"/>
        </w:rPr>
        <w:t>та</w:t>
      </w:r>
      <w:r w:rsidR="000A7468" w:rsidRPr="00F0117E">
        <w:rPr>
          <w:lang w:val="uk-UA"/>
        </w:rPr>
        <w:t> </w:t>
      </w:r>
      <w:r w:rsidR="000169B9" w:rsidRPr="00F0117E">
        <w:rPr>
          <w:lang w:val="uk-UA"/>
        </w:rPr>
        <w:t xml:space="preserve">30 </w:t>
      </w:r>
      <w:r w:rsidR="00154B87" w:rsidRPr="00F0117E">
        <w:rPr>
          <w:lang w:val="uk-UA"/>
        </w:rPr>
        <w:t>рішення, див. також, з необхідними змінами</w:t>
      </w:r>
      <w:r w:rsidR="000169B9" w:rsidRPr="00F0117E">
        <w:rPr>
          <w:lang w:val="uk-UA"/>
        </w:rPr>
        <w:t xml:space="preserve">, </w:t>
      </w:r>
      <w:proofErr w:type="spellStart"/>
      <w:r w:rsidR="000169B9" w:rsidRPr="00F0117E">
        <w:rPr>
          <w:i/>
          <w:lang w:val="uk-UA"/>
        </w:rPr>
        <w:t>Obst</w:t>
      </w:r>
      <w:proofErr w:type="spellEnd"/>
      <w:r w:rsidR="00BC57CF" w:rsidRPr="00F0117E">
        <w:rPr>
          <w:i/>
          <w:lang w:val="uk-UA"/>
        </w:rPr>
        <w:t xml:space="preserve"> v. </w:t>
      </w:r>
      <w:proofErr w:type="spellStart"/>
      <w:r w:rsidR="00BC57CF" w:rsidRPr="00F0117E">
        <w:rPr>
          <w:i/>
          <w:lang w:val="uk-UA"/>
        </w:rPr>
        <w:t>Germany</w:t>
      </w:r>
      <w:proofErr w:type="spellEnd"/>
      <w:r w:rsidR="00BC57CF" w:rsidRPr="00F0117E">
        <w:rPr>
          <w:lang w:val="uk-UA"/>
        </w:rPr>
        <w:t>,</w:t>
      </w:r>
      <w:r w:rsidR="00BC57CF" w:rsidRPr="00F0117E">
        <w:rPr>
          <w:i/>
          <w:lang w:val="uk-UA"/>
        </w:rPr>
        <w:t xml:space="preserve"> </w:t>
      </w:r>
      <w:r w:rsidR="00154B87" w:rsidRPr="00F0117E">
        <w:rPr>
          <w:lang w:val="uk-UA"/>
        </w:rPr>
        <w:t>№</w:t>
      </w:r>
      <w:r w:rsidR="00BC57CF" w:rsidRPr="00F0117E">
        <w:rPr>
          <w:lang w:val="uk-UA"/>
        </w:rPr>
        <w:t xml:space="preserve"> 425/03, § 49, 23 </w:t>
      </w:r>
      <w:r w:rsidR="00154B87" w:rsidRPr="00F0117E">
        <w:rPr>
          <w:lang w:val="uk-UA"/>
        </w:rPr>
        <w:t>вересня</w:t>
      </w:r>
      <w:r w:rsidR="00BC57CF" w:rsidRPr="00F0117E">
        <w:rPr>
          <w:lang w:val="uk-UA"/>
        </w:rPr>
        <w:t xml:space="preserve"> 2010</w:t>
      </w:r>
      <w:r w:rsidR="000169B9" w:rsidRPr="00F0117E">
        <w:rPr>
          <w:lang w:val="uk-UA"/>
        </w:rPr>
        <w:t xml:space="preserve">, </w:t>
      </w:r>
      <w:r w:rsidR="00154B87" w:rsidRPr="00F0117E">
        <w:rPr>
          <w:lang w:val="uk-UA"/>
        </w:rPr>
        <w:t>і</w:t>
      </w:r>
      <w:r w:rsidR="000169B9" w:rsidRPr="00F0117E">
        <w:rPr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Fernández</w:t>
      </w:r>
      <w:proofErr w:type="spellEnd"/>
      <w:r w:rsidR="000169B9" w:rsidRPr="00F0117E">
        <w:rPr>
          <w:i/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Martínez</w:t>
      </w:r>
      <w:proofErr w:type="spellEnd"/>
      <w:r w:rsidR="00BC57CF" w:rsidRPr="00F0117E">
        <w:rPr>
          <w:i/>
          <w:lang w:val="uk-UA"/>
        </w:rPr>
        <w:t xml:space="preserve"> v. </w:t>
      </w:r>
      <w:proofErr w:type="spellStart"/>
      <w:r w:rsidR="00BC57CF" w:rsidRPr="00F0117E">
        <w:rPr>
          <w:i/>
          <w:lang w:val="uk-UA"/>
        </w:rPr>
        <w:t>Spain</w:t>
      </w:r>
      <w:proofErr w:type="spellEnd"/>
      <w:r w:rsidR="00BC57CF" w:rsidRPr="00F0117E">
        <w:rPr>
          <w:i/>
          <w:lang w:val="uk-UA"/>
        </w:rPr>
        <w:t xml:space="preserve"> </w:t>
      </w:r>
      <w:r w:rsidR="00BC57CF" w:rsidRPr="00F0117E">
        <w:rPr>
          <w:lang w:val="uk-UA"/>
        </w:rPr>
        <w:t xml:space="preserve">[GC], </w:t>
      </w:r>
      <w:r w:rsidR="00154B87" w:rsidRPr="00F0117E">
        <w:rPr>
          <w:lang w:val="uk-UA"/>
        </w:rPr>
        <w:t>№</w:t>
      </w:r>
      <w:r w:rsidR="00BC57CF" w:rsidRPr="00F0117E">
        <w:rPr>
          <w:lang w:val="uk-UA"/>
        </w:rPr>
        <w:t> 56030/07, § 151, ECHR 2014 (</w:t>
      </w:r>
      <w:r w:rsidR="00154B87" w:rsidRPr="00F0117E">
        <w:rPr>
          <w:lang w:val="uk-UA"/>
        </w:rPr>
        <w:t>витяги</w:t>
      </w:r>
      <w:r w:rsidR="000169B9" w:rsidRPr="00F0117E">
        <w:rPr>
          <w:lang w:val="uk-UA"/>
        </w:rPr>
        <w:t xml:space="preserve">). </w:t>
      </w:r>
      <w:r w:rsidR="00154B87" w:rsidRPr="00F0117E">
        <w:rPr>
          <w:lang w:val="uk-UA"/>
        </w:rPr>
        <w:t>Зокрема, апеляційний суд, цитуючи положення Директиви</w:t>
      </w:r>
      <w:r w:rsidR="000169B9" w:rsidRPr="00F0117E">
        <w:rPr>
          <w:lang w:val="uk-UA"/>
        </w:rPr>
        <w:t xml:space="preserve"> 95/46/EC, </w:t>
      </w:r>
      <w:r w:rsidR="00154B87" w:rsidRPr="00F0117E">
        <w:rPr>
          <w:lang w:val="uk-UA"/>
        </w:rPr>
        <w:t>зазначив, що у даній справі існував конфлікт між</w:t>
      </w:r>
      <w:r w:rsidR="000169B9" w:rsidRPr="00F0117E">
        <w:rPr>
          <w:lang w:val="uk-UA"/>
        </w:rPr>
        <w:t xml:space="preserve"> </w:t>
      </w:r>
      <w:r w:rsidR="00154B87" w:rsidRPr="00F0117E">
        <w:rPr>
          <w:lang w:val="uk-UA"/>
        </w:rPr>
        <w:t>«правом роботодавця на моніторинг</w:t>
      </w:r>
      <w:r w:rsidR="000169B9" w:rsidRPr="00F0117E">
        <w:rPr>
          <w:lang w:val="uk-UA"/>
        </w:rPr>
        <w:t xml:space="preserve"> </w:t>
      </w:r>
      <w:r w:rsidR="00154B87" w:rsidRPr="00F0117E">
        <w:rPr>
          <w:lang w:val="uk-UA"/>
        </w:rPr>
        <w:t>та правом працівників на захист приватності»</w:t>
      </w:r>
      <w:r w:rsidR="000169B9" w:rsidRPr="00F0117E">
        <w:rPr>
          <w:lang w:val="uk-UA"/>
        </w:rPr>
        <w:t xml:space="preserve"> (</w:t>
      </w:r>
      <w:r w:rsidR="00154B87" w:rsidRPr="00F0117E">
        <w:rPr>
          <w:lang w:val="uk-UA"/>
        </w:rPr>
        <w:t>див. пункт</w:t>
      </w:r>
      <w:r w:rsidR="000169B9" w:rsidRPr="00F0117E">
        <w:rPr>
          <w:lang w:val="uk-UA"/>
        </w:rPr>
        <w:t xml:space="preserve"> 30 </w:t>
      </w:r>
      <w:r w:rsidR="00154B87" w:rsidRPr="00F0117E">
        <w:rPr>
          <w:lang w:val="uk-UA"/>
        </w:rPr>
        <w:t>рішення</w:t>
      </w:r>
      <w:r w:rsidR="000169B9" w:rsidRPr="00F0117E">
        <w:rPr>
          <w:lang w:val="uk-UA"/>
        </w:rPr>
        <w:t>).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22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154B87" w:rsidRPr="00F0117E">
        <w:rPr>
          <w:lang w:val="uk-UA"/>
        </w:rPr>
        <w:t>Ми також зазначаємо, що на основі матеріалів у своєму розпорядженні</w:t>
      </w:r>
      <w:r w:rsidR="000169B9" w:rsidRPr="00F0117E">
        <w:rPr>
          <w:lang w:val="uk-UA"/>
        </w:rPr>
        <w:t xml:space="preserve"> </w:t>
      </w:r>
      <w:r w:rsidR="00154B87" w:rsidRPr="00F0117E">
        <w:rPr>
          <w:lang w:val="uk-UA"/>
        </w:rPr>
        <w:t>національні суди визнали, що законна мета,</w:t>
      </w:r>
      <w:r w:rsidR="000169B9" w:rsidRPr="00F0117E">
        <w:rPr>
          <w:lang w:val="uk-UA"/>
        </w:rPr>
        <w:t xml:space="preserve"> </w:t>
      </w:r>
      <w:r w:rsidR="00154B87" w:rsidRPr="00F0117E">
        <w:rPr>
          <w:lang w:val="uk-UA"/>
        </w:rPr>
        <w:t>яку переслідував роботодавець під час моніторингу</w:t>
      </w:r>
      <w:r w:rsidR="000169B9" w:rsidRPr="00F0117E">
        <w:rPr>
          <w:lang w:val="uk-UA"/>
        </w:rPr>
        <w:t xml:space="preserve"> </w:t>
      </w:r>
      <w:r w:rsidR="00154B87" w:rsidRPr="00F0117E">
        <w:rPr>
          <w:lang w:val="uk-UA"/>
        </w:rPr>
        <w:t>спілкування заявника, полягала у користуванні</w:t>
      </w:r>
      <w:r w:rsidR="000169B9" w:rsidRPr="00F0117E">
        <w:rPr>
          <w:lang w:val="uk-UA"/>
        </w:rPr>
        <w:t xml:space="preserve"> </w:t>
      </w:r>
      <w:r w:rsidR="00154B87" w:rsidRPr="00F0117E">
        <w:rPr>
          <w:lang w:val="uk-UA"/>
        </w:rPr>
        <w:t>«правом та обов’язком забезпечувати безперебійне функціонування компанії</w:t>
      </w:r>
      <w:r w:rsidR="000169B9" w:rsidRPr="00F0117E">
        <w:rPr>
          <w:lang w:val="uk-UA"/>
        </w:rPr>
        <w:t xml:space="preserve"> (</w:t>
      </w:r>
      <w:r w:rsidR="00154B87" w:rsidRPr="00F0117E">
        <w:rPr>
          <w:lang w:val="uk-UA"/>
        </w:rPr>
        <w:t>див. цитату апеляційного суду у пункті 30 рішення</w:t>
      </w:r>
      <w:r w:rsidR="000169B9" w:rsidRPr="00F0117E">
        <w:rPr>
          <w:lang w:val="uk-UA"/>
        </w:rPr>
        <w:t xml:space="preserve">). </w:t>
      </w:r>
      <w:r w:rsidR="00154B87" w:rsidRPr="00F0117E">
        <w:rPr>
          <w:lang w:val="uk-UA"/>
        </w:rPr>
        <w:t>У той час, як національні суди придали більше ваги</w:t>
      </w:r>
      <w:r w:rsidR="000169B9" w:rsidRPr="00F0117E">
        <w:rPr>
          <w:lang w:val="uk-UA"/>
        </w:rPr>
        <w:t xml:space="preserve"> </w:t>
      </w:r>
      <w:r w:rsidR="00154B87" w:rsidRPr="00F0117E">
        <w:rPr>
          <w:lang w:val="uk-UA"/>
        </w:rPr>
        <w:t>праву роботодавця на забезпечення безперебійного функціонування компанії</w:t>
      </w:r>
      <w:r w:rsidR="000169B9" w:rsidRPr="00F0117E">
        <w:rPr>
          <w:lang w:val="uk-UA"/>
        </w:rPr>
        <w:t xml:space="preserve"> </w:t>
      </w:r>
      <w:r w:rsidR="00154B87" w:rsidRPr="00F0117E">
        <w:rPr>
          <w:lang w:val="uk-UA"/>
        </w:rPr>
        <w:t>та праву контролювати те, як працівники виконують свої обов’язки</w:t>
      </w:r>
      <w:r w:rsidR="000169B9" w:rsidRPr="00F0117E">
        <w:rPr>
          <w:lang w:val="uk-UA"/>
        </w:rPr>
        <w:t xml:space="preserve"> </w:t>
      </w:r>
      <w:r w:rsidR="00154B87" w:rsidRPr="00F0117E">
        <w:rPr>
          <w:lang w:val="uk-UA"/>
        </w:rPr>
        <w:t>у контексту робочих відносин,</w:t>
      </w:r>
      <w:r w:rsidR="000169B9" w:rsidRPr="00F0117E">
        <w:rPr>
          <w:lang w:val="uk-UA"/>
        </w:rPr>
        <w:t xml:space="preserve"> </w:t>
      </w:r>
      <w:r w:rsidR="00154B87" w:rsidRPr="00F0117E">
        <w:rPr>
          <w:lang w:val="uk-UA"/>
        </w:rPr>
        <w:t>ніж праву заявника на повагу до приватного життя та кореспонденції</w:t>
      </w:r>
      <w:r w:rsidR="000169B9" w:rsidRPr="00F0117E">
        <w:rPr>
          <w:lang w:val="uk-UA"/>
        </w:rPr>
        <w:t xml:space="preserve">, </w:t>
      </w:r>
      <w:r w:rsidR="00154B87" w:rsidRPr="00F0117E">
        <w:rPr>
          <w:lang w:val="uk-UA"/>
        </w:rPr>
        <w:t>ми вважаємо за розумне для роботодавця</w:t>
      </w:r>
      <w:r w:rsidR="000169B9" w:rsidRPr="00F0117E">
        <w:rPr>
          <w:lang w:val="uk-UA"/>
        </w:rPr>
        <w:t xml:space="preserve"> </w:t>
      </w:r>
      <w:r w:rsidR="00154B87" w:rsidRPr="00F0117E">
        <w:rPr>
          <w:lang w:val="uk-UA"/>
        </w:rPr>
        <w:t xml:space="preserve">бажати переконатися в тому, що </w:t>
      </w:r>
      <w:r w:rsidR="00154B87" w:rsidRPr="00F0117E">
        <w:rPr>
          <w:lang w:val="uk-UA"/>
        </w:rPr>
        <w:lastRenderedPageBreak/>
        <w:t>його працівники виконують свої професійні обов’язки</w:t>
      </w:r>
      <w:r w:rsidR="000169B9" w:rsidRPr="00F0117E">
        <w:rPr>
          <w:lang w:val="uk-UA"/>
        </w:rPr>
        <w:t xml:space="preserve"> </w:t>
      </w:r>
      <w:r w:rsidR="00154B87" w:rsidRPr="00F0117E">
        <w:rPr>
          <w:lang w:val="uk-UA"/>
        </w:rPr>
        <w:t>при користуванні робочим місцем</w:t>
      </w:r>
      <w:r w:rsidR="000169B9" w:rsidRPr="00F0117E">
        <w:rPr>
          <w:lang w:val="uk-UA"/>
        </w:rPr>
        <w:t xml:space="preserve"> </w:t>
      </w:r>
      <w:r w:rsidR="00154B87" w:rsidRPr="00F0117E">
        <w:rPr>
          <w:lang w:val="uk-UA"/>
        </w:rPr>
        <w:t>та обладнанням, до якого вони отримали доступ</w:t>
      </w:r>
      <w:r w:rsidR="000169B9" w:rsidRPr="00F0117E">
        <w:rPr>
          <w:lang w:val="uk-UA"/>
        </w:rPr>
        <w:t xml:space="preserve">. </w:t>
      </w:r>
      <w:r w:rsidR="006A73CE" w:rsidRPr="00F0117E">
        <w:rPr>
          <w:lang w:val="uk-UA"/>
        </w:rPr>
        <w:t>Апеляційний суд виявив, що моніторинг спілкування заявника</w:t>
      </w:r>
      <w:r w:rsidR="000169B9" w:rsidRPr="00F0117E">
        <w:rPr>
          <w:lang w:val="uk-UA"/>
        </w:rPr>
        <w:t xml:space="preserve"> </w:t>
      </w:r>
      <w:r w:rsidR="006A73CE" w:rsidRPr="00F0117E">
        <w:rPr>
          <w:lang w:val="uk-UA"/>
        </w:rPr>
        <w:t>був для роботодавця єдиним шляхом</w:t>
      </w:r>
      <w:r w:rsidR="000169B9" w:rsidRPr="00F0117E">
        <w:rPr>
          <w:lang w:val="uk-UA"/>
        </w:rPr>
        <w:t xml:space="preserve"> </w:t>
      </w:r>
      <w:r w:rsidR="006A73CE" w:rsidRPr="00F0117E">
        <w:rPr>
          <w:lang w:val="uk-UA"/>
        </w:rPr>
        <w:t>досягнення законної мети</w:t>
      </w:r>
      <w:r w:rsidR="000169B9" w:rsidRPr="00F0117E">
        <w:rPr>
          <w:lang w:val="uk-UA"/>
        </w:rPr>
        <w:t xml:space="preserve">, </w:t>
      </w:r>
      <w:r w:rsidR="006A73CE" w:rsidRPr="00F0117E">
        <w:rPr>
          <w:lang w:val="uk-UA"/>
        </w:rPr>
        <w:t>що зм</w:t>
      </w:r>
      <w:r w:rsidR="0095396D" w:rsidRPr="00F0117E">
        <w:rPr>
          <w:lang w:val="uk-UA"/>
        </w:rPr>
        <w:t>у</w:t>
      </w:r>
      <w:r w:rsidR="006A73CE" w:rsidRPr="00F0117E">
        <w:rPr>
          <w:lang w:val="uk-UA"/>
        </w:rPr>
        <w:t>сило суд досягти висновку про те, що був досягнутий справедливий баланс</w:t>
      </w:r>
      <w:r w:rsidR="000169B9" w:rsidRPr="00F0117E">
        <w:rPr>
          <w:lang w:val="uk-UA"/>
        </w:rPr>
        <w:t xml:space="preserve"> </w:t>
      </w:r>
      <w:r w:rsidR="006A73CE" w:rsidRPr="00F0117E">
        <w:rPr>
          <w:lang w:val="uk-UA"/>
        </w:rPr>
        <w:t>між потребою захистити приватне життя заявника</w:t>
      </w:r>
      <w:r w:rsidR="000169B9" w:rsidRPr="00F0117E">
        <w:rPr>
          <w:lang w:val="uk-UA"/>
        </w:rPr>
        <w:t xml:space="preserve"> </w:t>
      </w:r>
      <w:r w:rsidR="006A73CE" w:rsidRPr="00F0117E">
        <w:rPr>
          <w:lang w:val="uk-UA"/>
        </w:rPr>
        <w:t>та правом роботодавця на контроль за функціонуванням бізнесу</w:t>
      </w:r>
      <w:r w:rsidR="000169B9" w:rsidRPr="00F0117E">
        <w:rPr>
          <w:lang w:val="uk-UA"/>
        </w:rPr>
        <w:t xml:space="preserve"> (</w:t>
      </w:r>
      <w:r w:rsidR="006A73CE" w:rsidRPr="00F0117E">
        <w:rPr>
          <w:lang w:val="uk-UA"/>
        </w:rPr>
        <w:t>див. пункт</w:t>
      </w:r>
      <w:r w:rsidR="000169B9" w:rsidRPr="00F0117E">
        <w:rPr>
          <w:lang w:val="uk-UA"/>
        </w:rPr>
        <w:t xml:space="preserve"> 30</w:t>
      </w:r>
      <w:r w:rsidR="00B024FA" w:rsidRPr="00F0117E">
        <w:rPr>
          <w:lang w:val="uk-UA"/>
        </w:rPr>
        <w:t xml:space="preserve"> </w:t>
      </w:r>
      <w:r w:rsidR="006A73CE" w:rsidRPr="00F0117E">
        <w:rPr>
          <w:lang w:val="uk-UA"/>
        </w:rPr>
        <w:t>рішення</w:t>
      </w:r>
      <w:r w:rsidR="000169B9" w:rsidRPr="00F0117E">
        <w:rPr>
          <w:lang w:val="uk-UA"/>
        </w:rPr>
        <w:t>).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23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6A73CE" w:rsidRPr="00F0117E">
        <w:rPr>
          <w:lang w:val="uk-UA"/>
        </w:rPr>
        <w:t>На нашу думку, вибір національних органів влади</w:t>
      </w:r>
      <w:r w:rsidR="000169B9" w:rsidRPr="00F0117E">
        <w:rPr>
          <w:lang w:val="uk-UA"/>
        </w:rPr>
        <w:t xml:space="preserve"> </w:t>
      </w:r>
      <w:r w:rsidR="006A73CE" w:rsidRPr="00F0117E">
        <w:rPr>
          <w:lang w:val="uk-UA"/>
        </w:rPr>
        <w:t>надати перевагу інтересам роботодавця</w:t>
      </w:r>
      <w:r w:rsidR="000169B9" w:rsidRPr="00F0117E">
        <w:rPr>
          <w:lang w:val="uk-UA"/>
        </w:rPr>
        <w:t xml:space="preserve"> </w:t>
      </w:r>
      <w:r w:rsidR="006A73CE" w:rsidRPr="00F0117E">
        <w:rPr>
          <w:lang w:val="uk-UA"/>
        </w:rPr>
        <w:t>над інтересами працівника сам по собі не здатний викликати питання</w:t>
      </w:r>
      <w:r w:rsidR="000169B9" w:rsidRPr="00F0117E">
        <w:rPr>
          <w:lang w:val="uk-UA"/>
        </w:rPr>
        <w:t xml:space="preserve"> </w:t>
      </w:r>
      <w:r w:rsidR="006A73CE" w:rsidRPr="00F0117E">
        <w:rPr>
          <w:lang w:val="uk-UA"/>
        </w:rPr>
        <w:t>відповідно до Конвенції</w:t>
      </w:r>
      <w:r w:rsidR="000169B9" w:rsidRPr="00F0117E">
        <w:rPr>
          <w:lang w:val="uk-UA"/>
        </w:rPr>
        <w:t xml:space="preserve"> (</w:t>
      </w:r>
      <w:r w:rsidR="006A73CE" w:rsidRPr="00F0117E">
        <w:rPr>
          <w:lang w:val="uk-UA"/>
        </w:rPr>
        <w:t>див., з необхідними змінами</w:t>
      </w:r>
      <w:r w:rsidR="000169B9" w:rsidRPr="00F0117E">
        <w:rPr>
          <w:lang w:val="uk-UA"/>
        </w:rPr>
        <w:t xml:space="preserve">, </w:t>
      </w:r>
      <w:proofErr w:type="spellStart"/>
      <w:r w:rsidR="000169B9" w:rsidRPr="00F0117E">
        <w:rPr>
          <w:i/>
          <w:lang w:val="uk-UA"/>
        </w:rPr>
        <w:t>Obst</w:t>
      </w:r>
      <w:proofErr w:type="spellEnd"/>
      <w:r w:rsidR="000169B9" w:rsidRPr="00F0117E">
        <w:rPr>
          <w:lang w:val="uk-UA"/>
        </w:rPr>
        <w:t xml:space="preserve">, </w:t>
      </w:r>
      <w:proofErr w:type="spellStart"/>
      <w:r w:rsidR="006A73CE" w:rsidRPr="00F0117E">
        <w:rPr>
          <w:lang w:val="uk-UA"/>
        </w:rPr>
        <w:t>цит</w:t>
      </w:r>
      <w:proofErr w:type="spellEnd"/>
      <w:r w:rsidR="006A73CE" w:rsidRPr="00F0117E">
        <w:rPr>
          <w:lang w:val="uk-UA"/>
        </w:rPr>
        <w:t>. вище</w:t>
      </w:r>
      <w:r w:rsidR="000169B9" w:rsidRPr="00F0117E">
        <w:rPr>
          <w:lang w:val="uk-UA"/>
        </w:rPr>
        <w:t xml:space="preserve">, § 49). </w:t>
      </w:r>
      <w:r w:rsidR="006A73CE" w:rsidRPr="00F0117E">
        <w:rPr>
          <w:lang w:val="uk-UA"/>
        </w:rPr>
        <w:t>Ми хотіли б повторити, що коли від національних органів влади вимагається досягнення справедливого балансу</w:t>
      </w:r>
      <w:r w:rsidR="000169B9" w:rsidRPr="00F0117E">
        <w:rPr>
          <w:lang w:val="uk-UA"/>
        </w:rPr>
        <w:t xml:space="preserve"> </w:t>
      </w:r>
      <w:r w:rsidR="006A73CE" w:rsidRPr="00F0117E">
        <w:rPr>
          <w:lang w:val="uk-UA"/>
        </w:rPr>
        <w:t>між декількома конкуруючими приватними інтересами</w:t>
      </w:r>
      <w:r w:rsidR="000169B9" w:rsidRPr="00F0117E">
        <w:rPr>
          <w:lang w:val="uk-UA"/>
        </w:rPr>
        <w:t xml:space="preserve">, </w:t>
      </w:r>
      <w:r w:rsidR="006A73CE" w:rsidRPr="00F0117E">
        <w:rPr>
          <w:lang w:val="uk-UA"/>
        </w:rPr>
        <w:t>вони користуються певною свободою розсуду</w:t>
      </w:r>
      <w:r w:rsidR="000169B9" w:rsidRPr="00F0117E">
        <w:rPr>
          <w:lang w:val="uk-UA"/>
        </w:rPr>
        <w:t xml:space="preserve"> (</w:t>
      </w:r>
      <w:r w:rsidR="006A73CE" w:rsidRPr="00F0117E">
        <w:rPr>
          <w:lang w:val="uk-UA"/>
        </w:rPr>
        <w:t>див.</w:t>
      </w:r>
      <w:r w:rsidR="000169B9" w:rsidRPr="00F0117E">
        <w:rPr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Hämäläinen</w:t>
      </w:r>
      <w:proofErr w:type="spellEnd"/>
      <w:r w:rsidR="00BC57CF" w:rsidRPr="00F0117E">
        <w:rPr>
          <w:i/>
          <w:lang w:val="uk-UA"/>
        </w:rPr>
        <w:t xml:space="preserve"> v. </w:t>
      </w:r>
      <w:proofErr w:type="spellStart"/>
      <w:r w:rsidR="00BC57CF" w:rsidRPr="00F0117E">
        <w:rPr>
          <w:i/>
          <w:lang w:val="uk-UA"/>
        </w:rPr>
        <w:t>Finland</w:t>
      </w:r>
      <w:proofErr w:type="spellEnd"/>
      <w:r w:rsidR="00BC57CF" w:rsidRPr="00F0117E">
        <w:rPr>
          <w:i/>
          <w:lang w:val="uk-UA"/>
        </w:rPr>
        <w:t xml:space="preserve"> </w:t>
      </w:r>
      <w:r w:rsidR="00BC57CF" w:rsidRPr="00F0117E">
        <w:rPr>
          <w:lang w:val="uk-UA"/>
        </w:rPr>
        <w:t xml:space="preserve">[GC], </w:t>
      </w:r>
      <w:r w:rsidR="006A73CE" w:rsidRPr="00F0117E">
        <w:rPr>
          <w:lang w:val="uk-UA"/>
        </w:rPr>
        <w:t>№</w:t>
      </w:r>
      <w:r w:rsidR="00BC57CF" w:rsidRPr="00F0117E">
        <w:rPr>
          <w:lang w:val="uk-UA"/>
        </w:rPr>
        <w:t xml:space="preserve"> 37359/09, § 67 </w:t>
      </w:r>
      <w:r w:rsidR="006A73CE" w:rsidRPr="00F0117E">
        <w:rPr>
          <w:lang w:val="uk-UA"/>
        </w:rPr>
        <w:t>у кінці</w:t>
      </w:r>
      <w:r w:rsidR="00BC57CF" w:rsidRPr="00F0117E">
        <w:rPr>
          <w:lang w:val="uk-UA"/>
        </w:rPr>
        <w:t>, ECHR 2014</w:t>
      </w:r>
      <w:r w:rsidR="000169B9" w:rsidRPr="00F0117E">
        <w:rPr>
          <w:lang w:val="uk-UA"/>
        </w:rPr>
        <w:t xml:space="preserve">, </w:t>
      </w:r>
      <w:r w:rsidR="006A73CE" w:rsidRPr="00F0117E">
        <w:rPr>
          <w:lang w:val="uk-UA"/>
        </w:rPr>
        <w:t>та подальші посилання</w:t>
      </w:r>
      <w:r w:rsidR="000169B9" w:rsidRPr="00F0117E">
        <w:rPr>
          <w:lang w:val="uk-UA"/>
        </w:rPr>
        <w:t xml:space="preserve">). </w:t>
      </w:r>
      <w:r w:rsidR="006A73CE" w:rsidRPr="00F0117E">
        <w:rPr>
          <w:lang w:val="uk-UA"/>
        </w:rPr>
        <w:t>Тому в даній справі, на нашу думку,</w:t>
      </w:r>
      <w:r w:rsidR="000169B9" w:rsidRPr="00F0117E">
        <w:rPr>
          <w:lang w:val="uk-UA"/>
        </w:rPr>
        <w:t xml:space="preserve"> </w:t>
      </w:r>
      <w:r w:rsidR="006A73CE" w:rsidRPr="00F0117E">
        <w:rPr>
          <w:lang w:val="uk-UA"/>
        </w:rPr>
        <w:t>національні суди діяли в межах свободи розсуду Румунії</w:t>
      </w:r>
      <w:r w:rsidR="000169B9" w:rsidRPr="00F0117E">
        <w:rPr>
          <w:lang w:val="uk-UA"/>
        </w:rPr>
        <w:t>.</w:t>
      </w:r>
    </w:p>
    <w:p w:rsidR="00E36F4C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24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6A73CE" w:rsidRPr="00F0117E">
        <w:rPr>
          <w:lang w:val="uk-UA"/>
        </w:rPr>
        <w:t>Ми також зазначаємо, що моніторинг, якого зазнав заявник,</w:t>
      </w:r>
      <w:r w:rsidR="000169B9" w:rsidRPr="00F0117E">
        <w:rPr>
          <w:lang w:val="uk-UA"/>
        </w:rPr>
        <w:t xml:space="preserve"> </w:t>
      </w:r>
      <w:r w:rsidR="006A73CE" w:rsidRPr="00F0117E">
        <w:rPr>
          <w:lang w:val="uk-UA"/>
        </w:rPr>
        <w:t>був обмежений за часом</w:t>
      </w:r>
      <w:r w:rsidR="000169B9" w:rsidRPr="00F0117E">
        <w:rPr>
          <w:lang w:val="uk-UA"/>
        </w:rPr>
        <w:t xml:space="preserve">, </w:t>
      </w:r>
      <w:r w:rsidR="006A73CE" w:rsidRPr="00F0117E">
        <w:rPr>
          <w:lang w:val="uk-UA"/>
        </w:rPr>
        <w:t>і що докази в Суді вказують на те,</w:t>
      </w:r>
      <w:r w:rsidR="000169B9" w:rsidRPr="00F0117E">
        <w:rPr>
          <w:lang w:val="uk-UA"/>
        </w:rPr>
        <w:t xml:space="preserve"> </w:t>
      </w:r>
      <w:r w:rsidR="006A73CE" w:rsidRPr="00F0117E">
        <w:rPr>
          <w:lang w:val="uk-UA"/>
        </w:rPr>
        <w:t xml:space="preserve">що роботодавець контролював лише електронні </w:t>
      </w:r>
      <w:r w:rsidR="00566240" w:rsidRPr="00F0117E">
        <w:rPr>
          <w:lang w:val="uk-UA"/>
        </w:rPr>
        <w:t xml:space="preserve">повідомлення заявника </w:t>
      </w:r>
      <w:r w:rsidR="006A73CE" w:rsidRPr="00F0117E">
        <w:rPr>
          <w:lang w:val="uk-UA"/>
        </w:rPr>
        <w:t>та його інтернет-діяльність</w:t>
      </w:r>
      <w:r w:rsidR="000169B9" w:rsidRPr="00F0117E">
        <w:rPr>
          <w:lang w:val="uk-UA"/>
        </w:rPr>
        <w:t xml:space="preserve">. </w:t>
      </w:r>
      <w:r w:rsidR="006A73CE" w:rsidRPr="00F0117E">
        <w:rPr>
          <w:lang w:val="uk-UA"/>
        </w:rPr>
        <w:t>Дійсно, заявник не стверджував,</w:t>
      </w:r>
      <w:r w:rsidR="000169B9" w:rsidRPr="00F0117E">
        <w:rPr>
          <w:lang w:val="uk-UA"/>
        </w:rPr>
        <w:t xml:space="preserve"> </w:t>
      </w:r>
      <w:r w:rsidR="006A73CE" w:rsidRPr="00F0117E">
        <w:rPr>
          <w:lang w:val="uk-UA"/>
        </w:rPr>
        <w:t>що будь-який інший аспект приватного життя, яким він користувався у професійному контексті</w:t>
      </w:r>
      <w:r w:rsidR="000169B9" w:rsidRPr="00F0117E">
        <w:rPr>
          <w:lang w:val="uk-UA"/>
        </w:rPr>
        <w:t xml:space="preserve">, </w:t>
      </w:r>
      <w:r w:rsidR="006A73CE" w:rsidRPr="00F0117E">
        <w:rPr>
          <w:lang w:val="uk-UA"/>
        </w:rPr>
        <w:t>контролювався роботодавцем</w:t>
      </w:r>
      <w:r w:rsidR="000169B9" w:rsidRPr="00F0117E">
        <w:rPr>
          <w:lang w:val="uk-UA"/>
        </w:rPr>
        <w:t xml:space="preserve">. </w:t>
      </w:r>
      <w:r w:rsidR="006A73CE" w:rsidRPr="00F0117E">
        <w:rPr>
          <w:lang w:val="uk-UA"/>
        </w:rPr>
        <w:t>Крім того, виходячи з доступних Суду доказів,</w:t>
      </w:r>
      <w:r w:rsidR="000169B9" w:rsidRPr="00F0117E">
        <w:rPr>
          <w:lang w:val="uk-UA"/>
        </w:rPr>
        <w:t xml:space="preserve"> </w:t>
      </w:r>
      <w:r w:rsidR="006A73CE" w:rsidRPr="00F0117E">
        <w:rPr>
          <w:lang w:val="uk-UA"/>
        </w:rPr>
        <w:t>результати моніторингу використовувалися лише в цілях дисциплінарних проваджень</w:t>
      </w:r>
      <w:r w:rsidR="000169B9" w:rsidRPr="00F0117E">
        <w:rPr>
          <w:lang w:val="uk-UA"/>
        </w:rPr>
        <w:t xml:space="preserve"> </w:t>
      </w:r>
      <w:r w:rsidR="006A73CE" w:rsidRPr="00F0117E">
        <w:rPr>
          <w:lang w:val="uk-UA"/>
        </w:rPr>
        <w:t>проти заявника та лише особи,</w:t>
      </w:r>
      <w:r w:rsidR="000169B9" w:rsidRPr="00F0117E">
        <w:rPr>
          <w:lang w:val="uk-UA"/>
        </w:rPr>
        <w:t xml:space="preserve"> </w:t>
      </w:r>
      <w:r w:rsidR="006A73CE" w:rsidRPr="00F0117E">
        <w:rPr>
          <w:lang w:val="uk-UA"/>
        </w:rPr>
        <w:t>залучені до цих проваджень, мали доступ</w:t>
      </w:r>
      <w:r w:rsidR="000169B9" w:rsidRPr="00F0117E">
        <w:rPr>
          <w:lang w:val="uk-UA"/>
        </w:rPr>
        <w:t xml:space="preserve"> </w:t>
      </w:r>
      <w:r w:rsidR="006A73CE" w:rsidRPr="00F0117E">
        <w:rPr>
          <w:lang w:val="uk-UA"/>
        </w:rPr>
        <w:t>до змісту повідомлень заявника</w:t>
      </w:r>
      <w:r w:rsidR="000169B9" w:rsidRPr="00F0117E">
        <w:rPr>
          <w:lang w:val="uk-UA"/>
        </w:rPr>
        <w:t xml:space="preserve"> (</w:t>
      </w:r>
      <w:r w:rsidR="006A73CE" w:rsidRPr="00F0117E">
        <w:rPr>
          <w:lang w:val="uk-UA"/>
        </w:rPr>
        <w:t>для аналогічного підходу, див.</w:t>
      </w:r>
      <w:r w:rsidR="000169B9" w:rsidRPr="00F0117E">
        <w:rPr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Köpke</w:t>
      </w:r>
      <w:proofErr w:type="spellEnd"/>
      <w:r w:rsidR="000169B9" w:rsidRPr="00F0117E">
        <w:rPr>
          <w:i/>
          <w:lang w:val="uk-UA"/>
        </w:rPr>
        <w:t xml:space="preserve"> v. </w:t>
      </w:r>
      <w:proofErr w:type="spellStart"/>
      <w:r w:rsidR="000169B9" w:rsidRPr="00F0117E">
        <w:rPr>
          <w:i/>
          <w:lang w:val="uk-UA"/>
        </w:rPr>
        <w:t>Germany</w:t>
      </w:r>
      <w:proofErr w:type="spellEnd"/>
      <w:r w:rsidR="000169B9" w:rsidRPr="00F0117E">
        <w:rPr>
          <w:lang w:val="uk-UA"/>
        </w:rPr>
        <w:t xml:space="preserve"> (</w:t>
      </w:r>
      <w:proofErr w:type="spellStart"/>
      <w:r w:rsidR="000169B9" w:rsidRPr="00F0117E">
        <w:rPr>
          <w:lang w:val="uk-UA"/>
        </w:rPr>
        <w:t>dec</w:t>
      </w:r>
      <w:proofErr w:type="spellEnd"/>
      <w:r w:rsidR="000169B9" w:rsidRPr="00F0117E">
        <w:rPr>
          <w:lang w:val="uk-UA"/>
        </w:rPr>
        <w:t xml:space="preserve">.), </w:t>
      </w:r>
      <w:r w:rsidR="006A73CE" w:rsidRPr="00F0117E">
        <w:rPr>
          <w:lang w:val="uk-UA"/>
        </w:rPr>
        <w:t>№</w:t>
      </w:r>
      <w:r w:rsidR="000169B9" w:rsidRPr="00F0117E">
        <w:rPr>
          <w:lang w:val="uk-UA"/>
        </w:rPr>
        <w:t xml:space="preserve"> 420/07, 5 </w:t>
      </w:r>
      <w:r w:rsidR="006A73CE" w:rsidRPr="00F0117E">
        <w:rPr>
          <w:lang w:val="uk-UA"/>
        </w:rPr>
        <w:t>жовтня</w:t>
      </w:r>
      <w:r w:rsidR="000169B9" w:rsidRPr="00F0117E">
        <w:rPr>
          <w:lang w:val="uk-UA"/>
        </w:rPr>
        <w:t xml:space="preserve"> 2010</w:t>
      </w:r>
      <w:r w:rsidR="006A73CE" w:rsidRPr="00F0117E">
        <w:rPr>
          <w:lang w:val="uk-UA"/>
        </w:rPr>
        <w:t xml:space="preserve"> року</w:t>
      </w:r>
      <w:r w:rsidR="000169B9" w:rsidRPr="00F0117E">
        <w:rPr>
          <w:lang w:val="uk-UA"/>
        </w:rPr>
        <w:t xml:space="preserve">). </w:t>
      </w:r>
      <w:r w:rsidR="006A73CE" w:rsidRPr="00F0117E">
        <w:rPr>
          <w:lang w:val="uk-UA"/>
        </w:rPr>
        <w:t>У цьому зв’язку помітно, що більшість погоджується з тим, що заявник не обґрунтував свої твердження</w:t>
      </w:r>
      <w:r w:rsidR="000169B9" w:rsidRPr="00F0117E">
        <w:rPr>
          <w:lang w:val="uk-UA"/>
        </w:rPr>
        <w:t xml:space="preserve"> </w:t>
      </w:r>
      <w:r w:rsidR="006A73CE" w:rsidRPr="00F0117E">
        <w:rPr>
          <w:lang w:val="uk-UA"/>
        </w:rPr>
        <w:t>про те, що зміст повідомлень розкривався іншим колегам</w:t>
      </w:r>
      <w:r w:rsidR="000169B9" w:rsidRPr="00F0117E">
        <w:rPr>
          <w:lang w:val="uk-UA"/>
        </w:rPr>
        <w:t xml:space="preserve"> (</w:t>
      </w:r>
      <w:r w:rsidR="006A73CE" w:rsidRPr="00F0117E">
        <w:rPr>
          <w:lang w:val="uk-UA"/>
        </w:rPr>
        <w:t>див. пункт 126 рішення</w:t>
      </w:r>
      <w:r w:rsidR="000169B9" w:rsidRPr="00F0117E">
        <w:rPr>
          <w:lang w:val="uk-UA"/>
        </w:rPr>
        <w:t>).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25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6A73CE" w:rsidRPr="00F0117E">
        <w:rPr>
          <w:lang w:val="uk-UA"/>
        </w:rPr>
        <w:t>Нарешті, ми зазначаємо, що при розгляді справи</w:t>
      </w:r>
      <w:r w:rsidR="000169B9" w:rsidRPr="00F0117E">
        <w:rPr>
          <w:lang w:val="uk-UA"/>
        </w:rPr>
        <w:t xml:space="preserve">, </w:t>
      </w:r>
      <w:r w:rsidR="006A73CE" w:rsidRPr="00F0117E">
        <w:rPr>
          <w:lang w:val="uk-UA"/>
        </w:rPr>
        <w:t>національні органи влади взяли до уваги</w:t>
      </w:r>
      <w:r w:rsidR="000169B9" w:rsidRPr="00F0117E">
        <w:rPr>
          <w:lang w:val="uk-UA"/>
        </w:rPr>
        <w:t xml:space="preserve"> </w:t>
      </w:r>
      <w:r w:rsidR="006A73CE" w:rsidRPr="00F0117E">
        <w:rPr>
          <w:lang w:val="uk-UA"/>
        </w:rPr>
        <w:t>ставлення заявника в ході професійної діяльності в цілому</w:t>
      </w:r>
      <w:r w:rsidR="000169B9" w:rsidRPr="00F0117E">
        <w:rPr>
          <w:lang w:val="uk-UA"/>
        </w:rPr>
        <w:t xml:space="preserve">, </w:t>
      </w:r>
      <w:r w:rsidR="006A73CE" w:rsidRPr="00F0117E">
        <w:rPr>
          <w:lang w:val="uk-UA"/>
        </w:rPr>
        <w:t>і, зокрема, протягом дисциплінарних проваджень проти нього</w:t>
      </w:r>
      <w:r w:rsidR="000169B9" w:rsidRPr="00F0117E">
        <w:rPr>
          <w:lang w:val="uk-UA"/>
        </w:rPr>
        <w:t xml:space="preserve">. </w:t>
      </w:r>
      <w:r w:rsidR="003D7F95" w:rsidRPr="00F0117E">
        <w:rPr>
          <w:lang w:val="uk-UA"/>
        </w:rPr>
        <w:t>Так, окружний суд визнав, що заявник скоїв дисциплінарне правопорушення,</w:t>
      </w:r>
      <w:r w:rsidR="000169B9" w:rsidRPr="00F0117E">
        <w:rPr>
          <w:lang w:val="uk-UA"/>
        </w:rPr>
        <w:t xml:space="preserve"> </w:t>
      </w:r>
      <w:r w:rsidR="003D7F95" w:rsidRPr="00F0117E">
        <w:rPr>
          <w:lang w:val="uk-UA"/>
        </w:rPr>
        <w:t>коли порушив внутрішні розпорядження роботодавця</w:t>
      </w:r>
      <w:r w:rsidR="000169B9" w:rsidRPr="00F0117E">
        <w:rPr>
          <w:lang w:val="uk-UA"/>
        </w:rPr>
        <w:t xml:space="preserve">, </w:t>
      </w:r>
      <w:r w:rsidR="003D7F95" w:rsidRPr="00F0117E">
        <w:rPr>
          <w:lang w:val="uk-UA"/>
        </w:rPr>
        <w:t>які забороняли користуватися комп’ютерами в особистих цілях</w:t>
      </w:r>
      <w:r w:rsidR="000169B9" w:rsidRPr="00F0117E">
        <w:rPr>
          <w:lang w:val="uk-UA"/>
        </w:rPr>
        <w:t xml:space="preserve"> (</w:t>
      </w:r>
      <w:r w:rsidR="003D7F95" w:rsidRPr="00F0117E">
        <w:rPr>
          <w:lang w:val="uk-UA"/>
        </w:rPr>
        <w:t>див. пункт</w:t>
      </w:r>
      <w:r w:rsidR="000169B9" w:rsidRPr="00F0117E">
        <w:rPr>
          <w:lang w:val="uk-UA"/>
        </w:rPr>
        <w:t xml:space="preserve"> 28</w:t>
      </w:r>
      <w:r w:rsidR="00B024FA" w:rsidRPr="00F0117E">
        <w:rPr>
          <w:lang w:val="uk-UA"/>
        </w:rPr>
        <w:t xml:space="preserve"> </w:t>
      </w:r>
      <w:r w:rsidR="003D7F95" w:rsidRPr="00F0117E">
        <w:rPr>
          <w:lang w:val="uk-UA"/>
        </w:rPr>
        <w:t>рішення</w:t>
      </w:r>
      <w:r w:rsidR="000169B9" w:rsidRPr="00F0117E">
        <w:rPr>
          <w:lang w:val="uk-UA"/>
        </w:rPr>
        <w:t xml:space="preserve">). </w:t>
      </w:r>
      <w:r w:rsidR="003D7F95" w:rsidRPr="00F0117E">
        <w:rPr>
          <w:lang w:val="uk-UA"/>
        </w:rPr>
        <w:t>Національні органи влади надали значної ваги</w:t>
      </w:r>
      <w:r w:rsidR="000169B9" w:rsidRPr="00F0117E">
        <w:rPr>
          <w:lang w:val="uk-UA"/>
        </w:rPr>
        <w:t xml:space="preserve"> </w:t>
      </w:r>
      <w:r w:rsidR="003D7F95" w:rsidRPr="00F0117E">
        <w:rPr>
          <w:lang w:val="uk-UA"/>
        </w:rPr>
        <w:t>своєму аналізу ставлення заявника у дисциплінарному провадженні</w:t>
      </w:r>
      <w:r w:rsidR="000169B9" w:rsidRPr="00F0117E">
        <w:rPr>
          <w:lang w:val="uk-UA"/>
        </w:rPr>
        <w:t xml:space="preserve">, </w:t>
      </w:r>
      <w:r w:rsidR="003D7F95" w:rsidRPr="00F0117E">
        <w:rPr>
          <w:lang w:val="uk-UA"/>
        </w:rPr>
        <w:t>протягом якого він заперечував використання ресурсів роботодавця</w:t>
      </w:r>
      <w:r w:rsidR="000169B9" w:rsidRPr="00F0117E">
        <w:rPr>
          <w:lang w:val="uk-UA"/>
        </w:rPr>
        <w:t xml:space="preserve"> </w:t>
      </w:r>
      <w:r w:rsidR="003D7F95" w:rsidRPr="00F0117E">
        <w:rPr>
          <w:lang w:val="uk-UA"/>
        </w:rPr>
        <w:t>в особистих цілях</w:t>
      </w:r>
      <w:r w:rsidR="000169B9" w:rsidRPr="00F0117E">
        <w:rPr>
          <w:lang w:val="uk-UA"/>
        </w:rPr>
        <w:t xml:space="preserve"> </w:t>
      </w:r>
      <w:r w:rsidR="003D7F95" w:rsidRPr="00F0117E">
        <w:rPr>
          <w:lang w:val="uk-UA"/>
        </w:rPr>
        <w:t>та наполягав на тому, що користувався ними лише в</w:t>
      </w:r>
      <w:r w:rsidR="00FA6D4F" w:rsidRPr="00F0117E">
        <w:rPr>
          <w:lang w:val="uk-UA"/>
        </w:rPr>
        <w:t xml:space="preserve"> </w:t>
      </w:r>
      <w:r w:rsidR="003D7F95" w:rsidRPr="00F0117E">
        <w:rPr>
          <w:lang w:val="uk-UA"/>
        </w:rPr>
        <w:t>робочих цілях</w:t>
      </w:r>
      <w:r w:rsidR="000169B9" w:rsidRPr="00F0117E">
        <w:rPr>
          <w:lang w:val="uk-UA"/>
        </w:rPr>
        <w:t xml:space="preserve">, </w:t>
      </w:r>
      <w:r w:rsidR="003D7F95" w:rsidRPr="00F0117E">
        <w:rPr>
          <w:lang w:val="uk-UA"/>
        </w:rPr>
        <w:t>що не відповідало дійсності</w:t>
      </w:r>
      <w:r w:rsidR="000169B9" w:rsidRPr="00F0117E">
        <w:rPr>
          <w:lang w:val="uk-UA"/>
        </w:rPr>
        <w:t xml:space="preserve"> (</w:t>
      </w:r>
      <w:r w:rsidR="003D7F95" w:rsidRPr="00F0117E">
        <w:rPr>
          <w:lang w:val="uk-UA"/>
        </w:rPr>
        <w:t>див. пункти 28 та 30 рішення</w:t>
      </w:r>
      <w:r w:rsidR="000169B9" w:rsidRPr="00F0117E">
        <w:rPr>
          <w:lang w:val="uk-UA"/>
        </w:rPr>
        <w:t xml:space="preserve">). </w:t>
      </w:r>
      <w:r w:rsidR="003D7F95" w:rsidRPr="00F0117E">
        <w:rPr>
          <w:lang w:val="uk-UA"/>
        </w:rPr>
        <w:t>Вони мали право це зробити</w:t>
      </w:r>
      <w:r w:rsidR="000169B9" w:rsidRPr="00F0117E">
        <w:rPr>
          <w:lang w:val="uk-UA"/>
        </w:rPr>
        <w:t xml:space="preserve">. </w:t>
      </w:r>
      <w:r w:rsidR="003D7F95" w:rsidRPr="00F0117E">
        <w:rPr>
          <w:lang w:val="uk-UA"/>
        </w:rPr>
        <w:lastRenderedPageBreak/>
        <w:t>Це підтвердилося, коли заявник стверджував у цьому Суді,</w:t>
      </w:r>
      <w:r w:rsidR="000169B9" w:rsidRPr="00F0117E">
        <w:rPr>
          <w:lang w:val="uk-UA"/>
        </w:rPr>
        <w:t xml:space="preserve"> </w:t>
      </w:r>
      <w:r w:rsidR="003D7F95" w:rsidRPr="00F0117E">
        <w:rPr>
          <w:lang w:val="uk-UA"/>
        </w:rPr>
        <w:t>що хоча він знав,</w:t>
      </w:r>
      <w:r w:rsidR="000169B9" w:rsidRPr="00F0117E">
        <w:rPr>
          <w:lang w:val="uk-UA"/>
        </w:rPr>
        <w:t xml:space="preserve"> </w:t>
      </w:r>
      <w:r w:rsidR="003D7F95" w:rsidRPr="00F0117E">
        <w:rPr>
          <w:lang w:val="uk-UA"/>
        </w:rPr>
        <w:t>що використання робочого комп’ютера в особистих цілях заборонялося</w:t>
      </w:r>
      <w:r w:rsidR="000169B9" w:rsidRPr="00F0117E">
        <w:rPr>
          <w:lang w:val="uk-UA"/>
        </w:rPr>
        <w:t xml:space="preserve">, </w:t>
      </w:r>
      <w:r w:rsidR="003D7F95" w:rsidRPr="00F0117E">
        <w:rPr>
          <w:lang w:val="uk-UA"/>
        </w:rPr>
        <w:t>лише знання про моніторинг з боку роботодавця</w:t>
      </w:r>
      <w:r w:rsidR="000169B9" w:rsidRPr="00F0117E">
        <w:rPr>
          <w:lang w:val="uk-UA"/>
        </w:rPr>
        <w:t xml:space="preserve"> </w:t>
      </w:r>
      <w:r w:rsidR="003D7F95" w:rsidRPr="00F0117E">
        <w:rPr>
          <w:lang w:val="uk-UA"/>
        </w:rPr>
        <w:t>запобігло б використанню робочого комп’ютера в особистих цілях</w:t>
      </w:r>
      <w:r w:rsidR="000169B9" w:rsidRPr="00F0117E">
        <w:rPr>
          <w:lang w:val="uk-UA"/>
        </w:rPr>
        <w:t xml:space="preserve">; </w:t>
      </w:r>
      <w:r w:rsidR="003D7F95" w:rsidRPr="00F0117E">
        <w:rPr>
          <w:lang w:val="uk-UA"/>
        </w:rPr>
        <w:t>він не заперечував, що був проінформований про моніторинг</w:t>
      </w:r>
      <w:r w:rsidR="000169B9" w:rsidRPr="00F0117E">
        <w:rPr>
          <w:lang w:val="uk-UA"/>
        </w:rPr>
        <w:t xml:space="preserve">, </w:t>
      </w:r>
      <w:r w:rsidR="003D7F95" w:rsidRPr="00F0117E">
        <w:rPr>
          <w:lang w:val="uk-UA"/>
        </w:rPr>
        <w:t>але не міг згадати, коли отримав інформаційне повідомлення,</w:t>
      </w:r>
      <w:r w:rsidR="000169B9" w:rsidRPr="00F0117E">
        <w:rPr>
          <w:lang w:val="uk-UA"/>
        </w:rPr>
        <w:t xml:space="preserve"> </w:t>
      </w:r>
      <w:r w:rsidR="003D7F95" w:rsidRPr="00F0117E">
        <w:rPr>
          <w:lang w:val="uk-UA"/>
        </w:rPr>
        <w:t>яке попередило його про моніторинг</w:t>
      </w:r>
      <w:r w:rsidR="00B024FA" w:rsidRPr="00F0117E">
        <w:rPr>
          <w:lang w:val="uk-UA"/>
        </w:rPr>
        <w:t>.</w:t>
      </w:r>
    </w:p>
    <w:p w:rsidR="000169B9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26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3D7F95" w:rsidRPr="00F0117E">
        <w:rPr>
          <w:lang w:val="uk-UA"/>
        </w:rPr>
        <w:t>Врешті-решт, як більшість також підкреслює</w:t>
      </w:r>
      <w:r w:rsidR="000169B9" w:rsidRPr="00F0117E">
        <w:rPr>
          <w:lang w:val="uk-UA"/>
        </w:rPr>
        <w:t xml:space="preserve"> (</w:t>
      </w:r>
      <w:r w:rsidR="003D7F95" w:rsidRPr="00F0117E">
        <w:rPr>
          <w:lang w:val="uk-UA"/>
        </w:rPr>
        <w:t>див. пункт</w:t>
      </w:r>
      <w:r w:rsidR="000169B9" w:rsidRPr="00F0117E">
        <w:rPr>
          <w:lang w:val="uk-UA"/>
        </w:rPr>
        <w:t xml:space="preserve"> 121</w:t>
      </w:r>
      <w:r w:rsidR="00B024FA" w:rsidRPr="00F0117E">
        <w:rPr>
          <w:lang w:val="uk-UA"/>
        </w:rPr>
        <w:t xml:space="preserve"> </w:t>
      </w:r>
      <w:r w:rsidR="003D7F95" w:rsidRPr="00F0117E">
        <w:rPr>
          <w:lang w:val="uk-UA"/>
        </w:rPr>
        <w:t>рішення</w:t>
      </w:r>
      <w:r w:rsidR="000169B9" w:rsidRPr="00F0117E">
        <w:rPr>
          <w:lang w:val="uk-UA"/>
        </w:rPr>
        <w:t xml:space="preserve">), </w:t>
      </w:r>
      <w:r w:rsidR="003D7F95" w:rsidRPr="00F0117E">
        <w:rPr>
          <w:lang w:val="uk-UA"/>
        </w:rPr>
        <w:t>для того, щоб бути плодотворними, робочі відносини</w:t>
      </w:r>
      <w:r w:rsidR="000169B9" w:rsidRPr="00F0117E">
        <w:rPr>
          <w:lang w:val="uk-UA"/>
        </w:rPr>
        <w:t xml:space="preserve"> </w:t>
      </w:r>
      <w:r w:rsidR="003D7F95" w:rsidRPr="00F0117E">
        <w:rPr>
          <w:lang w:val="uk-UA"/>
        </w:rPr>
        <w:t>повинні ґрунтуватися на взаємній довірі</w:t>
      </w:r>
      <w:r w:rsidR="000169B9" w:rsidRPr="00F0117E">
        <w:rPr>
          <w:lang w:val="uk-UA"/>
        </w:rPr>
        <w:t xml:space="preserve"> (</w:t>
      </w:r>
      <w:r w:rsidR="003D7F95" w:rsidRPr="00F0117E">
        <w:rPr>
          <w:lang w:val="uk-UA"/>
        </w:rPr>
        <w:t>див.</w:t>
      </w:r>
      <w:r w:rsidR="000169B9" w:rsidRPr="00F0117E">
        <w:rPr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Palomo</w:t>
      </w:r>
      <w:proofErr w:type="spellEnd"/>
      <w:r w:rsidR="000169B9" w:rsidRPr="00F0117E">
        <w:rPr>
          <w:i/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Sánchez</w:t>
      </w:r>
      <w:proofErr w:type="spellEnd"/>
      <w:r w:rsidR="000169B9" w:rsidRPr="00F0117E">
        <w:rPr>
          <w:i/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and</w:t>
      </w:r>
      <w:proofErr w:type="spellEnd"/>
      <w:r w:rsidR="000169B9" w:rsidRPr="00F0117E">
        <w:rPr>
          <w:i/>
          <w:lang w:val="uk-UA"/>
        </w:rPr>
        <w:t xml:space="preserve"> </w:t>
      </w:r>
      <w:proofErr w:type="spellStart"/>
      <w:r w:rsidR="000169B9" w:rsidRPr="00F0117E">
        <w:rPr>
          <w:i/>
          <w:lang w:val="uk-UA"/>
        </w:rPr>
        <w:t>Others</w:t>
      </w:r>
      <w:proofErr w:type="spellEnd"/>
      <w:r w:rsidR="001C04B8" w:rsidRPr="00F0117E">
        <w:rPr>
          <w:lang w:val="uk-UA"/>
        </w:rPr>
        <w:t xml:space="preserve"> </w:t>
      </w:r>
      <w:r w:rsidR="001C04B8" w:rsidRPr="00F0117E">
        <w:rPr>
          <w:i/>
          <w:lang w:val="uk-UA"/>
        </w:rPr>
        <w:t xml:space="preserve">v. </w:t>
      </w:r>
      <w:proofErr w:type="spellStart"/>
      <w:r w:rsidR="001C04B8" w:rsidRPr="00F0117E">
        <w:rPr>
          <w:i/>
          <w:lang w:val="uk-UA"/>
        </w:rPr>
        <w:t>Spain</w:t>
      </w:r>
      <w:proofErr w:type="spellEnd"/>
      <w:r w:rsidR="001C04B8" w:rsidRPr="00F0117E">
        <w:rPr>
          <w:i/>
          <w:lang w:val="uk-UA"/>
        </w:rPr>
        <w:t xml:space="preserve"> </w:t>
      </w:r>
      <w:r w:rsidR="001C04B8" w:rsidRPr="00F0117E">
        <w:rPr>
          <w:lang w:val="uk-UA"/>
        </w:rPr>
        <w:t xml:space="preserve">[GC], </w:t>
      </w:r>
      <w:r w:rsidR="003D7F95" w:rsidRPr="00F0117E">
        <w:rPr>
          <w:lang w:val="uk-UA"/>
        </w:rPr>
        <w:t>№№</w:t>
      </w:r>
      <w:r w:rsidR="001C04B8" w:rsidRPr="00F0117E">
        <w:rPr>
          <w:lang w:val="uk-UA"/>
        </w:rPr>
        <w:t> 28955/06</w:t>
      </w:r>
      <w:r w:rsidR="005150D3" w:rsidRPr="00F0117E">
        <w:rPr>
          <w:lang w:val="uk-UA"/>
        </w:rPr>
        <w:t xml:space="preserve"> </w:t>
      </w:r>
      <w:r w:rsidR="003D7F95" w:rsidRPr="00F0117E">
        <w:rPr>
          <w:lang w:val="uk-UA"/>
        </w:rPr>
        <w:t>та 3 інших</w:t>
      </w:r>
      <w:r w:rsidR="001C04B8" w:rsidRPr="00F0117E">
        <w:rPr>
          <w:lang w:val="uk-UA"/>
        </w:rPr>
        <w:t>, § 76, ECHR 2011</w:t>
      </w:r>
      <w:r w:rsidR="000169B9" w:rsidRPr="00F0117E">
        <w:rPr>
          <w:lang w:val="uk-UA"/>
        </w:rPr>
        <w:t xml:space="preserve">). </w:t>
      </w:r>
      <w:r w:rsidR="003D7F95" w:rsidRPr="00F0117E">
        <w:rPr>
          <w:lang w:val="uk-UA"/>
        </w:rPr>
        <w:t>Відповідно, на нашу думку, в межах своєї свободи розсуду національні (трудові) суди мали право</w:t>
      </w:r>
      <w:r w:rsidR="000169B9" w:rsidRPr="00F0117E">
        <w:rPr>
          <w:lang w:val="uk-UA"/>
        </w:rPr>
        <w:t xml:space="preserve">, </w:t>
      </w:r>
      <w:r w:rsidR="003D7F95" w:rsidRPr="00F0117E">
        <w:rPr>
          <w:lang w:val="uk-UA"/>
        </w:rPr>
        <w:t>при врівноваженні інтересів</w:t>
      </w:r>
      <w:r w:rsidR="000169B9" w:rsidRPr="00F0117E">
        <w:rPr>
          <w:lang w:val="uk-UA"/>
        </w:rPr>
        <w:t xml:space="preserve">, </w:t>
      </w:r>
      <w:r w:rsidR="003D7F95" w:rsidRPr="00F0117E">
        <w:rPr>
          <w:lang w:val="uk-UA"/>
        </w:rPr>
        <w:t>узяти до уваги ставлення заявника</w:t>
      </w:r>
      <w:r w:rsidR="000169B9" w:rsidRPr="00F0117E">
        <w:rPr>
          <w:lang w:val="uk-UA"/>
        </w:rPr>
        <w:t xml:space="preserve">, </w:t>
      </w:r>
      <w:r w:rsidR="003D7F95" w:rsidRPr="00F0117E">
        <w:rPr>
          <w:lang w:val="uk-UA"/>
        </w:rPr>
        <w:t>який розірвав зв’язок довіри з роботодавцем</w:t>
      </w:r>
      <w:r w:rsidR="000169B9" w:rsidRPr="00F0117E">
        <w:rPr>
          <w:lang w:val="uk-UA"/>
        </w:rPr>
        <w:t>.</w:t>
      </w:r>
    </w:p>
    <w:p w:rsidR="00C70CEA" w:rsidRPr="00F0117E" w:rsidRDefault="002D2B15" w:rsidP="008B2B31">
      <w:pPr>
        <w:pStyle w:val="OpiPara"/>
        <w:rPr>
          <w:lang w:val="uk-UA"/>
        </w:rPr>
      </w:pPr>
      <w:r w:rsidRPr="00F0117E">
        <w:rPr>
          <w:lang w:val="uk-UA"/>
        </w:rPr>
        <w:t>27</w:t>
      </w:r>
      <w:r w:rsidR="000169B9" w:rsidRPr="00F0117E">
        <w:rPr>
          <w:lang w:val="uk-UA"/>
        </w:rPr>
        <w:t>.</w:t>
      </w:r>
      <w:r w:rsidR="00FA6D4F" w:rsidRPr="00F0117E">
        <w:rPr>
          <w:lang w:val="uk-UA"/>
        </w:rPr>
        <w:t xml:space="preserve"> </w:t>
      </w:r>
      <w:r w:rsidR="003D7F95" w:rsidRPr="00F0117E">
        <w:rPr>
          <w:lang w:val="uk-UA"/>
        </w:rPr>
        <w:t>Враховуючи всі вищенаведені міркування та на відміну від більшості</w:t>
      </w:r>
      <w:r w:rsidR="000169B9" w:rsidRPr="00F0117E">
        <w:rPr>
          <w:lang w:val="uk-UA"/>
        </w:rPr>
        <w:t xml:space="preserve">, </w:t>
      </w:r>
      <w:r w:rsidR="003D7F95" w:rsidRPr="00F0117E">
        <w:rPr>
          <w:lang w:val="uk-UA"/>
        </w:rPr>
        <w:t>ми робимо висновок про те,</w:t>
      </w:r>
      <w:r w:rsidR="000169B9" w:rsidRPr="00F0117E">
        <w:rPr>
          <w:lang w:val="uk-UA"/>
        </w:rPr>
        <w:t xml:space="preserve"> </w:t>
      </w:r>
      <w:r w:rsidR="003D7F95" w:rsidRPr="00F0117E">
        <w:rPr>
          <w:lang w:val="uk-UA"/>
        </w:rPr>
        <w:t>що право заявника на повагу до приватного життя та кореспонденції було захищено,</w:t>
      </w:r>
      <w:r w:rsidR="000169B9" w:rsidRPr="00F0117E">
        <w:rPr>
          <w:lang w:val="uk-UA"/>
        </w:rPr>
        <w:t xml:space="preserve"> </w:t>
      </w:r>
      <w:r w:rsidR="003D7F95" w:rsidRPr="00F0117E">
        <w:rPr>
          <w:lang w:val="uk-UA"/>
        </w:rPr>
        <w:t>і тому не мало місце порушення статті 8 Конвенції</w:t>
      </w:r>
      <w:r w:rsidR="000169B9" w:rsidRPr="00F0117E">
        <w:rPr>
          <w:lang w:val="uk-UA"/>
        </w:rPr>
        <w:t>.</w:t>
      </w:r>
    </w:p>
    <w:p w:rsidR="008B2B31" w:rsidRDefault="008B2B31" w:rsidP="008B2B31">
      <w:pPr>
        <w:pStyle w:val="OpiPara"/>
        <w:rPr>
          <w:lang w:val="uk-UA"/>
        </w:rPr>
      </w:pPr>
    </w:p>
    <w:p w:rsidR="0050038A" w:rsidRDefault="0050038A" w:rsidP="008B2B31">
      <w:pPr>
        <w:pStyle w:val="OpiPara"/>
        <w:rPr>
          <w:lang w:val="uk-UA"/>
        </w:rPr>
      </w:pPr>
    </w:p>
    <w:p w:rsidR="0050038A" w:rsidRDefault="0050038A" w:rsidP="008B2B31">
      <w:pPr>
        <w:pStyle w:val="OpiPara"/>
        <w:rPr>
          <w:lang w:val="uk-UA"/>
        </w:rPr>
      </w:pPr>
    </w:p>
    <w:p w:rsidR="0050038A" w:rsidRDefault="0050038A" w:rsidP="008B2B31">
      <w:pPr>
        <w:pStyle w:val="OpiPara"/>
        <w:rPr>
          <w:lang w:val="uk-UA"/>
        </w:rPr>
      </w:pPr>
    </w:p>
    <w:p w:rsidR="0050038A" w:rsidRPr="0050038A" w:rsidRDefault="0050038A" w:rsidP="008B2B31">
      <w:pPr>
        <w:pStyle w:val="OpiPara"/>
        <w:rPr>
          <w:i/>
          <w:iCs/>
          <w:lang w:val="uk-UA"/>
        </w:rPr>
      </w:pPr>
      <w:r w:rsidRPr="0050038A">
        <w:rPr>
          <w:i/>
          <w:iCs/>
          <w:lang w:val="uk-UA"/>
        </w:rPr>
        <w:t>Переклад Харківської правозахисної групи</w:t>
      </w:r>
    </w:p>
    <w:sectPr w:rsidR="0050038A" w:rsidRPr="0050038A" w:rsidSect="000169B9">
      <w:headerReference w:type="even" r:id="rId16"/>
      <w:headerReference w:type="default" r:id="rId17"/>
      <w:footnotePr>
        <w:numRestart w:val="eachSect"/>
      </w:footnotePr>
      <w:pgSz w:w="11906" w:h="16838" w:code="9"/>
      <w:pgMar w:top="2274" w:right="2274" w:bottom="2274" w:left="2274" w:header="170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1C" w:rsidRPr="009E0462" w:rsidRDefault="00AA521C" w:rsidP="00DC4033">
      <w:pPr>
        <w:rPr>
          <w:lang w:val="en-GB"/>
        </w:rPr>
      </w:pPr>
      <w:r w:rsidRPr="009E0462">
        <w:rPr>
          <w:lang w:val="en-GB"/>
        </w:rPr>
        <w:separator/>
      </w:r>
    </w:p>
  </w:endnote>
  <w:endnote w:type="continuationSeparator" w:id="0">
    <w:p w:rsidR="00AA521C" w:rsidRPr="009E0462" w:rsidRDefault="00AA521C" w:rsidP="00DC4033">
      <w:pPr>
        <w:rPr>
          <w:lang w:val="en-GB"/>
        </w:rPr>
      </w:pPr>
      <w:r w:rsidRPr="009E0462">
        <w:rPr>
          <w:lang w:val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7E" w:rsidRPr="00150BFA" w:rsidRDefault="00F0117E" w:rsidP="00E36F4C">
    <w:pPr>
      <w:jc w:val="center"/>
    </w:pPr>
    <w:r>
      <w:rPr>
        <w:noProof/>
        <w:lang w:val="ru-RU" w:eastAsia="ru-RU" w:bidi="he-IL"/>
      </w:rPr>
      <w:drawing>
        <wp:inline distT="0" distB="0" distL="0" distR="0">
          <wp:extent cx="771525" cy="619125"/>
          <wp:effectExtent l="0" t="0" r="9525" b="9525"/>
          <wp:docPr id="12" name="Picture 12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17E" w:rsidRPr="00A737D1" w:rsidRDefault="00F0117E" w:rsidP="00A737D1">
    <w:pPr>
      <w:pStyle w:val="af2"/>
      <w:jc w:val="center"/>
      <w:rPr>
        <w:sz w:val="4"/>
        <w:szCs w:val="4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7E" w:rsidRPr="00F6348B" w:rsidRDefault="00F0117E" w:rsidP="00E36F4C">
    <w:pPr>
      <w:pStyle w:val="af2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1C" w:rsidRPr="009E0462" w:rsidRDefault="00AA521C" w:rsidP="00DC4033">
      <w:pPr>
        <w:rPr>
          <w:lang w:val="en-GB"/>
        </w:rPr>
      </w:pPr>
      <w:r w:rsidRPr="009E0462">
        <w:rPr>
          <w:lang w:val="en-GB"/>
        </w:rPr>
        <w:separator/>
      </w:r>
    </w:p>
  </w:footnote>
  <w:footnote w:type="continuationSeparator" w:id="0">
    <w:p w:rsidR="00AA521C" w:rsidRPr="009E0462" w:rsidRDefault="00AA521C" w:rsidP="00DC4033">
      <w:pPr>
        <w:rPr>
          <w:lang w:val="en-GB"/>
        </w:rPr>
      </w:pPr>
      <w:r w:rsidRPr="009E0462">
        <w:rPr>
          <w:lang w:val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7E" w:rsidRPr="00A45145" w:rsidRDefault="00F0117E" w:rsidP="00E36F4C">
    <w:pPr>
      <w:jc w:val="center"/>
    </w:pPr>
    <w:r>
      <w:rPr>
        <w:noProof/>
        <w:lang w:val="ru-RU" w:eastAsia="ru-RU" w:bidi="he-IL"/>
      </w:rPr>
      <w:drawing>
        <wp:inline distT="0" distB="0" distL="0" distR="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17E" w:rsidRDefault="00F0117E" w:rsidP="00E36F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7E" w:rsidRPr="006A1F8B" w:rsidRDefault="0002542A" w:rsidP="006A1F8B">
    <w:pPr>
      <w:pStyle w:val="ECHRHeader"/>
    </w:pPr>
    <w:r>
      <w:rPr>
        <w:rStyle w:val="aff7"/>
      </w:rPr>
      <w:fldChar w:fldCharType="begin"/>
    </w:r>
    <w:r w:rsidR="00F0117E">
      <w:rPr>
        <w:rStyle w:val="aff7"/>
      </w:rPr>
      <w:instrText xml:space="preserve"> PAGE </w:instrText>
    </w:r>
    <w:r>
      <w:rPr>
        <w:rStyle w:val="aff7"/>
      </w:rPr>
      <w:fldChar w:fldCharType="separate"/>
    </w:r>
    <w:r w:rsidR="0050038A">
      <w:rPr>
        <w:rStyle w:val="aff7"/>
        <w:noProof/>
      </w:rPr>
      <w:t>46</w:t>
    </w:r>
    <w:r>
      <w:rPr>
        <w:rStyle w:val="aff7"/>
      </w:rPr>
      <w:fldChar w:fldCharType="end"/>
    </w:r>
    <w:r w:rsidR="00F0117E" w:rsidRPr="006A1F8B">
      <w:tab/>
    </w:r>
    <w:r w:rsidR="00F0117E">
      <w:t>BĂRBULESCU v. ROMANIA</w:t>
    </w:r>
    <w:r w:rsidR="00F0117E" w:rsidRPr="006A1F8B">
      <w:t xml:space="preserve"> </w:t>
    </w:r>
    <w:r w:rsidR="00F0117E">
      <w:t>JUDGMENT</w:t>
    </w:r>
    <w:r w:rsidR="00F0117E">
      <w:rPr>
        <w:noProof/>
        <w:lang w:val="en-GB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7E" w:rsidRPr="00DC4033" w:rsidRDefault="00F0117E" w:rsidP="00DC4033">
    <w:pPr>
      <w:pStyle w:val="ECHRHeader"/>
      <w:rPr>
        <w:lang w:val="en-GB"/>
      </w:rPr>
    </w:pPr>
    <w:r w:rsidRPr="00DC4033">
      <w:rPr>
        <w:lang w:val="en-GB"/>
      </w:rPr>
      <w:tab/>
    </w:r>
    <w:r>
      <w:rPr>
        <w:lang w:val="uk-UA"/>
      </w:rPr>
      <w:t>РІШЕННЯ «БАРБУЛЕСКУ проти РУМУНІЇ»</w:t>
    </w:r>
    <w:r>
      <w:rPr>
        <w:noProof/>
        <w:lang w:val="en-GB"/>
      </w:rPr>
      <w:t xml:space="preserve"> </w:t>
    </w:r>
    <w:r w:rsidRPr="00DC4033">
      <w:rPr>
        <w:lang w:val="en-GB"/>
      </w:rPr>
      <w:tab/>
    </w:r>
    <w:r w:rsidR="0002542A">
      <w:rPr>
        <w:rStyle w:val="aff7"/>
        <w:lang w:val="en-GB"/>
      </w:rPr>
      <w:fldChar w:fldCharType="begin"/>
    </w:r>
    <w:r>
      <w:rPr>
        <w:rStyle w:val="aff7"/>
        <w:lang w:val="en-GB"/>
      </w:rPr>
      <w:instrText xml:space="preserve"> PAGE </w:instrText>
    </w:r>
    <w:r w:rsidR="0002542A">
      <w:rPr>
        <w:rStyle w:val="aff7"/>
        <w:lang w:val="en-GB"/>
      </w:rPr>
      <w:fldChar w:fldCharType="separate"/>
    </w:r>
    <w:r w:rsidR="0050038A">
      <w:rPr>
        <w:rStyle w:val="aff7"/>
        <w:noProof/>
        <w:lang w:val="en-GB"/>
      </w:rPr>
      <w:t>47</w:t>
    </w:r>
    <w:r w:rsidR="0002542A">
      <w:rPr>
        <w:rStyle w:val="aff7"/>
        <w:lang w:val="en-GB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7E" w:rsidRPr="006A1F8B" w:rsidRDefault="0002542A" w:rsidP="006A1F8B">
    <w:pPr>
      <w:pStyle w:val="ECHRHeader"/>
    </w:pPr>
    <w:r>
      <w:rPr>
        <w:rStyle w:val="aff7"/>
      </w:rPr>
      <w:fldChar w:fldCharType="begin"/>
    </w:r>
    <w:r w:rsidR="00F0117E">
      <w:rPr>
        <w:rStyle w:val="aff7"/>
      </w:rPr>
      <w:instrText xml:space="preserve"> PAGE </w:instrText>
    </w:r>
    <w:r>
      <w:rPr>
        <w:rStyle w:val="aff7"/>
      </w:rPr>
      <w:fldChar w:fldCharType="separate"/>
    </w:r>
    <w:r w:rsidR="0050038A">
      <w:rPr>
        <w:rStyle w:val="aff7"/>
        <w:noProof/>
      </w:rPr>
      <w:t>58</w:t>
    </w:r>
    <w:r>
      <w:rPr>
        <w:rStyle w:val="aff7"/>
      </w:rPr>
      <w:fldChar w:fldCharType="end"/>
    </w:r>
    <w:r w:rsidR="00F0117E" w:rsidRPr="006A1F8B">
      <w:tab/>
    </w:r>
    <w:r w:rsidR="00F0117E">
      <w:t>BĂRBULESCU v. ROMANIA</w:t>
    </w:r>
    <w:r w:rsidR="00F0117E" w:rsidRPr="006A1F8B">
      <w:t xml:space="preserve"> </w:t>
    </w:r>
    <w:r w:rsidR="00F0117E">
      <w:t>JUDGMENT</w:t>
    </w:r>
    <w:r w:rsidR="00F0117E">
      <w:rPr>
        <w:noProof/>
        <w:lang w:val="en-GB"/>
      </w:rPr>
      <w:t xml:space="preserve"> – SEPARATE OPINIONS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7E" w:rsidRPr="00DC4033" w:rsidRDefault="00F0117E" w:rsidP="00DC4033">
    <w:pPr>
      <w:pStyle w:val="ECHRHeader"/>
      <w:rPr>
        <w:lang w:val="en-GB"/>
      </w:rPr>
    </w:pPr>
    <w:r w:rsidRPr="00DC4033">
      <w:rPr>
        <w:lang w:val="en-GB"/>
      </w:rPr>
      <w:tab/>
    </w:r>
    <w:r>
      <w:rPr>
        <w:lang w:val="en-GB"/>
      </w:rPr>
      <w:t>BĂRBULESCU v. ROMANIA</w:t>
    </w:r>
    <w:r w:rsidRPr="00DC4033">
      <w:rPr>
        <w:lang w:val="en-GB"/>
      </w:rPr>
      <w:t xml:space="preserve"> JUDGMENT</w:t>
    </w:r>
    <w:r>
      <w:rPr>
        <w:lang w:val="en-GB"/>
      </w:rPr>
      <w:t xml:space="preserve"> – SEPARATE OPINIONS</w:t>
    </w:r>
    <w:r>
      <w:rPr>
        <w:noProof/>
        <w:lang w:val="en-GB"/>
      </w:rPr>
      <w:t xml:space="preserve"> </w:t>
    </w:r>
    <w:r w:rsidRPr="00DC4033">
      <w:rPr>
        <w:lang w:val="en-GB"/>
      </w:rPr>
      <w:tab/>
    </w:r>
    <w:r w:rsidR="0002542A">
      <w:rPr>
        <w:rStyle w:val="aff7"/>
        <w:lang w:val="en-GB"/>
      </w:rPr>
      <w:fldChar w:fldCharType="begin"/>
    </w:r>
    <w:r>
      <w:rPr>
        <w:rStyle w:val="aff7"/>
        <w:lang w:val="en-GB"/>
      </w:rPr>
      <w:instrText xml:space="preserve"> PAGE </w:instrText>
    </w:r>
    <w:r w:rsidR="0002542A">
      <w:rPr>
        <w:rStyle w:val="aff7"/>
        <w:lang w:val="en-GB"/>
      </w:rPr>
      <w:fldChar w:fldCharType="separate"/>
    </w:r>
    <w:r w:rsidR="0050038A">
      <w:rPr>
        <w:rStyle w:val="aff7"/>
        <w:noProof/>
        <w:lang w:val="en-GB"/>
      </w:rPr>
      <w:t>57</w:t>
    </w:r>
    <w:r w:rsidR="0002542A">
      <w:rPr>
        <w:rStyle w:val="aff7"/>
        <w:lang w:val="en-G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60303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4EE5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E1D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C1F3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F83F5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2623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88B37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5C66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5680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AEA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9466D8E"/>
    <w:multiLevelType w:val="multilevel"/>
    <w:tmpl w:val="040C0023"/>
    <w:styleLink w:val="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50D3BA1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3">
    <w:nsid w:val="52316A4C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535195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>
    <w:nsid w:val="67E457A0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FD1241"/>
    <w:multiLevelType w:val="hybridMultilevel"/>
    <w:tmpl w:val="F6D86CC2"/>
    <w:lvl w:ilvl="0" w:tplc="E4205412">
      <w:start w:val="1"/>
      <w:numFmt w:val="bullet"/>
      <w:pStyle w:val="a1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4"/>
  </w:num>
  <w:num w:numId="7">
    <w:abstractNumId w:val="12"/>
  </w:num>
  <w:num w:numId="8">
    <w:abstractNumId w:val="16"/>
  </w:num>
  <w:num w:numId="9">
    <w:abstractNumId w:val="15"/>
  </w:num>
  <w:num w:numId="10">
    <w:abstractNumId w:val="13"/>
  </w:num>
  <w:num w:numId="11">
    <w:abstractNumId w:val="11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proofState w:spelling="clean" w:grammar="clean"/>
  <w:stylePaneFormatFilter w:val="D004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docVars>
    <w:docVar w:name="EMM" w:val="0"/>
    <w:docVar w:name="NBEMMDOC" w:val="0"/>
  </w:docVars>
  <w:rsids>
    <w:rsidRoot w:val="00E81B07"/>
    <w:rsid w:val="000041F8"/>
    <w:rsid w:val="000042A8"/>
    <w:rsid w:val="00004308"/>
    <w:rsid w:val="00005BF0"/>
    <w:rsid w:val="00007154"/>
    <w:rsid w:val="00007A11"/>
    <w:rsid w:val="00007C89"/>
    <w:rsid w:val="000103AE"/>
    <w:rsid w:val="00011D69"/>
    <w:rsid w:val="00012AD3"/>
    <w:rsid w:val="00015C2D"/>
    <w:rsid w:val="00015F00"/>
    <w:rsid w:val="000169B9"/>
    <w:rsid w:val="000216D9"/>
    <w:rsid w:val="00022C1D"/>
    <w:rsid w:val="00022E3B"/>
    <w:rsid w:val="00023634"/>
    <w:rsid w:val="0002542A"/>
    <w:rsid w:val="00027D83"/>
    <w:rsid w:val="00031ECA"/>
    <w:rsid w:val="0003300B"/>
    <w:rsid w:val="00034987"/>
    <w:rsid w:val="00045D87"/>
    <w:rsid w:val="0004741E"/>
    <w:rsid w:val="000477C3"/>
    <w:rsid w:val="0005223D"/>
    <w:rsid w:val="000602DF"/>
    <w:rsid w:val="00061589"/>
    <w:rsid w:val="00061B05"/>
    <w:rsid w:val="000632D5"/>
    <w:rsid w:val="000644EE"/>
    <w:rsid w:val="00065F6F"/>
    <w:rsid w:val="00067164"/>
    <w:rsid w:val="00071408"/>
    <w:rsid w:val="000925AD"/>
    <w:rsid w:val="000A24EB"/>
    <w:rsid w:val="000A31B4"/>
    <w:rsid w:val="000A3327"/>
    <w:rsid w:val="000A7468"/>
    <w:rsid w:val="000B5A0D"/>
    <w:rsid w:val="000B6923"/>
    <w:rsid w:val="000C071F"/>
    <w:rsid w:val="000C091A"/>
    <w:rsid w:val="000C5F3C"/>
    <w:rsid w:val="000C6DCC"/>
    <w:rsid w:val="000C736B"/>
    <w:rsid w:val="000C79C3"/>
    <w:rsid w:val="000D47AA"/>
    <w:rsid w:val="000D4C6B"/>
    <w:rsid w:val="000D721F"/>
    <w:rsid w:val="000E069B"/>
    <w:rsid w:val="000E0E82"/>
    <w:rsid w:val="000E1DC5"/>
    <w:rsid w:val="000E223F"/>
    <w:rsid w:val="000E3EF7"/>
    <w:rsid w:val="000E7D45"/>
    <w:rsid w:val="000F1963"/>
    <w:rsid w:val="000F7851"/>
    <w:rsid w:val="00104E23"/>
    <w:rsid w:val="001054DF"/>
    <w:rsid w:val="00111B0C"/>
    <w:rsid w:val="0011361D"/>
    <w:rsid w:val="00120D6C"/>
    <w:rsid w:val="0012451C"/>
    <w:rsid w:val="001257EC"/>
    <w:rsid w:val="00126ABD"/>
    <w:rsid w:val="00126AC0"/>
    <w:rsid w:val="0013011B"/>
    <w:rsid w:val="00131A20"/>
    <w:rsid w:val="00133D33"/>
    <w:rsid w:val="00134D64"/>
    <w:rsid w:val="00135A30"/>
    <w:rsid w:val="0013612C"/>
    <w:rsid w:val="00136D6F"/>
    <w:rsid w:val="00137FF6"/>
    <w:rsid w:val="00141650"/>
    <w:rsid w:val="00143EF1"/>
    <w:rsid w:val="001458E6"/>
    <w:rsid w:val="00151636"/>
    <w:rsid w:val="001522E4"/>
    <w:rsid w:val="00154B87"/>
    <w:rsid w:val="0015780F"/>
    <w:rsid w:val="00157BF5"/>
    <w:rsid w:val="00162A12"/>
    <w:rsid w:val="00166530"/>
    <w:rsid w:val="001702DB"/>
    <w:rsid w:val="00173F23"/>
    <w:rsid w:val="00174A2D"/>
    <w:rsid w:val="001823BE"/>
    <w:rsid w:val="001832BD"/>
    <w:rsid w:val="0018459E"/>
    <w:rsid w:val="00185742"/>
    <w:rsid w:val="00185C7D"/>
    <w:rsid w:val="00192C2F"/>
    <w:rsid w:val="00193E53"/>
    <w:rsid w:val="001943B5"/>
    <w:rsid w:val="00195134"/>
    <w:rsid w:val="00195269"/>
    <w:rsid w:val="001A145B"/>
    <w:rsid w:val="001A4AA3"/>
    <w:rsid w:val="001A5309"/>
    <w:rsid w:val="001A674C"/>
    <w:rsid w:val="001B0C5E"/>
    <w:rsid w:val="001B3B24"/>
    <w:rsid w:val="001C02AD"/>
    <w:rsid w:val="001C04B8"/>
    <w:rsid w:val="001C0F98"/>
    <w:rsid w:val="001C27F8"/>
    <w:rsid w:val="001C2A42"/>
    <w:rsid w:val="001C70B1"/>
    <w:rsid w:val="001D63ED"/>
    <w:rsid w:val="001D7348"/>
    <w:rsid w:val="001D73EC"/>
    <w:rsid w:val="001E035B"/>
    <w:rsid w:val="001E0961"/>
    <w:rsid w:val="001E3EAE"/>
    <w:rsid w:val="001E60A4"/>
    <w:rsid w:val="001E6F32"/>
    <w:rsid w:val="001F1CD9"/>
    <w:rsid w:val="001F2145"/>
    <w:rsid w:val="001F3B22"/>
    <w:rsid w:val="001F42A8"/>
    <w:rsid w:val="001F4641"/>
    <w:rsid w:val="001F6262"/>
    <w:rsid w:val="001F67B0"/>
    <w:rsid w:val="001F7B3D"/>
    <w:rsid w:val="0020410C"/>
    <w:rsid w:val="00205F9F"/>
    <w:rsid w:val="00210338"/>
    <w:rsid w:val="002115FC"/>
    <w:rsid w:val="0021423C"/>
    <w:rsid w:val="00230D00"/>
    <w:rsid w:val="00231DF7"/>
    <w:rsid w:val="00231FD1"/>
    <w:rsid w:val="00233825"/>
    <w:rsid w:val="002339E0"/>
    <w:rsid w:val="00233CF8"/>
    <w:rsid w:val="0023575D"/>
    <w:rsid w:val="002368CA"/>
    <w:rsid w:val="00237148"/>
    <w:rsid w:val="0024222D"/>
    <w:rsid w:val="00244B0E"/>
    <w:rsid w:val="00244F6C"/>
    <w:rsid w:val="00245A15"/>
    <w:rsid w:val="00246E0B"/>
    <w:rsid w:val="00247310"/>
    <w:rsid w:val="002511F1"/>
    <w:rsid w:val="0025211A"/>
    <w:rsid w:val="002532C5"/>
    <w:rsid w:val="002606D1"/>
    <w:rsid w:val="00260C03"/>
    <w:rsid w:val="0026540E"/>
    <w:rsid w:val="00271A34"/>
    <w:rsid w:val="00275123"/>
    <w:rsid w:val="002776BA"/>
    <w:rsid w:val="00282240"/>
    <w:rsid w:val="00282864"/>
    <w:rsid w:val="00292923"/>
    <w:rsid w:val="002948AD"/>
    <w:rsid w:val="002A01CC"/>
    <w:rsid w:val="002A5532"/>
    <w:rsid w:val="002A5C0A"/>
    <w:rsid w:val="002A61B1"/>
    <w:rsid w:val="002A663C"/>
    <w:rsid w:val="002B0A90"/>
    <w:rsid w:val="002B444B"/>
    <w:rsid w:val="002B476B"/>
    <w:rsid w:val="002B5887"/>
    <w:rsid w:val="002C0E27"/>
    <w:rsid w:val="002C3040"/>
    <w:rsid w:val="002D022D"/>
    <w:rsid w:val="002D24BB"/>
    <w:rsid w:val="002D2B15"/>
    <w:rsid w:val="002D7851"/>
    <w:rsid w:val="002E6D7D"/>
    <w:rsid w:val="002F2AF7"/>
    <w:rsid w:val="002F7E1C"/>
    <w:rsid w:val="003006BF"/>
    <w:rsid w:val="00301A75"/>
    <w:rsid w:val="00302F70"/>
    <w:rsid w:val="0030336F"/>
    <w:rsid w:val="0030375E"/>
    <w:rsid w:val="00310497"/>
    <w:rsid w:val="00312A30"/>
    <w:rsid w:val="003173D0"/>
    <w:rsid w:val="00320F72"/>
    <w:rsid w:val="0032457A"/>
    <w:rsid w:val="0032463E"/>
    <w:rsid w:val="00326224"/>
    <w:rsid w:val="0032752A"/>
    <w:rsid w:val="003311CF"/>
    <w:rsid w:val="00334E2F"/>
    <w:rsid w:val="003361FC"/>
    <w:rsid w:val="00336879"/>
    <w:rsid w:val="00337EE4"/>
    <w:rsid w:val="00340FFD"/>
    <w:rsid w:val="003415AB"/>
    <w:rsid w:val="003418B4"/>
    <w:rsid w:val="0034383F"/>
    <w:rsid w:val="003506B1"/>
    <w:rsid w:val="00355CB9"/>
    <w:rsid w:val="0035667C"/>
    <w:rsid w:val="00356AC7"/>
    <w:rsid w:val="003609FA"/>
    <w:rsid w:val="003672F8"/>
    <w:rsid w:val="003710C8"/>
    <w:rsid w:val="00371D96"/>
    <w:rsid w:val="00371DE4"/>
    <w:rsid w:val="003750BE"/>
    <w:rsid w:val="00376A67"/>
    <w:rsid w:val="00382B9F"/>
    <w:rsid w:val="0038408F"/>
    <w:rsid w:val="00387B9D"/>
    <w:rsid w:val="00390815"/>
    <w:rsid w:val="0039364F"/>
    <w:rsid w:val="00394AD5"/>
    <w:rsid w:val="00396686"/>
    <w:rsid w:val="0039778E"/>
    <w:rsid w:val="003A5E4B"/>
    <w:rsid w:val="003B4941"/>
    <w:rsid w:val="003C5714"/>
    <w:rsid w:val="003C6B9F"/>
    <w:rsid w:val="003C6E2A"/>
    <w:rsid w:val="003D0299"/>
    <w:rsid w:val="003D315E"/>
    <w:rsid w:val="003D5F20"/>
    <w:rsid w:val="003D7F95"/>
    <w:rsid w:val="003E38F3"/>
    <w:rsid w:val="003E43BA"/>
    <w:rsid w:val="003E4421"/>
    <w:rsid w:val="003E6D80"/>
    <w:rsid w:val="003E71B2"/>
    <w:rsid w:val="003E78FB"/>
    <w:rsid w:val="003F05FA"/>
    <w:rsid w:val="003F19A4"/>
    <w:rsid w:val="003F244A"/>
    <w:rsid w:val="003F30B8"/>
    <w:rsid w:val="003F4C45"/>
    <w:rsid w:val="003F5F7B"/>
    <w:rsid w:val="003F7D64"/>
    <w:rsid w:val="00400DBE"/>
    <w:rsid w:val="004041A3"/>
    <w:rsid w:val="00407A54"/>
    <w:rsid w:val="00414300"/>
    <w:rsid w:val="00425C67"/>
    <w:rsid w:val="00427E7A"/>
    <w:rsid w:val="0043046B"/>
    <w:rsid w:val="00433F5C"/>
    <w:rsid w:val="00436C49"/>
    <w:rsid w:val="00445366"/>
    <w:rsid w:val="00447F5B"/>
    <w:rsid w:val="0045333D"/>
    <w:rsid w:val="004544E9"/>
    <w:rsid w:val="00455AE5"/>
    <w:rsid w:val="0045649E"/>
    <w:rsid w:val="00461DB0"/>
    <w:rsid w:val="00463926"/>
    <w:rsid w:val="0046471C"/>
    <w:rsid w:val="00464C9A"/>
    <w:rsid w:val="00474F3D"/>
    <w:rsid w:val="00477E3A"/>
    <w:rsid w:val="00483E5F"/>
    <w:rsid w:val="00485FF9"/>
    <w:rsid w:val="00486BAB"/>
    <w:rsid w:val="004907F0"/>
    <w:rsid w:val="0049140B"/>
    <w:rsid w:val="004923A5"/>
    <w:rsid w:val="00496170"/>
    <w:rsid w:val="00496BFB"/>
    <w:rsid w:val="004A15C7"/>
    <w:rsid w:val="004A523E"/>
    <w:rsid w:val="004B013B"/>
    <w:rsid w:val="004B112B"/>
    <w:rsid w:val="004C01E4"/>
    <w:rsid w:val="004C086C"/>
    <w:rsid w:val="004C1F56"/>
    <w:rsid w:val="004C27BC"/>
    <w:rsid w:val="004C57E4"/>
    <w:rsid w:val="004D15F3"/>
    <w:rsid w:val="004D3CD4"/>
    <w:rsid w:val="004D5311"/>
    <w:rsid w:val="004D5DCC"/>
    <w:rsid w:val="004F10AF"/>
    <w:rsid w:val="004F11A4"/>
    <w:rsid w:val="004F2389"/>
    <w:rsid w:val="004F304D"/>
    <w:rsid w:val="004F61BE"/>
    <w:rsid w:val="004F66B1"/>
    <w:rsid w:val="0050038A"/>
    <w:rsid w:val="0050306E"/>
    <w:rsid w:val="00503DD6"/>
    <w:rsid w:val="005101B0"/>
    <w:rsid w:val="00511C07"/>
    <w:rsid w:val="00514BE1"/>
    <w:rsid w:val="005150D3"/>
    <w:rsid w:val="005150F1"/>
    <w:rsid w:val="005173A6"/>
    <w:rsid w:val="00520BAA"/>
    <w:rsid w:val="00525208"/>
    <w:rsid w:val="005257A5"/>
    <w:rsid w:val="00526394"/>
    <w:rsid w:val="005264C0"/>
    <w:rsid w:val="00526A8A"/>
    <w:rsid w:val="00531DF2"/>
    <w:rsid w:val="00533C33"/>
    <w:rsid w:val="0053494A"/>
    <w:rsid w:val="005442EE"/>
    <w:rsid w:val="00545C11"/>
    <w:rsid w:val="00547353"/>
    <w:rsid w:val="005474E7"/>
    <w:rsid w:val="005508AD"/>
    <w:rsid w:val="005512A3"/>
    <w:rsid w:val="005525CC"/>
    <w:rsid w:val="00556C6A"/>
    <w:rsid w:val="005578CE"/>
    <w:rsid w:val="00562781"/>
    <w:rsid w:val="00566240"/>
    <w:rsid w:val="00566ED7"/>
    <w:rsid w:val="0057271C"/>
    <w:rsid w:val="00572845"/>
    <w:rsid w:val="0057309C"/>
    <w:rsid w:val="0057542B"/>
    <w:rsid w:val="00580213"/>
    <w:rsid w:val="00592772"/>
    <w:rsid w:val="00592BEE"/>
    <w:rsid w:val="0059574A"/>
    <w:rsid w:val="00596459"/>
    <w:rsid w:val="005A1B9B"/>
    <w:rsid w:val="005A3373"/>
    <w:rsid w:val="005A3501"/>
    <w:rsid w:val="005A6751"/>
    <w:rsid w:val="005B0398"/>
    <w:rsid w:val="005B092E"/>
    <w:rsid w:val="005B152C"/>
    <w:rsid w:val="005B1EE0"/>
    <w:rsid w:val="005B2B24"/>
    <w:rsid w:val="005B4425"/>
    <w:rsid w:val="005B4B94"/>
    <w:rsid w:val="005B5DAB"/>
    <w:rsid w:val="005B65F5"/>
    <w:rsid w:val="005B790A"/>
    <w:rsid w:val="005C3EE8"/>
    <w:rsid w:val="005C7B8C"/>
    <w:rsid w:val="005D34F9"/>
    <w:rsid w:val="005D4190"/>
    <w:rsid w:val="005D4BF4"/>
    <w:rsid w:val="005D67A3"/>
    <w:rsid w:val="005D6997"/>
    <w:rsid w:val="005E2988"/>
    <w:rsid w:val="005E3085"/>
    <w:rsid w:val="005E35AB"/>
    <w:rsid w:val="005E62FE"/>
    <w:rsid w:val="005F51E1"/>
    <w:rsid w:val="0060188B"/>
    <w:rsid w:val="00611C80"/>
    <w:rsid w:val="00613157"/>
    <w:rsid w:val="00620692"/>
    <w:rsid w:val="006242CA"/>
    <w:rsid w:val="00627507"/>
    <w:rsid w:val="006320CF"/>
    <w:rsid w:val="00633717"/>
    <w:rsid w:val="006344E1"/>
    <w:rsid w:val="00641385"/>
    <w:rsid w:val="0065176D"/>
    <w:rsid w:val="00652190"/>
    <w:rsid w:val="006545C4"/>
    <w:rsid w:val="00661971"/>
    <w:rsid w:val="00661CE8"/>
    <w:rsid w:val="006623D9"/>
    <w:rsid w:val="0066550C"/>
    <w:rsid w:val="006716F2"/>
    <w:rsid w:val="00672693"/>
    <w:rsid w:val="00675D1E"/>
    <w:rsid w:val="00682BF2"/>
    <w:rsid w:val="0068322A"/>
    <w:rsid w:val="006859CE"/>
    <w:rsid w:val="00691270"/>
    <w:rsid w:val="00691F06"/>
    <w:rsid w:val="00694BA8"/>
    <w:rsid w:val="0069506A"/>
    <w:rsid w:val="00696825"/>
    <w:rsid w:val="006A037C"/>
    <w:rsid w:val="006A1F8B"/>
    <w:rsid w:val="006A36F4"/>
    <w:rsid w:val="006A406F"/>
    <w:rsid w:val="006A5D3A"/>
    <w:rsid w:val="006A73CE"/>
    <w:rsid w:val="006B0F25"/>
    <w:rsid w:val="006B61A7"/>
    <w:rsid w:val="006B7382"/>
    <w:rsid w:val="006C23D4"/>
    <w:rsid w:val="006C3418"/>
    <w:rsid w:val="006C7BB0"/>
    <w:rsid w:val="006D3237"/>
    <w:rsid w:val="006D3E41"/>
    <w:rsid w:val="006D4D42"/>
    <w:rsid w:val="006E1A11"/>
    <w:rsid w:val="006E2E37"/>
    <w:rsid w:val="006E36AC"/>
    <w:rsid w:val="006E3CF1"/>
    <w:rsid w:val="006E4348"/>
    <w:rsid w:val="006E6CB4"/>
    <w:rsid w:val="006E7E80"/>
    <w:rsid w:val="006F38F8"/>
    <w:rsid w:val="006F48CA"/>
    <w:rsid w:val="006F50D2"/>
    <w:rsid w:val="006F64DD"/>
    <w:rsid w:val="007058D5"/>
    <w:rsid w:val="00706880"/>
    <w:rsid w:val="00715127"/>
    <w:rsid w:val="00715E8E"/>
    <w:rsid w:val="007232A0"/>
    <w:rsid w:val="00723580"/>
    <w:rsid w:val="00723755"/>
    <w:rsid w:val="00726904"/>
    <w:rsid w:val="0073136C"/>
    <w:rsid w:val="00731F0F"/>
    <w:rsid w:val="007331F9"/>
    <w:rsid w:val="00733250"/>
    <w:rsid w:val="00741404"/>
    <w:rsid w:val="007449E5"/>
    <w:rsid w:val="00747FF0"/>
    <w:rsid w:val="007619CB"/>
    <w:rsid w:val="00764D4E"/>
    <w:rsid w:val="00765A1F"/>
    <w:rsid w:val="00765A33"/>
    <w:rsid w:val="00766B40"/>
    <w:rsid w:val="00767AD3"/>
    <w:rsid w:val="00771804"/>
    <w:rsid w:val="00772125"/>
    <w:rsid w:val="0077491B"/>
    <w:rsid w:val="00775B6D"/>
    <w:rsid w:val="00776D68"/>
    <w:rsid w:val="00781F37"/>
    <w:rsid w:val="007832BC"/>
    <w:rsid w:val="007850EE"/>
    <w:rsid w:val="0078534F"/>
    <w:rsid w:val="00785B95"/>
    <w:rsid w:val="00790E96"/>
    <w:rsid w:val="00793366"/>
    <w:rsid w:val="007935AA"/>
    <w:rsid w:val="0079500C"/>
    <w:rsid w:val="00795224"/>
    <w:rsid w:val="00796B2A"/>
    <w:rsid w:val="007A3CAA"/>
    <w:rsid w:val="007A7065"/>
    <w:rsid w:val="007A716F"/>
    <w:rsid w:val="007A7349"/>
    <w:rsid w:val="007B02B8"/>
    <w:rsid w:val="007B270A"/>
    <w:rsid w:val="007B317F"/>
    <w:rsid w:val="007C0695"/>
    <w:rsid w:val="007C419A"/>
    <w:rsid w:val="007C4CC8"/>
    <w:rsid w:val="007C5426"/>
    <w:rsid w:val="007C5798"/>
    <w:rsid w:val="007C5CF4"/>
    <w:rsid w:val="007D2514"/>
    <w:rsid w:val="007D46AE"/>
    <w:rsid w:val="007D4832"/>
    <w:rsid w:val="007E21B2"/>
    <w:rsid w:val="007E2C4E"/>
    <w:rsid w:val="007E48DE"/>
    <w:rsid w:val="007F1905"/>
    <w:rsid w:val="007F4252"/>
    <w:rsid w:val="007F6D5E"/>
    <w:rsid w:val="00802C64"/>
    <w:rsid w:val="008045B7"/>
    <w:rsid w:val="00805E52"/>
    <w:rsid w:val="008061D0"/>
    <w:rsid w:val="00810B38"/>
    <w:rsid w:val="00820497"/>
    <w:rsid w:val="008204C7"/>
    <w:rsid w:val="00820992"/>
    <w:rsid w:val="0082249E"/>
    <w:rsid w:val="00823602"/>
    <w:rsid w:val="008236DF"/>
    <w:rsid w:val="008255F5"/>
    <w:rsid w:val="008263D1"/>
    <w:rsid w:val="0083014E"/>
    <w:rsid w:val="00830D7A"/>
    <w:rsid w:val="0083214A"/>
    <w:rsid w:val="00834220"/>
    <w:rsid w:val="00842319"/>
    <w:rsid w:val="00845723"/>
    <w:rsid w:val="00846B75"/>
    <w:rsid w:val="008503B6"/>
    <w:rsid w:val="00851EF9"/>
    <w:rsid w:val="008577FD"/>
    <w:rsid w:val="00860B03"/>
    <w:rsid w:val="00862550"/>
    <w:rsid w:val="0086497A"/>
    <w:rsid w:val="00864F5C"/>
    <w:rsid w:val="008713A1"/>
    <w:rsid w:val="00872A4A"/>
    <w:rsid w:val="008746D1"/>
    <w:rsid w:val="00874BD3"/>
    <w:rsid w:val="008754AB"/>
    <w:rsid w:val="0088060C"/>
    <w:rsid w:val="00881D46"/>
    <w:rsid w:val="00882401"/>
    <w:rsid w:val="00890321"/>
    <w:rsid w:val="008910DC"/>
    <w:rsid w:val="00893063"/>
    <w:rsid w:val="00893576"/>
    <w:rsid w:val="00893E73"/>
    <w:rsid w:val="008945EE"/>
    <w:rsid w:val="00896934"/>
    <w:rsid w:val="008A1B59"/>
    <w:rsid w:val="008A2882"/>
    <w:rsid w:val="008A4497"/>
    <w:rsid w:val="008A5888"/>
    <w:rsid w:val="008A6DCA"/>
    <w:rsid w:val="008B02DC"/>
    <w:rsid w:val="008B2457"/>
    <w:rsid w:val="008B2B31"/>
    <w:rsid w:val="008B57CE"/>
    <w:rsid w:val="008B7B98"/>
    <w:rsid w:val="008C1DFA"/>
    <w:rsid w:val="008C26DE"/>
    <w:rsid w:val="008C5CDD"/>
    <w:rsid w:val="008D2225"/>
    <w:rsid w:val="008D3B9A"/>
    <w:rsid w:val="008D40C0"/>
    <w:rsid w:val="008D4752"/>
    <w:rsid w:val="008D7B6F"/>
    <w:rsid w:val="008E271C"/>
    <w:rsid w:val="008E345D"/>
    <w:rsid w:val="008E418E"/>
    <w:rsid w:val="008E5BC6"/>
    <w:rsid w:val="008E63DE"/>
    <w:rsid w:val="008E6A25"/>
    <w:rsid w:val="008F5193"/>
    <w:rsid w:val="008F64B5"/>
    <w:rsid w:val="009013A7"/>
    <w:rsid w:val="009017FB"/>
    <w:rsid w:val="009017FC"/>
    <w:rsid w:val="00904BBE"/>
    <w:rsid w:val="0090506B"/>
    <w:rsid w:val="009050C9"/>
    <w:rsid w:val="009066FC"/>
    <w:rsid w:val="00912E8D"/>
    <w:rsid w:val="00913075"/>
    <w:rsid w:val="009140A3"/>
    <w:rsid w:val="009144A2"/>
    <w:rsid w:val="00914B5F"/>
    <w:rsid w:val="0091510C"/>
    <w:rsid w:val="00916F93"/>
    <w:rsid w:val="00917527"/>
    <w:rsid w:val="0092115F"/>
    <w:rsid w:val="009258B9"/>
    <w:rsid w:val="009259AC"/>
    <w:rsid w:val="00926F38"/>
    <w:rsid w:val="00934150"/>
    <w:rsid w:val="00934301"/>
    <w:rsid w:val="00935B4C"/>
    <w:rsid w:val="009366CB"/>
    <w:rsid w:val="00936CD1"/>
    <w:rsid w:val="00941747"/>
    <w:rsid w:val="00941EFB"/>
    <w:rsid w:val="00947AFB"/>
    <w:rsid w:val="00951D7D"/>
    <w:rsid w:val="0095396D"/>
    <w:rsid w:val="00954598"/>
    <w:rsid w:val="009608AB"/>
    <w:rsid w:val="00960FF6"/>
    <w:rsid w:val="009630C7"/>
    <w:rsid w:val="009713F8"/>
    <w:rsid w:val="00972B55"/>
    <w:rsid w:val="009743B7"/>
    <w:rsid w:val="00974794"/>
    <w:rsid w:val="0098228B"/>
    <w:rsid w:val="00982681"/>
    <w:rsid w:val="009828DA"/>
    <w:rsid w:val="00985BAB"/>
    <w:rsid w:val="0099668E"/>
    <w:rsid w:val="00996DAA"/>
    <w:rsid w:val="009A14DF"/>
    <w:rsid w:val="009B0A49"/>
    <w:rsid w:val="009B1B5F"/>
    <w:rsid w:val="009B3520"/>
    <w:rsid w:val="009B6673"/>
    <w:rsid w:val="009C191B"/>
    <w:rsid w:val="009C2BD6"/>
    <w:rsid w:val="009C3D41"/>
    <w:rsid w:val="009C580C"/>
    <w:rsid w:val="009C6909"/>
    <w:rsid w:val="009E0462"/>
    <w:rsid w:val="009E1F32"/>
    <w:rsid w:val="009E776C"/>
    <w:rsid w:val="009F3D5D"/>
    <w:rsid w:val="009F68D3"/>
    <w:rsid w:val="009F7361"/>
    <w:rsid w:val="00A01293"/>
    <w:rsid w:val="00A01FCA"/>
    <w:rsid w:val="00A108BF"/>
    <w:rsid w:val="00A14D27"/>
    <w:rsid w:val="00A1657A"/>
    <w:rsid w:val="00A1726E"/>
    <w:rsid w:val="00A204CF"/>
    <w:rsid w:val="00A23D49"/>
    <w:rsid w:val="00A27004"/>
    <w:rsid w:val="00A30C29"/>
    <w:rsid w:val="00A34C9B"/>
    <w:rsid w:val="00A34DD6"/>
    <w:rsid w:val="00A36819"/>
    <w:rsid w:val="00A36989"/>
    <w:rsid w:val="00A3753D"/>
    <w:rsid w:val="00A43628"/>
    <w:rsid w:val="00A46A1D"/>
    <w:rsid w:val="00A510F4"/>
    <w:rsid w:val="00A537FA"/>
    <w:rsid w:val="00A54192"/>
    <w:rsid w:val="00A6035E"/>
    <w:rsid w:val="00A6144C"/>
    <w:rsid w:val="00A629D7"/>
    <w:rsid w:val="00A66617"/>
    <w:rsid w:val="00A671F8"/>
    <w:rsid w:val="00A673A4"/>
    <w:rsid w:val="00A724AE"/>
    <w:rsid w:val="00A73329"/>
    <w:rsid w:val="00A737D1"/>
    <w:rsid w:val="00A82359"/>
    <w:rsid w:val="00A865D2"/>
    <w:rsid w:val="00A94C20"/>
    <w:rsid w:val="00A96F09"/>
    <w:rsid w:val="00AA227F"/>
    <w:rsid w:val="00AA3BC7"/>
    <w:rsid w:val="00AA4944"/>
    <w:rsid w:val="00AA521C"/>
    <w:rsid w:val="00AA754A"/>
    <w:rsid w:val="00AB099E"/>
    <w:rsid w:val="00AB4328"/>
    <w:rsid w:val="00AC6FF5"/>
    <w:rsid w:val="00AD6517"/>
    <w:rsid w:val="00AE0A2E"/>
    <w:rsid w:val="00AE2EEB"/>
    <w:rsid w:val="00AE354C"/>
    <w:rsid w:val="00AF1E4F"/>
    <w:rsid w:val="00AF4B07"/>
    <w:rsid w:val="00AF6186"/>
    <w:rsid w:val="00AF6D24"/>
    <w:rsid w:val="00AF7A3A"/>
    <w:rsid w:val="00B0099F"/>
    <w:rsid w:val="00B024FA"/>
    <w:rsid w:val="00B100B4"/>
    <w:rsid w:val="00B160DB"/>
    <w:rsid w:val="00B166FF"/>
    <w:rsid w:val="00B17D20"/>
    <w:rsid w:val="00B20836"/>
    <w:rsid w:val="00B218D2"/>
    <w:rsid w:val="00B235BB"/>
    <w:rsid w:val="00B24701"/>
    <w:rsid w:val="00B27A44"/>
    <w:rsid w:val="00B30BBF"/>
    <w:rsid w:val="00B33C03"/>
    <w:rsid w:val="00B353AC"/>
    <w:rsid w:val="00B360E7"/>
    <w:rsid w:val="00B363BE"/>
    <w:rsid w:val="00B44E56"/>
    <w:rsid w:val="00B46543"/>
    <w:rsid w:val="00B47274"/>
    <w:rsid w:val="00B475CA"/>
    <w:rsid w:val="00B47D33"/>
    <w:rsid w:val="00B515B1"/>
    <w:rsid w:val="00B52BE0"/>
    <w:rsid w:val="00B54133"/>
    <w:rsid w:val="00B54EF7"/>
    <w:rsid w:val="00B701ED"/>
    <w:rsid w:val="00B75FDB"/>
    <w:rsid w:val="00B8086C"/>
    <w:rsid w:val="00B861B4"/>
    <w:rsid w:val="00B86DFE"/>
    <w:rsid w:val="00B90220"/>
    <w:rsid w:val="00B90990"/>
    <w:rsid w:val="00B922FF"/>
    <w:rsid w:val="00B9281E"/>
    <w:rsid w:val="00B93925"/>
    <w:rsid w:val="00B95187"/>
    <w:rsid w:val="00BA00A3"/>
    <w:rsid w:val="00BA2D55"/>
    <w:rsid w:val="00BA3799"/>
    <w:rsid w:val="00BA71B1"/>
    <w:rsid w:val="00BB0637"/>
    <w:rsid w:val="00BB2C4B"/>
    <w:rsid w:val="00BB345F"/>
    <w:rsid w:val="00BB68EA"/>
    <w:rsid w:val="00BB7ABA"/>
    <w:rsid w:val="00BC0171"/>
    <w:rsid w:val="00BC13F4"/>
    <w:rsid w:val="00BC1C27"/>
    <w:rsid w:val="00BC4408"/>
    <w:rsid w:val="00BC57CF"/>
    <w:rsid w:val="00BC6BBF"/>
    <w:rsid w:val="00BD1572"/>
    <w:rsid w:val="00BD168A"/>
    <w:rsid w:val="00BD7CFD"/>
    <w:rsid w:val="00BE14E3"/>
    <w:rsid w:val="00BE3774"/>
    <w:rsid w:val="00BE41E5"/>
    <w:rsid w:val="00BE4A0E"/>
    <w:rsid w:val="00BF4109"/>
    <w:rsid w:val="00BF4CC3"/>
    <w:rsid w:val="00BF5DD1"/>
    <w:rsid w:val="00C054C7"/>
    <w:rsid w:val="00C057B5"/>
    <w:rsid w:val="00C06F39"/>
    <w:rsid w:val="00C17772"/>
    <w:rsid w:val="00C22283"/>
    <w:rsid w:val="00C22687"/>
    <w:rsid w:val="00C23BE3"/>
    <w:rsid w:val="00C32E4D"/>
    <w:rsid w:val="00C333A0"/>
    <w:rsid w:val="00C36A81"/>
    <w:rsid w:val="00C40FE4"/>
    <w:rsid w:val="00C41974"/>
    <w:rsid w:val="00C52175"/>
    <w:rsid w:val="00C53F4A"/>
    <w:rsid w:val="00C54125"/>
    <w:rsid w:val="00C55B54"/>
    <w:rsid w:val="00C571EE"/>
    <w:rsid w:val="00C57DDD"/>
    <w:rsid w:val="00C6098E"/>
    <w:rsid w:val="00C6141A"/>
    <w:rsid w:val="00C6152C"/>
    <w:rsid w:val="00C70CEA"/>
    <w:rsid w:val="00C71D51"/>
    <w:rsid w:val="00C74810"/>
    <w:rsid w:val="00C90D68"/>
    <w:rsid w:val="00C9193E"/>
    <w:rsid w:val="00C939FE"/>
    <w:rsid w:val="00CA4BDA"/>
    <w:rsid w:val="00CB1F66"/>
    <w:rsid w:val="00CB2951"/>
    <w:rsid w:val="00CB3A65"/>
    <w:rsid w:val="00CB6219"/>
    <w:rsid w:val="00CD05A2"/>
    <w:rsid w:val="00CD282B"/>
    <w:rsid w:val="00CD3FB6"/>
    <w:rsid w:val="00CD4C35"/>
    <w:rsid w:val="00CD7369"/>
    <w:rsid w:val="00CE02F9"/>
    <w:rsid w:val="00CE0B0E"/>
    <w:rsid w:val="00CE3831"/>
    <w:rsid w:val="00CE4D6A"/>
    <w:rsid w:val="00CF1DF7"/>
    <w:rsid w:val="00D00ABB"/>
    <w:rsid w:val="00D02EEC"/>
    <w:rsid w:val="00D03551"/>
    <w:rsid w:val="00D06A63"/>
    <w:rsid w:val="00D07E0E"/>
    <w:rsid w:val="00D11478"/>
    <w:rsid w:val="00D13202"/>
    <w:rsid w:val="00D1353F"/>
    <w:rsid w:val="00D15738"/>
    <w:rsid w:val="00D15ED0"/>
    <w:rsid w:val="00D15F2C"/>
    <w:rsid w:val="00D21B3E"/>
    <w:rsid w:val="00D21FED"/>
    <w:rsid w:val="00D24251"/>
    <w:rsid w:val="00D342E9"/>
    <w:rsid w:val="00D343E2"/>
    <w:rsid w:val="00D361A2"/>
    <w:rsid w:val="00D42C12"/>
    <w:rsid w:val="00D44C2E"/>
    <w:rsid w:val="00D45414"/>
    <w:rsid w:val="00D45BD1"/>
    <w:rsid w:val="00D527E3"/>
    <w:rsid w:val="00D545D3"/>
    <w:rsid w:val="00D566BD"/>
    <w:rsid w:val="00D57A4D"/>
    <w:rsid w:val="00D60AA7"/>
    <w:rsid w:val="00D6435F"/>
    <w:rsid w:val="00D73F3C"/>
    <w:rsid w:val="00D75E28"/>
    <w:rsid w:val="00D772C2"/>
    <w:rsid w:val="00D8008E"/>
    <w:rsid w:val="00D806E3"/>
    <w:rsid w:val="00D82156"/>
    <w:rsid w:val="00D82C45"/>
    <w:rsid w:val="00D82DEB"/>
    <w:rsid w:val="00D908A8"/>
    <w:rsid w:val="00D94D94"/>
    <w:rsid w:val="00D977B6"/>
    <w:rsid w:val="00DA464A"/>
    <w:rsid w:val="00DA4A31"/>
    <w:rsid w:val="00DA7B04"/>
    <w:rsid w:val="00DB36C2"/>
    <w:rsid w:val="00DC169B"/>
    <w:rsid w:val="00DC2AB9"/>
    <w:rsid w:val="00DC4033"/>
    <w:rsid w:val="00DC63F0"/>
    <w:rsid w:val="00DD3DC6"/>
    <w:rsid w:val="00DD6EE5"/>
    <w:rsid w:val="00DE2D71"/>
    <w:rsid w:val="00DE386C"/>
    <w:rsid w:val="00DE416A"/>
    <w:rsid w:val="00DE4D35"/>
    <w:rsid w:val="00DF098B"/>
    <w:rsid w:val="00DF11C4"/>
    <w:rsid w:val="00DF1612"/>
    <w:rsid w:val="00DF210C"/>
    <w:rsid w:val="00DF4B6A"/>
    <w:rsid w:val="00E02C09"/>
    <w:rsid w:val="00E0345B"/>
    <w:rsid w:val="00E048ED"/>
    <w:rsid w:val="00E04D59"/>
    <w:rsid w:val="00E07DA1"/>
    <w:rsid w:val="00E123CB"/>
    <w:rsid w:val="00E12972"/>
    <w:rsid w:val="00E13871"/>
    <w:rsid w:val="00E20E13"/>
    <w:rsid w:val="00E21DBC"/>
    <w:rsid w:val="00E26C68"/>
    <w:rsid w:val="00E272BA"/>
    <w:rsid w:val="00E275D7"/>
    <w:rsid w:val="00E27DBE"/>
    <w:rsid w:val="00E321D7"/>
    <w:rsid w:val="00E32AB1"/>
    <w:rsid w:val="00E3449B"/>
    <w:rsid w:val="00E36C71"/>
    <w:rsid w:val="00E36F4C"/>
    <w:rsid w:val="00E37C5E"/>
    <w:rsid w:val="00E40404"/>
    <w:rsid w:val="00E412DC"/>
    <w:rsid w:val="00E429E3"/>
    <w:rsid w:val="00E43525"/>
    <w:rsid w:val="00E459C6"/>
    <w:rsid w:val="00E47589"/>
    <w:rsid w:val="00E50344"/>
    <w:rsid w:val="00E57091"/>
    <w:rsid w:val="00E61CB3"/>
    <w:rsid w:val="00E63E9C"/>
    <w:rsid w:val="00E64795"/>
    <w:rsid w:val="00E64915"/>
    <w:rsid w:val="00E661D4"/>
    <w:rsid w:val="00E70091"/>
    <w:rsid w:val="00E720F5"/>
    <w:rsid w:val="00E76D47"/>
    <w:rsid w:val="00E775AD"/>
    <w:rsid w:val="00E81B07"/>
    <w:rsid w:val="00E849F7"/>
    <w:rsid w:val="00E85907"/>
    <w:rsid w:val="00E87518"/>
    <w:rsid w:val="00E90302"/>
    <w:rsid w:val="00E91D00"/>
    <w:rsid w:val="00E97396"/>
    <w:rsid w:val="00E97C7F"/>
    <w:rsid w:val="00E97EDD"/>
    <w:rsid w:val="00EA185E"/>
    <w:rsid w:val="00EA592A"/>
    <w:rsid w:val="00EB14E4"/>
    <w:rsid w:val="00EB32A5"/>
    <w:rsid w:val="00EB34ED"/>
    <w:rsid w:val="00EB447C"/>
    <w:rsid w:val="00EB7BE0"/>
    <w:rsid w:val="00EC315E"/>
    <w:rsid w:val="00EC5274"/>
    <w:rsid w:val="00ED077C"/>
    <w:rsid w:val="00ED1190"/>
    <w:rsid w:val="00ED6544"/>
    <w:rsid w:val="00EE0277"/>
    <w:rsid w:val="00EE2080"/>
    <w:rsid w:val="00EE2474"/>
    <w:rsid w:val="00EE3E00"/>
    <w:rsid w:val="00EE43AF"/>
    <w:rsid w:val="00EE44DB"/>
    <w:rsid w:val="00EE5DD2"/>
    <w:rsid w:val="00F00A79"/>
    <w:rsid w:val="00F00E86"/>
    <w:rsid w:val="00F0117E"/>
    <w:rsid w:val="00F07C1E"/>
    <w:rsid w:val="00F105DB"/>
    <w:rsid w:val="00F10AFC"/>
    <w:rsid w:val="00F132BC"/>
    <w:rsid w:val="00F13D80"/>
    <w:rsid w:val="00F16AAA"/>
    <w:rsid w:val="00F20FAD"/>
    <w:rsid w:val="00F21161"/>
    <w:rsid w:val="00F218EF"/>
    <w:rsid w:val="00F21BC7"/>
    <w:rsid w:val="00F2502B"/>
    <w:rsid w:val="00F266A2"/>
    <w:rsid w:val="00F30716"/>
    <w:rsid w:val="00F32269"/>
    <w:rsid w:val="00F32EA7"/>
    <w:rsid w:val="00F47669"/>
    <w:rsid w:val="00F5197B"/>
    <w:rsid w:val="00F56A6F"/>
    <w:rsid w:val="00F5709C"/>
    <w:rsid w:val="00F6348B"/>
    <w:rsid w:val="00F63F02"/>
    <w:rsid w:val="00F63F2D"/>
    <w:rsid w:val="00F64EF1"/>
    <w:rsid w:val="00F65B4A"/>
    <w:rsid w:val="00F6758C"/>
    <w:rsid w:val="00F80F03"/>
    <w:rsid w:val="00F8765F"/>
    <w:rsid w:val="00F87785"/>
    <w:rsid w:val="00F90767"/>
    <w:rsid w:val="00F92159"/>
    <w:rsid w:val="00F94609"/>
    <w:rsid w:val="00FA46F9"/>
    <w:rsid w:val="00FA5783"/>
    <w:rsid w:val="00FA685B"/>
    <w:rsid w:val="00FA6D4F"/>
    <w:rsid w:val="00FA7322"/>
    <w:rsid w:val="00FB013E"/>
    <w:rsid w:val="00FB0C01"/>
    <w:rsid w:val="00FC18F2"/>
    <w:rsid w:val="00FC34C7"/>
    <w:rsid w:val="00FC39E5"/>
    <w:rsid w:val="00FC3A78"/>
    <w:rsid w:val="00FC402A"/>
    <w:rsid w:val="00FD0EA1"/>
    <w:rsid w:val="00FD1005"/>
    <w:rsid w:val="00FD10FC"/>
    <w:rsid w:val="00FD6C75"/>
    <w:rsid w:val="00FE1EFB"/>
    <w:rsid w:val="00FE4611"/>
    <w:rsid w:val="00FE6706"/>
    <w:rsid w:val="00FE71B3"/>
    <w:rsid w:val="00FF09D7"/>
    <w:rsid w:val="00FF42C5"/>
    <w:rsid w:val="00FF4B8D"/>
    <w:rsid w:val="00FF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annotation reference" w:uiPriority="0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2">
    <w:name w:val="Normal"/>
    <w:semiHidden/>
    <w:rsid w:val="0045649E"/>
    <w:pPr>
      <w:jc w:val="both"/>
    </w:pPr>
    <w:rPr>
      <w:rFonts w:eastAsiaTheme="minorEastAsia"/>
      <w:sz w:val="24"/>
    </w:rPr>
  </w:style>
  <w:style w:type="paragraph" w:styleId="1">
    <w:name w:val="heading 1"/>
    <w:basedOn w:val="a2"/>
    <w:next w:val="a2"/>
    <w:link w:val="10"/>
    <w:uiPriority w:val="99"/>
    <w:rsid w:val="0045649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rsid w:val="0045649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9"/>
    <w:semiHidden/>
    <w:rsid w:val="0045649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41">
    <w:name w:val="heading 4"/>
    <w:basedOn w:val="a2"/>
    <w:next w:val="a2"/>
    <w:link w:val="42"/>
    <w:uiPriority w:val="99"/>
    <w:semiHidden/>
    <w:rsid w:val="0045649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51">
    <w:name w:val="heading 5"/>
    <w:basedOn w:val="a2"/>
    <w:next w:val="a2"/>
    <w:link w:val="52"/>
    <w:uiPriority w:val="99"/>
    <w:semiHidden/>
    <w:qFormat/>
    <w:rsid w:val="0045649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6">
    <w:name w:val="heading 6"/>
    <w:basedOn w:val="a2"/>
    <w:next w:val="a2"/>
    <w:link w:val="60"/>
    <w:uiPriority w:val="99"/>
    <w:semiHidden/>
    <w:rsid w:val="0045649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7">
    <w:name w:val="heading 7"/>
    <w:basedOn w:val="a2"/>
    <w:next w:val="a2"/>
    <w:link w:val="70"/>
    <w:uiPriority w:val="99"/>
    <w:semiHidden/>
    <w:qFormat/>
    <w:rsid w:val="0045649E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8">
    <w:name w:val="heading 8"/>
    <w:basedOn w:val="a2"/>
    <w:next w:val="a2"/>
    <w:link w:val="80"/>
    <w:uiPriority w:val="99"/>
    <w:semiHidden/>
    <w:qFormat/>
    <w:rsid w:val="0045649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9"/>
    <w:semiHidden/>
    <w:qFormat/>
    <w:rsid w:val="0045649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456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45649E"/>
    <w:rPr>
      <w:rFonts w:ascii="Tahoma" w:eastAsiaTheme="minorEastAsia" w:hAnsi="Tahoma" w:cs="Tahoma"/>
      <w:sz w:val="16"/>
      <w:szCs w:val="16"/>
    </w:rPr>
  </w:style>
  <w:style w:type="character" w:styleId="a8">
    <w:name w:val="Book Title"/>
    <w:uiPriority w:val="99"/>
    <w:qFormat/>
    <w:rsid w:val="0045649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a9"/>
    <w:uiPriority w:val="4"/>
    <w:qFormat/>
    <w:rsid w:val="0045649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OpiPara">
    <w:name w:val="Opi_Para"/>
    <w:basedOn w:val="ECHRPara"/>
    <w:uiPriority w:val="46"/>
    <w:qFormat/>
    <w:rsid w:val="0045649E"/>
  </w:style>
  <w:style w:type="character" w:styleId="aa">
    <w:name w:val="Strong"/>
    <w:uiPriority w:val="99"/>
    <w:qFormat/>
    <w:rsid w:val="0045649E"/>
    <w:rPr>
      <w:b/>
      <w:bCs/>
    </w:rPr>
  </w:style>
  <w:style w:type="paragraph" w:styleId="ab">
    <w:name w:val="No Spacing"/>
    <w:basedOn w:val="a2"/>
    <w:link w:val="ac"/>
    <w:qFormat/>
    <w:rsid w:val="0045649E"/>
  </w:style>
  <w:style w:type="character" w:customStyle="1" w:styleId="ac">
    <w:name w:val="Без интервала Знак"/>
    <w:basedOn w:val="a3"/>
    <w:link w:val="ab"/>
    <w:rsid w:val="0045649E"/>
    <w:rPr>
      <w:rFonts w:eastAsiaTheme="minorEastAsia"/>
      <w:sz w:val="24"/>
    </w:rPr>
  </w:style>
  <w:style w:type="paragraph" w:customStyle="1" w:styleId="ECHRParaQuote">
    <w:name w:val="ECHR_Para_Quote"/>
    <w:aliases w:val="Ju_Quot"/>
    <w:basedOn w:val="a2"/>
    <w:qFormat/>
    <w:rsid w:val="0045649E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unhideWhenUsed/>
    <w:qFormat/>
    <w:rsid w:val="0045649E"/>
    <w:pPr>
      <w:ind w:left="284"/>
    </w:pPr>
  </w:style>
  <w:style w:type="paragraph" w:customStyle="1" w:styleId="OpiParaSub">
    <w:name w:val="Opi_Para_Sub"/>
    <w:basedOn w:val="JuParaSub"/>
    <w:uiPriority w:val="47"/>
    <w:unhideWhenUsed/>
    <w:qFormat/>
    <w:rsid w:val="0045649E"/>
  </w:style>
  <w:style w:type="paragraph" w:customStyle="1" w:styleId="OpiQuot">
    <w:name w:val="Opi_Quot"/>
    <w:basedOn w:val="ECHRParaQuote"/>
    <w:uiPriority w:val="48"/>
    <w:qFormat/>
    <w:rsid w:val="0045649E"/>
  </w:style>
  <w:style w:type="paragraph" w:customStyle="1" w:styleId="OpiQuotSub">
    <w:name w:val="Opi_Quot_Sub"/>
    <w:basedOn w:val="JuQuotSub"/>
    <w:uiPriority w:val="49"/>
    <w:qFormat/>
    <w:rsid w:val="0045649E"/>
  </w:style>
  <w:style w:type="paragraph" w:customStyle="1" w:styleId="ECHRTitleCentre3">
    <w:name w:val="ECHR_Title_Centre_3"/>
    <w:aliases w:val="Ju_H_Article"/>
    <w:basedOn w:val="a2"/>
    <w:next w:val="ECHRParaQuote"/>
    <w:uiPriority w:val="27"/>
    <w:qFormat/>
    <w:rsid w:val="0045649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a2"/>
    <w:next w:val="OpiPara"/>
    <w:uiPriority w:val="39"/>
    <w:qFormat/>
    <w:rsid w:val="0045649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45649E"/>
    <w:pPr>
      <w:ind w:left="567"/>
    </w:pPr>
  </w:style>
  <w:style w:type="paragraph" w:customStyle="1" w:styleId="ECHRTitle1">
    <w:name w:val="ECHR_Title_1"/>
    <w:aliases w:val="Ju_H_Head"/>
    <w:basedOn w:val="a2"/>
    <w:next w:val="ECHRPara"/>
    <w:uiPriority w:val="18"/>
    <w:qFormat/>
    <w:rsid w:val="0045649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a2"/>
    <w:qFormat/>
    <w:rsid w:val="0045649E"/>
    <w:pPr>
      <w:tabs>
        <w:tab w:val="center" w:pos="6407"/>
      </w:tabs>
      <w:spacing w:before="720"/>
      <w:jc w:val="right"/>
    </w:pPr>
  </w:style>
  <w:style w:type="paragraph" w:customStyle="1" w:styleId="JuSigned">
    <w:name w:val="Ju_Signed"/>
    <w:basedOn w:val="a2"/>
    <w:next w:val="JuParaLast"/>
    <w:uiPriority w:val="32"/>
    <w:qFormat/>
    <w:rsid w:val="0045649E"/>
    <w:pPr>
      <w:tabs>
        <w:tab w:val="center" w:pos="851"/>
        <w:tab w:val="center" w:pos="6407"/>
      </w:tabs>
      <w:spacing w:before="720"/>
      <w:jc w:val="left"/>
    </w:pPr>
  </w:style>
  <w:style w:type="paragraph" w:styleId="ad">
    <w:name w:val="Title"/>
    <w:basedOn w:val="a2"/>
    <w:next w:val="a2"/>
    <w:link w:val="ae"/>
    <w:uiPriority w:val="99"/>
    <w:qFormat/>
    <w:rsid w:val="0045649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e">
    <w:name w:val="Название Знак"/>
    <w:basedOn w:val="a3"/>
    <w:link w:val="ad"/>
    <w:uiPriority w:val="99"/>
    <w:rsid w:val="0045649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45649E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45649E"/>
    <w:rPr>
      <w:caps w:val="0"/>
      <w:smallCaps/>
    </w:rPr>
  </w:style>
  <w:style w:type="character" w:customStyle="1" w:styleId="JuITMark">
    <w:name w:val="Ju_ITMark"/>
    <w:basedOn w:val="a3"/>
    <w:uiPriority w:val="38"/>
    <w:qFormat/>
    <w:rsid w:val="0045649E"/>
    <w:rPr>
      <w:vanish w:val="0"/>
      <w:color w:val="auto"/>
      <w:sz w:val="14"/>
    </w:rPr>
  </w:style>
  <w:style w:type="paragraph" w:customStyle="1" w:styleId="OpiTranslation">
    <w:name w:val="Opi_Translation"/>
    <w:basedOn w:val="a2"/>
    <w:next w:val="OpiPara"/>
    <w:uiPriority w:val="40"/>
    <w:qFormat/>
    <w:rsid w:val="0045649E"/>
    <w:pPr>
      <w:jc w:val="center"/>
      <w:outlineLvl w:val="0"/>
    </w:pPr>
    <w:rPr>
      <w:i/>
    </w:rPr>
  </w:style>
  <w:style w:type="paragraph" w:customStyle="1" w:styleId="JuCourt">
    <w:name w:val="Ju_Court"/>
    <w:basedOn w:val="a2"/>
    <w:next w:val="a2"/>
    <w:uiPriority w:val="16"/>
    <w:qFormat/>
    <w:rsid w:val="0045649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1"/>
    <w:next w:val="ECHRPara"/>
    <w:uiPriority w:val="19"/>
    <w:qFormat/>
    <w:rsid w:val="0045649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21"/>
    <w:next w:val="ECHRPara"/>
    <w:uiPriority w:val="20"/>
    <w:qFormat/>
    <w:rsid w:val="0045649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31"/>
    <w:next w:val="ECHRPara"/>
    <w:uiPriority w:val="21"/>
    <w:qFormat/>
    <w:rsid w:val="0045649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a9">
    <w:name w:val="header"/>
    <w:basedOn w:val="a2"/>
    <w:link w:val="af"/>
    <w:uiPriority w:val="57"/>
    <w:rsid w:val="0045649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af">
    <w:name w:val="Верхний колонтитул Знак"/>
    <w:basedOn w:val="a3"/>
    <w:link w:val="a9"/>
    <w:uiPriority w:val="57"/>
    <w:rsid w:val="0045649E"/>
    <w:rPr>
      <w:sz w:val="24"/>
    </w:rPr>
  </w:style>
  <w:style w:type="character" w:customStyle="1" w:styleId="10">
    <w:name w:val="Заголовок 1 Знак"/>
    <w:basedOn w:val="a3"/>
    <w:link w:val="1"/>
    <w:uiPriority w:val="99"/>
    <w:rsid w:val="0045649E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41"/>
    <w:next w:val="ECHRPara"/>
    <w:uiPriority w:val="22"/>
    <w:qFormat/>
    <w:rsid w:val="0045649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51"/>
    <w:next w:val="ECHRPara"/>
    <w:uiPriority w:val="23"/>
    <w:qFormat/>
    <w:rsid w:val="0045649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22">
    <w:name w:val="Заголовок 2 Знак"/>
    <w:basedOn w:val="a3"/>
    <w:link w:val="21"/>
    <w:uiPriority w:val="99"/>
    <w:semiHidden/>
    <w:rsid w:val="0045649E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6"/>
    <w:next w:val="ECHRPara"/>
    <w:uiPriority w:val="24"/>
    <w:qFormat/>
    <w:rsid w:val="0045649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7"/>
    <w:next w:val="ECHRPara"/>
    <w:uiPriority w:val="25"/>
    <w:qFormat/>
    <w:rsid w:val="0045649E"/>
    <w:pPr>
      <w:keepNext/>
      <w:keepLines/>
      <w:spacing w:before="240" w:after="120"/>
      <w:ind w:left="1236"/>
    </w:pPr>
    <w:rPr>
      <w:sz w:val="20"/>
    </w:rPr>
  </w:style>
  <w:style w:type="character" w:customStyle="1" w:styleId="32">
    <w:name w:val="Заголовок 3 Знак"/>
    <w:basedOn w:val="a3"/>
    <w:link w:val="31"/>
    <w:uiPriority w:val="99"/>
    <w:semiHidden/>
    <w:rsid w:val="0045649E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a2"/>
    <w:next w:val="ECHRPara"/>
    <w:qFormat/>
    <w:rsid w:val="0045649E"/>
    <w:pPr>
      <w:keepNext/>
      <w:keepLines/>
      <w:spacing w:before="240"/>
      <w:ind w:firstLine="284"/>
    </w:pPr>
  </w:style>
  <w:style w:type="paragraph" w:customStyle="1" w:styleId="ECHRDecisionBody">
    <w:name w:val="ECHR_Decision_Body"/>
    <w:aliases w:val="Ju_Judges"/>
    <w:basedOn w:val="a2"/>
    <w:uiPriority w:val="11"/>
    <w:qFormat/>
    <w:rsid w:val="0045649E"/>
    <w:pPr>
      <w:tabs>
        <w:tab w:val="left" w:pos="567"/>
        <w:tab w:val="left" w:pos="1134"/>
      </w:tabs>
      <w:jc w:val="left"/>
    </w:pPr>
  </w:style>
  <w:style w:type="character" w:customStyle="1" w:styleId="42">
    <w:name w:val="Заголовок 4 Знак"/>
    <w:basedOn w:val="a3"/>
    <w:link w:val="41"/>
    <w:uiPriority w:val="99"/>
    <w:semiHidden/>
    <w:rsid w:val="0045649E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JuList">
    <w:name w:val="Ju_List"/>
    <w:basedOn w:val="a2"/>
    <w:uiPriority w:val="28"/>
    <w:qFormat/>
    <w:rsid w:val="0045649E"/>
    <w:pPr>
      <w:ind w:left="340" w:hanging="340"/>
    </w:pPr>
  </w:style>
  <w:style w:type="character" w:customStyle="1" w:styleId="52">
    <w:name w:val="Заголовок 5 Знак"/>
    <w:basedOn w:val="a3"/>
    <w:link w:val="51"/>
    <w:uiPriority w:val="99"/>
    <w:semiHidden/>
    <w:rsid w:val="0045649E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JuLista">
    <w:name w:val="Ju_List_a"/>
    <w:basedOn w:val="JuList"/>
    <w:uiPriority w:val="28"/>
    <w:qFormat/>
    <w:rsid w:val="0045649E"/>
    <w:pPr>
      <w:ind w:left="346" w:firstLine="0"/>
    </w:pPr>
  </w:style>
  <w:style w:type="paragraph" w:customStyle="1" w:styleId="JuListi">
    <w:name w:val="Ju_List_i"/>
    <w:basedOn w:val="a2"/>
    <w:next w:val="JuLista"/>
    <w:uiPriority w:val="28"/>
    <w:qFormat/>
    <w:rsid w:val="0045649E"/>
    <w:pPr>
      <w:ind w:left="794"/>
    </w:pPr>
  </w:style>
  <w:style w:type="character" w:styleId="af0">
    <w:name w:val="Subtle Emphasis"/>
    <w:uiPriority w:val="99"/>
    <w:qFormat/>
    <w:rsid w:val="0045649E"/>
    <w:rPr>
      <w:i/>
      <w:iCs/>
    </w:rPr>
  </w:style>
  <w:style w:type="paragraph" w:customStyle="1" w:styleId="OpiH1">
    <w:name w:val="Opi_H_1"/>
    <w:basedOn w:val="ECHRHeading2"/>
    <w:uiPriority w:val="42"/>
    <w:qFormat/>
    <w:rsid w:val="0045649E"/>
    <w:pPr>
      <w:ind w:left="635" w:hanging="357"/>
      <w:outlineLvl w:val="2"/>
    </w:pPr>
  </w:style>
  <w:style w:type="table" w:customStyle="1" w:styleId="ECHRTable">
    <w:name w:val="ECHR_Table"/>
    <w:basedOn w:val="a4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3"/>
    <w:uiPriority w:val="43"/>
    <w:qFormat/>
    <w:rsid w:val="0045649E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45649E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a2"/>
    <w:semiHidden/>
    <w:qFormat/>
    <w:rsid w:val="0045649E"/>
    <w:rPr>
      <w:color w:val="00B050"/>
    </w:rPr>
  </w:style>
  <w:style w:type="character" w:styleId="af1">
    <w:name w:val="Emphasis"/>
    <w:uiPriority w:val="99"/>
    <w:qFormat/>
    <w:rsid w:val="004564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footer"/>
    <w:basedOn w:val="a2"/>
    <w:link w:val="af3"/>
    <w:uiPriority w:val="57"/>
    <w:semiHidden/>
    <w:rsid w:val="0045649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af3">
    <w:name w:val="Нижний колонтитул Знак"/>
    <w:basedOn w:val="a3"/>
    <w:link w:val="af2"/>
    <w:uiPriority w:val="57"/>
    <w:semiHidden/>
    <w:rsid w:val="0045649E"/>
    <w:rPr>
      <w:sz w:val="24"/>
    </w:rPr>
  </w:style>
  <w:style w:type="character" w:styleId="af4">
    <w:name w:val="footnote reference"/>
    <w:basedOn w:val="a3"/>
    <w:uiPriority w:val="99"/>
    <w:semiHidden/>
    <w:rsid w:val="0045649E"/>
    <w:rPr>
      <w:vertAlign w:val="superscript"/>
    </w:rPr>
  </w:style>
  <w:style w:type="paragraph" w:styleId="af5">
    <w:name w:val="footnote text"/>
    <w:basedOn w:val="a2"/>
    <w:link w:val="af6"/>
    <w:uiPriority w:val="99"/>
    <w:semiHidden/>
    <w:rsid w:val="0045649E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semiHidden/>
    <w:rsid w:val="0045649E"/>
    <w:rPr>
      <w:rFonts w:eastAsiaTheme="minorEastAsia"/>
      <w:sz w:val="20"/>
      <w:szCs w:val="20"/>
    </w:rPr>
  </w:style>
  <w:style w:type="character" w:customStyle="1" w:styleId="60">
    <w:name w:val="Заголовок 6 Знак"/>
    <w:basedOn w:val="a3"/>
    <w:link w:val="6"/>
    <w:uiPriority w:val="99"/>
    <w:semiHidden/>
    <w:rsid w:val="0045649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70">
    <w:name w:val="Заголовок 7 Знак"/>
    <w:basedOn w:val="a3"/>
    <w:link w:val="7"/>
    <w:uiPriority w:val="99"/>
    <w:semiHidden/>
    <w:rsid w:val="0045649E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80">
    <w:name w:val="Заголовок 8 Знак"/>
    <w:basedOn w:val="a3"/>
    <w:link w:val="8"/>
    <w:uiPriority w:val="99"/>
    <w:semiHidden/>
    <w:rsid w:val="0045649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0">
    <w:name w:val="Заголовок 9 Знак"/>
    <w:basedOn w:val="a3"/>
    <w:link w:val="9"/>
    <w:uiPriority w:val="99"/>
    <w:semiHidden/>
    <w:rsid w:val="0045649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af7">
    <w:name w:val="Hyperlink"/>
    <w:basedOn w:val="a3"/>
    <w:uiPriority w:val="99"/>
    <w:rsid w:val="0045649E"/>
    <w:rPr>
      <w:color w:val="0072BC" w:themeColor="hyperlink"/>
      <w:u w:val="single"/>
    </w:rPr>
  </w:style>
  <w:style w:type="character" w:styleId="af8">
    <w:name w:val="Intense Emphasis"/>
    <w:uiPriority w:val="99"/>
    <w:qFormat/>
    <w:rsid w:val="0045649E"/>
    <w:rPr>
      <w:b/>
      <w:bCs/>
    </w:rPr>
  </w:style>
  <w:style w:type="paragraph" w:styleId="af9">
    <w:name w:val="Intense Quote"/>
    <w:basedOn w:val="a2"/>
    <w:next w:val="a2"/>
    <w:link w:val="afa"/>
    <w:uiPriority w:val="99"/>
    <w:qFormat/>
    <w:rsid w:val="0045649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afa">
    <w:name w:val="Выделенная цитата Знак"/>
    <w:basedOn w:val="a3"/>
    <w:link w:val="af9"/>
    <w:uiPriority w:val="99"/>
    <w:rsid w:val="0045649E"/>
    <w:rPr>
      <w:rFonts w:eastAsiaTheme="minorEastAsia"/>
      <w:b/>
      <w:bCs/>
      <w:i/>
      <w:iCs/>
      <w:sz w:val="24"/>
      <w:lang w:bidi="en-US"/>
    </w:rPr>
  </w:style>
  <w:style w:type="character" w:styleId="afb">
    <w:name w:val="Intense Reference"/>
    <w:uiPriority w:val="99"/>
    <w:qFormat/>
    <w:rsid w:val="0045649E"/>
    <w:rPr>
      <w:smallCaps/>
      <w:spacing w:val="5"/>
      <w:u w:val="single"/>
    </w:rPr>
  </w:style>
  <w:style w:type="paragraph" w:styleId="afc">
    <w:name w:val="List Paragraph"/>
    <w:basedOn w:val="a2"/>
    <w:uiPriority w:val="99"/>
    <w:qFormat/>
    <w:rsid w:val="0045649E"/>
    <w:pPr>
      <w:ind w:left="720"/>
      <w:contextualSpacing/>
    </w:pPr>
  </w:style>
  <w:style w:type="table" w:customStyle="1" w:styleId="LtrTableAddress">
    <w:name w:val="Ltr_Table_Address"/>
    <w:basedOn w:val="a4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2"/>
    <w:next w:val="a2"/>
    <w:link w:val="24"/>
    <w:uiPriority w:val="99"/>
    <w:qFormat/>
    <w:rsid w:val="0045649E"/>
    <w:pPr>
      <w:spacing w:before="200"/>
      <w:ind w:left="360" w:right="360"/>
    </w:pPr>
    <w:rPr>
      <w:i/>
      <w:iCs/>
      <w:lang w:bidi="en-US"/>
    </w:rPr>
  </w:style>
  <w:style w:type="character" w:customStyle="1" w:styleId="24">
    <w:name w:val="Цитата 2 Знак"/>
    <w:basedOn w:val="a3"/>
    <w:link w:val="23"/>
    <w:uiPriority w:val="99"/>
    <w:rsid w:val="0045649E"/>
    <w:rPr>
      <w:rFonts w:eastAsiaTheme="minorEastAsia"/>
      <w:i/>
      <w:iCs/>
      <w:sz w:val="24"/>
      <w:lang w:bidi="en-US"/>
    </w:rPr>
  </w:style>
  <w:style w:type="character" w:styleId="afd">
    <w:name w:val="Subtle Reference"/>
    <w:uiPriority w:val="99"/>
    <w:qFormat/>
    <w:rsid w:val="0045649E"/>
    <w:rPr>
      <w:smallCaps/>
    </w:rPr>
  </w:style>
  <w:style w:type="table" w:styleId="afe">
    <w:name w:val="Table Grid"/>
    <w:basedOn w:val="a4"/>
    <w:uiPriority w:val="59"/>
    <w:rsid w:val="0045649E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2"/>
    <w:next w:val="a2"/>
    <w:autoRedefine/>
    <w:uiPriority w:val="99"/>
    <w:semiHidden/>
    <w:rsid w:val="0045649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5">
    <w:name w:val="toc 2"/>
    <w:basedOn w:val="a2"/>
    <w:next w:val="a2"/>
    <w:autoRedefine/>
    <w:uiPriority w:val="99"/>
    <w:semiHidden/>
    <w:rsid w:val="0045649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3">
    <w:name w:val="toc 3"/>
    <w:basedOn w:val="a2"/>
    <w:next w:val="a2"/>
    <w:autoRedefine/>
    <w:uiPriority w:val="99"/>
    <w:semiHidden/>
    <w:rsid w:val="0045649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3">
    <w:name w:val="toc 4"/>
    <w:basedOn w:val="a2"/>
    <w:next w:val="a2"/>
    <w:autoRedefine/>
    <w:uiPriority w:val="99"/>
    <w:semiHidden/>
    <w:rsid w:val="0045649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3">
    <w:name w:val="toc 5"/>
    <w:basedOn w:val="a2"/>
    <w:next w:val="a2"/>
    <w:autoRedefine/>
    <w:uiPriority w:val="99"/>
    <w:semiHidden/>
    <w:rsid w:val="0045649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aff">
    <w:name w:val="TOC Heading"/>
    <w:basedOn w:val="a2"/>
    <w:next w:val="a2"/>
    <w:uiPriority w:val="99"/>
    <w:semiHidden/>
    <w:qFormat/>
    <w:rsid w:val="0045649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a4"/>
    <w:uiPriority w:val="99"/>
    <w:rsid w:val="00572845"/>
    <w:rPr>
      <w:rFonts w:eastAsiaTheme="minorEastAsia"/>
      <w:sz w:val="20"/>
      <w:lang w:val="en-GB" w:eastAsia="en-GB"/>
    </w:rPr>
    <w:tblPr>
      <w:tblInd w:w="-964" w:type="dxa"/>
      <w:tblCellMar>
        <w:top w:w="0" w:type="dxa"/>
        <w:left w:w="57" w:type="dxa"/>
        <w:bottom w:w="57" w:type="dxa"/>
        <w:right w:w="113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a4"/>
    <w:uiPriority w:val="99"/>
    <w:rsid w:val="003609FA"/>
    <w:rPr>
      <w:rFonts w:eastAsiaTheme="minorEastAsia"/>
      <w:lang w:val="en-GB" w:eastAsia="en-GB"/>
    </w:rPr>
    <w:tblPr>
      <w:tblInd w:w="113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a4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a4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0">
    <w:name w:val="toa heading"/>
    <w:basedOn w:val="a2"/>
    <w:next w:val="a2"/>
    <w:uiPriority w:val="99"/>
    <w:semiHidden/>
    <w:rsid w:val="0045649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aff1">
    <w:name w:val="Subtitle"/>
    <w:basedOn w:val="a2"/>
    <w:next w:val="a2"/>
    <w:link w:val="aff2"/>
    <w:uiPriority w:val="99"/>
    <w:qFormat/>
    <w:rsid w:val="0045649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aff2">
    <w:name w:val="Подзаголовок Знак"/>
    <w:basedOn w:val="a3"/>
    <w:link w:val="aff1"/>
    <w:uiPriority w:val="99"/>
    <w:rsid w:val="0045649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a5"/>
    <w:uiPriority w:val="99"/>
    <w:semiHidden/>
    <w:unhideWhenUsed/>
    <w:rsid w:val="00DC4033"/>
    <w:pPr>
      <w:numPr>
        <w:numId w:val="9"/>
      </w:numPr>
    </w:pPr>
  </w:style>
  <w:style w:type="paragraph" w:customStyle="1" w:styleId="ECHRPara">
    <w:name w:val="ECHR_Para"/>
    <w:aliases w:val="Ju_Para,Para"/>
    <w:basedOn w:val="a2"/>
    <w:link w:val="JuParaCar"/>
    <w:uiPriority w:val="12"/>
    <w:qFormat/>
    <w:rsid w:val="0045649E"/>
    <w:pPr>
      <w:ind w:firstLine="284"/>
    </w:pPr>
  </w:style>
  <w:style w:type="numbering" w:styleId="1ai">
    <w:name w:val="Outline List 1"/>
    <w:basedOn w:val="a5"/>
    <w:uiPriority w:val="99"/>
    <w:semiHidden/>
    <w:unhideWhenUsed/>
    <w:rsid w:val="00DC4033"/>
    <w:pPr>
      <w:numPr>
        <w:numId w:val="10"/>
      </w:numPr>
    </w:pPr>
  </w:style>
  <w:style w:type="table" w:customStyle="1" w:styleId="ECHRTableSimpleBox">
    <w:name w:val="ECHR_Table_Simple_Box"/>
    <w:basedOn w:val="a4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a4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0">
    <w:name w:val="Outline List 3"/>
    <w:basedOn w:val="a5"/>
    <w:uiPriority w:val="99"/>
    <w:semiHidden/>
    <w:unhideWhenUsed/>
    <w:rsid w:val="00DC4033"/>
    <w:pPr>
      <w:numPr>
        <w:numId w:val="11"/>
      </w:numPr>
    </w:pPr>
  </w:style>
  <w:style w:type="table" w:customStyle="1" w:styleId="ECHRTableForInternalUse">
    <w:name w:val="ECHR_Table_For_Internal_Use"/>
    <w:basedOn w:val="a4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45649E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aff3">
    <w:name w:val="Bibliography"/>
    <w:basedOn w:val="a2"/>
    <w:next w:val="a2"/>
    <w:uiPriority w:val="99"/>
    <w:semiHidden/>
    <w:rsid w:val="00DC4033"/>
  </w:style>
  <w:style w:type="paragraph" w:styleId="aff4">
    <w:name w:val="Block Text"/>
    <w:basedOn w:val="a2"/>
    <w:uiPriority w:val="99"/>
    <w:semiHidden/>
    <w:rsid w:val="00DC4033"/>
    <w:pPr>
      <w:pBdr>
        <w:top w:val="single" w:sz="2" w:space="10" w:color="0072BC" w:themeColor="accent1"/>
        <w:left w:val="single" w:sz="2" w:space="10" w:color="0072BC" w:themeColor="accent1"/>
        <w:bottom w:val="single" w:sz="2" w:space="10" w:color="0072BC" w:themeColor="accent1"/>
        <w:right w:val="single" w:sz="2" w:space="10" w:color="0072BC" w:themeColor="accent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a4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aff5">
    <w:name w:val="Body Text"/>
    <w:basedOn w:val="a2"/>
    <w:link w:val="aff6"/>
    <w:uiPriority w:val="99"/>
    <w:semiHidden/>
    <w:rsid w:val="00DC4033"/>
    <w:pPr>
      <w:spacing w:after="120"/>
    </w:pPr>
  </w:style>
  <w:style w:type="character" w:customStyle="1" w:styleId="aff6">
    <w:name w:val="Основной текст Знак"/>
    <w:basedOn w:val="a3"/>
    <w:link w:val="aff5"/>
    <w:uiPriority w:val="99"/>
    <w:semiHidden/>
    <w:rsid w:val="00DC4033"/>
    <w:rPr>
      <w:rFonts w:eastAsiaTheme="minorEastAsia"/>
      <w:sz w:val="24"/>
    </w:rPr>
  </w:style>
  <w:style w:type="table" w:customStyle="1" w:styleId="ECHRTableOddBanded">
    <w:name w:val="ECHR_Table_Odd_Banded"/>
    <w:basedOn w:val="a4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26">
    <w:name w:val="Body Text 2"/>
    <w:basedOn w:val="a2"/>
    <w:link w:val="27"/>
    <w:uiPriority w:val="99"/>
    <w:semiHidden/>
    <w:rsid w:val="00DC4033"/>
    <w:pPr>
      <w:spacing w:after="120" w:line="480" w:lineRule="auto"/>
    </w:pPr>
  </w:style>
  <w:style w:type="table" w:customStyle="1" w:styleId="ECHRHeaderTableReduced">
    <w:name w:val="ECHR_Header_Table_Reduced"/>
    <w:basedOn w:val="a4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basedOn w:val="a2"/>
    <w:next w:val="ECHRPara"/>
    <w:uiPriority w:val="10"/>
    <w:rsid w:val="0045649E"/>
    <w:pPr>
      <w:ind w:firstLine="284"/>
    </w:pPr>
    <w:rPr>
      <w:b/>
    </w:rPr>
  </w:style>
  <w:style w:type="character" w:styleId="aff7">
    <w:name w:val="page number"/>
    <w:uiPriority w:val="99"/>
    <w:semiHidden/>
    <w:rsid w:val="00DC4033"/>
    <w:rPr>
      <w:sz w:val="18"/>
    </w:rPr>
  </w:style>
  <w:style w:type="paragraph" w:styleId="a1">
    <w:name w:val="List Bullet"/>
    <w:basedOn w:val="a2"/>
    <w:uiPriority w:val="99"/>
    <w:semiHidden/>
    <w:rsid w:val="00DC4033"/>
    <w:pPr>
      <w:numPr>
        <w:numId w:val="8"/>
      </w:numPr>
    </w:pPr>
  </w:style>
  <w:style w:type="character" w:customStyle="1" w:styleId="27">
    <w:name w:val="Основной текст 2 Знак"/>
    <w:basedOn w:val="a3"/>
    <w:link w:val="26"/>
    <w:uiPriority w:val="99"/>
    <w:semiHidden/>
    <w:rsid w:val="00DC4033"/>
    <w:rPr>
      <w:rFonts w:eastAsiaTheme="minorEastAsia"/>
      <w:sz w:val="24"/>
    </w:rPr>
  </w:style>
  <w:style w:type="paragraph" w:styleId="34">
    <w:name w:val="Body Text 3"/>
    <w:basedOn w:val="a2"/>
    <w:link w:val="35"/>
    <w:uiPriority w:val="99"/>
    <w:semiHidden/>
    <w:rsid w:val="00DC403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DC4033"/>
    <w:rPr>
      <w:rFonts w:eastAsiaTheme="minorEastAsia"/>
      <w:sz w:val="16"/>
      <w:szCs w:val="16"/>
    </w:rPr>
  </w:style>
  <w:style w:type="paragraph" w:styleId="aff8">
    <w:name w:val="Body Text First Indent"/>
    <w:basedOn w:val="aff5"/>
    <w:link w:val="aff9"/>
    <w:uiPriority w:val="99"/>
    <w:semiHidden/>
    <w:rsid w:val="00DC4033"/>
    <w:pPr>
      <w:spacing w:after="0"/>
      <w:ind w:firstLine="360"/>
    </w:pPr>
  </w:style>
  <w:style w:type="character" w:customStyle="1" w:styleId="aff9">
    <w:name w:val="Красная строка Знак"/>
    <w:basedOn w:val="aff6"/>
    <w:link w:val="aff8"/>
    <w:uiPriority w:val="99"/>
    <w:semiHidden/>
    <w:rsid w:val="00DC4033"/>
    <w:rPr>
      <w:rFonts w:eastAsiaTheme="minorEastAsia"/>
      <w:sz w:val="24"/>
    </w:rPr>
  </w:style>
  <w:style w:type="paragraph" w:styleId="affa">
    <w:name w:val="Body Text Indent"/>
    <w:basedOn w:val="a2"/>
    <w:link w:val="affb"/>
    <w:uiPriority w:val="99"/>
    <w:semiHidden/>
    <w:rsid w:val="00DC4033"/>
    <w:pPr>
      <w:spacing w:after="120"/>
      <w:ind w:left="283"/>
    </w:pPr>
  </w:style>
  <w:style w:type="character" w:customStyle="1" w:styleId="affb">
    <w:name w:val="Основной текст с отступом Знак"/>
    <w:basedOn w:val="a3"/>
    <w:link w:val="affa"/>
    <w:uiPriority w:val="99"/>
    <w:semiHidden/>
    <w:rsid w:val="00DC4033"/>
    <w:rPr>
      <w:rFonts w:eastAsiaTheme="minorEastAsia"/>
      <w:sz w:val="24"/>
    </w:rPr>
  </w:style>
  <w:style w:type="paragraph" w:styleId="28">
    <w:name w:val="Body Text First Indent 2"/>
    <w:basedOn w:val="affa"/>
    <w:link w:val="29"/>
    <w:uiPriority w:val="99"/>
    <w:semiHidden/>
    <w:rsid w:val="00DC4033"/>
    <w:pPr>
      <w:spacing w:after="0"/>
      <w:ind w:left="360" w:firstLine="360"/>
    </w:pPr>
  </w:style>
  <w:style w:type="character" w:customStyle="1" w:styleId="29">
    <w:name w:val="Красная строка 2 Знак"/>
    <w:basedOn w:val="affb"/>
    <w:link w:val="28"/>
    <w:uiPriority w:val="99"/>
    <w:semiHidden/>
    <w:rsid w:val="00DC4033"/>
    <w:rPr>
      <w:rFonts w:eastAsiaTheme="minorEastAsia"/>
      <w:sz w:val="24"/>
    </w:rPr>
  </w:style>
  <w:style w:type="paragraph" w:styleId="2a">
    <w:name w:val="Body Text Indent 2"/>
    <w:basedOn w:val="a2"/>
    <w:link w:val="2b"/>
    <w:uiPriority w:val="99"/>
    <w:semiHidden/>
    <w:rsid w:val="00DC403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9"/>
    <w:semiHidden/>
    <w:rsid w:val="00DC4033"/>
    <w:rPr>
      <w:rFonts w:eastAsiaTheme="minorEastAsia"/>
      <w:sz w:val="24"/>
    </w:rPr>
  </w:style>
  <w:style w:type="paragraph" w:styleId="36">
    <w:name w:val="Body Text Indent 3"/>
    <w:basedOn w:val="a2"/>
    <w:link w:val="37"/>
    <w:uiPriority w:val="99"/>
    <w:semiHidden/>
    <w:rsid w:val="00DC4033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DC4033"/>
    <w:rPr>
      <w:rFonts w:eastAsiaTheme="minorEastAsia"/>
      <w:sz w:val="16"/>
      <w:szCs w:val="16"/>
    </w:rPr>
  </w:style>
  <w:style w:type="paragraph" w:styleId="affc">
    <w:name w:val="caption"/>
    <w:basedOn w:val="a2"/>
    <w:next w:val="a2"/>
    <w:uiPriority w:val="99"/>
    <w:semiHidden/>
    <w:qFormat/>
    <w:rsid w:val="00DC4033"/>
    <w:pPr>
      <w:spacing w:after="200"/>
    </w:pPr>
    <w:rPr>
      <w:b/>
      <w:bCs/>
      <w:color w:val="0072BC" w:themeColor="accent1"/>
      <w:sz w:val="18"/>
      <w:szCs w:val="18"/>
    </w:rPr>
  </w:style>
  <w:style w:type="paragraph" w:styleId="affd">
    <w:name w:val="Closing"/>
    <w:basedOn w:val="a2"/>
    <w:link w:val="affe"/>
    <w:uiPriority w:val="99"/>
    <w:semiHidden/>
    <w:rsid w:val="00DC4033"/>
    <w:pPr>
      <w:ind w:left="4252"/>
    </w:pPr>
  </w:style>
  <w:style w:type="character" w:customStyle="1" w:styleId="affe">
    <w:name w:val="Прощание Знак"/>
    <w:basedOn w:val="a3"/>
    <w:link w:val="affd"/>
    <w:uiPriority w:val="99"/>
    <w:semiHidden/>
    <w:rsid w:val="00DC4033"/>
    <w:rPr>
      <w:rFonts w:eastAsiaTheme="minorEastAsia"/>
      <w:sz w:val="24"/>
    </w:rPr>
  </w:style>
  <w:style w:type="table" w:customStyle="1" w:styleId="12">
    <w:name w:val="Цветная сетка1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13">
    <w:name w:val="Цветной список1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14">
    <w:name w:val="Цветная заливка1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">
    <w:name w:val="annotation reference"/>
    <w:basedOn w:val="a3"/>
    <w:semiHidden/>
    <w:rsid w:val="00DC4033"/>
    <w:rPr>
      <w:sz w:val="16"/>
      <w:szCs w:val="16"/>
    </w:rPr>
  </w:style>
  <w:style w:type="paragraph" w:styleId="afff0">
    <w:name w:val="annotation text"/>
    <w:basedOn w:val="a2"/>
    <w:link w:val="afff1"/>
    <w:semiHidden/>
    <w:rsid w:val="00DC4033"/>
    <w:rPr>
      <w:sz w:val="20"/>
      <w:szCs w:val="20"/>
    </w:rPr>
  </w:style>
  <w:style w:type="character" w:customStyle="1" w:styleId="afff1">
    <w:name w:val="Текст примечания Знак"/>
    <w:basedOn w:val="a3"/>
    <w:link w:val="afff0"/>
    <w:semiHidden/>
    <w:rsid w:val="00DC4033"/>
    <w:rPr>
      <w:rFonts w:eastAsiaTheme="minorEastAsia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C4033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DC4033"/>
    <w:rPr>
      <w:rFonts w:eastAsiaTheme="minorEastAsia"/>
      <w:b/>
      <w:bCs/>
      <w:sz w:val="20"/>
      <w:szCs w:val="20"/>
    </w:rPr>
  </w:style>
  <w:style w:type="table" w:customStyle="1" w:styleId="15">
    <w:name w:val="Темный список1"/>
    <w:basedOn w:val="a4"/>
    <w:uiPriority w:val="99"/>
    <w:rsid w:val="00DC403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99"/>
    <w:rsid w:val="00DC403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99"/>
    <w:rsid w:val="00DC403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99"/>
    <w:rsid w:val="00DC403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99"/>
    <w:rsid w:val="00DC403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99"/>
    <w:rsid w:val="00DC403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99"/>
    <w:rsid w:val="00DC403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4">
    <w:name w:val="Date"/>
    <w:basedOn w:val="a2"/>
    <w:next w:val="a2"/>
    <w:link w:val="afff5"/>
    <w:uiPriority w:val="99"/>
    <w:semiHidden/>
    <w:rsid w:val="00DC4033"/>
  </w:style>
  <w:style w:type="character" w:customStyle="1" w:styleId="afff5">
    <w:name w:val="Дата Знак"/>
    <w:basedOn w:val="a3"/>
    <w:link w:val="afff4"/>
    <w:uiPriority w:val="99"/>
    <w:semiHidden/>
    <w:rsid w:val="00DC4033"/>
    <w:rPr>
      <w:rFonts w:eastAsiaTheme="minorEastAsia"/>
      <w:sz w:val="24"/>
    </w:rPr>
  </w:style>
  <w:style w:type="paragraph" w:styleId="afff6">
    <w:name w:val="Document Map"/>
    <w:basedOn w:val="a2"/>
    <w:link w:val="afff7"/>
    <w:uiPriority w:val="99"/>
    <w:semiHidden/>
    <w:rsid w:val="00DC4033"/>
    <w:rPr>
      <w:rFonts w:ascii="Tahoma" w:hAnsi="Tahoma" w:cs="Tahoma"/>
      <w:sz w:val="16"/>
      <w:szCs w:val="16"/>
    </w:rPr>
  </w:style>
  <w:style w:type="character" w:customStyle="1" w:styleId="afff7">
    <w:name w:val="Схема документа Знак"/>
    <w:basedOn w:val="a3"/>
    <w:link w:val="afff6"/>
    <w:uiPriority w:val="99"/>
    <w:semiHidden/>
    <w:rsid w:val="00DC4033"/>
    <w:rPr>
      <w:rFonts w:ascii="Tahoma" w:eastAsiaTheme="minorEastAsia" w:hAnsi="Tahoma" w:cs="Tahoma"/>
      <w:sz w:val="16"/>
      <w:szCs w:val="16"/>
    </w:rPr>
  </w:style>
  <w:style w:type="paragraph" w:styleId="afff8">
    <w:name w:val="E-mail Signature"/>
    <w:basedOn w:val="a2"/>
    <w:link w:val="afff9"/>
    <w:uiPriority w:val="99"/>
    <w:semiHidden/>
    <w:rsid w:val="00DC4033"/>
  </w:style>
  <w:style w:type="character" w:customStyle="1" w:styleId="afff9">
    <w:name w:val="Электронная подпись Знак"/>
    <w:basedOn w:val="a3"/>
    <w:link w:val="afff8"/>
    <w:uiPriority w:val="99"/>
    <w:semiHidden/>
    <w:rsid w:val="00DC4033"/>
    <w:rPr>
      <w:rFonts w:eastAsiaTheme="minorEastAsia"/>
      <w:sz w:val="24"/>
    </w:rPr>
  </w:style>
  <w:style w:type="character" w:styleId="afffa">
    <w:name w:val="endnote reference"/>
    <w:basedOn w:val="a3"/>
    <w:uiPriority w:val="99"/>
    <w:semiHidden/>
    <w:rsid w:val="00DC4033"/>
    <w:rPr>
      <w:vertAlign w:val="superscript"/>
    </w:rPr>
  </w:style>
  <w:style w:type="paragraph" w:styleId="afffb">
    <w:name w:val="endnote text"/>
    <w:basedOn w:val="a2"/>
    <w:link w:val="afffc"/>
    <w:uiPriority w:val="99"/>
    <w:semiHidden/>
    <w:rsid w:val="00DC4033"/>
    <w:rPr>
      <w:sz w:val="20"/>
      <w:szCs w:val="20"/>
    </w:rPr>
  </w:style>
  <w:style w:type="character" w:customStyle="1" w:styleId="afffc">
    <w:name w:val="Текст концевой сноски Знак"/>
    <w:basedOn w:val="a3"/>
    <w:link w:val="afffb"/>
    <w:uiPriority w:val="99"/>
    <w:semiHidden/>
    <w:rsid w:val="00DC4033"/>
    <w:rPr>
      <w:rFonts w:eastAsiaTheme="minorEastAsia"/>
      <w:sz w:val="20"/>
      <w:szCs w:val="20"/>
    </w:rPr>
  </w:style>
  <w:style w:type="paragraph" w:styleId="afffd">
    <w:name w:val="envelope address"/>
    <w:basedOn w:val="a2"/>
    <w:uiPriority w:val="99"/>
    <w:semiHidden/>
    <w:rsid w:val="00DC403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2c">
    <w:name w:val="envelope return"/>
    <w:basedOn w:val="a2"/>
    <w:uiPriority w:val="99"/>
    <w:semiHidden/>
    <w:rsid w:val="00DC4033"/>
    <w:rPr>
      <w:rFonts w:asciiTheme="majorHAnsi" w:eastAsiaTheme="majorEastAsia" w:hAnsiTheme="majorHAnsi" w:cstheme="majorBidi"/>
      <w:sz w:val="20"/>
      <w:szCs w:val="20"/>
    </w:rPr>
  </w:style>
  <w:style w:type="character" w:styleId="afffe">
    <w:name w:val="FollowedHyperlink"/>
    <w:basedOn w:val="a3"/>
    <w:uiPriority w:val="99"/>
    <w:semiHidden/>
    <w:rsid w:val="00DC4033"/>
    <w:rPr>
      <w:color w:val="7030A0" w:themeColor="followedHyperlink"/>
      <w:u w:val="single"/>
    </w:rPr>
  </w:style>
  <w:style w:type="character" w:styleId="HTML">
    <w:name w:val="HTML Acronym"/>
    <w:basedOn w:val="a3"/>
    <w:uiPriority w:val="99"/>
    <w:semiHidden/>
    <w:rsid w:val="00DC4033"/>
  </w:style>
  <w:style w:type="paragraph" w:styleId="HTML0">
    <w:name w:val="HTML Address"/>
    <w:basedOn w:val="a2"/>
    <w:link w:val="HTML1"/>
    <w:uiPriority w:val="99"/>
    <w:semiHidden/>
    <w:rsid w:val="00DC4033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DC4033"/>
    <w:rPr>
      <w:rFonts w:eastAsiaTheme="minorEastAsia"/>
      <w:i/>
      <w:iCs/>
      <w:sz w:val="24"/>
    </w:rPr>
  </w:style>
  <w:style w:type="character" w:styleId="HTML2">
    <w:name w:val="HTML Cite"/>
    <w:basedOn w:val="a3"/>
    <w:uiPriority w:val="99"/>
    <w:semiHidden/>
    <w:rsid w:val="00DC4033"/>
    <w:rPr>
      <w:i/>
      <w:iCs/>
    </w:rPr>
  </w:style>
  <w:style w:type="character" w:styleId="HTML3">
    <w:name w:val="HTML Code"/>
    <w:basedOn w:val="a3"/>
    <w:uiPriority w:val="99"/>
    <w:semiHidden/>
    <w:rsid w:val="00DC4033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9"/>
    <w:semiHidden/>
    <w:rsid w:val="00DC4033"/>
    <w:rPr>
      <w:i/>
      <w:iCs/>
    </w:rPr>
  </w:style>
  <w:style w:type="character" w:styleId="HTML5">
    <w:name w:val="HTML Keyboard"/>
    <w:basedOn w:val="a3"/>
    <w:uiPriority w:val="99"/>
    <w:semiHidden/>
    <w:rsid w:val="00DC4033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rsid w:val="00DC4033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DC4033"/>
    <w:rPr>
      <w:rFonts w:ascii="Consolas" w:eastAsiaTheme="minorEastAsia" w:hAnsi="Consolas" w:cs="Consolas"/>
      <w:sz w:val="20"/>
      <w:szCs w:val="20"/>
    </w:rPr>
  </w:style>
  <w:style w:type="character" w:styleId="HTML8">
    <w:name w:val="HTML Sample"/>
    <w:basedOn w:val="a3"/>
    <w:uiPriority w:val="99"/>
    <w:semiHidden/>
    <w:rsid w:val="00DC4033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rsid w:val="00DC4033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rsid w:val="00DC4033"/>
    <w:rPr>
      <w:i/>
      <w:iCs/>
    </w:rPr>
  </w:style>
  <w:style w:type="paragraph" w:styleId="16">
    <w:name w:val="index 1"/>
    <w:basedOn w:val="a2"/>
    <w:next w:val="a2"/>
    <w:autoRedefine/>
    <w:uiPriority w:val="99"/>
    <w:semiHidden/>
    <w:rsid w:val="00DC4033"/>
    <w:pPr>
      <w:ind w:left="240" w:hanging="240"/>
    </w:pPr>
  </w:style>
  <w:style w:type="paragraph" w:styleId="2d">
    <w:name w:val="index 2"/>
    <w:basedOn w:val="a2"/>
    <w:next w:val="a2"/>
    <w:autoRedefine/>
    <w:uiPriority w:val="99"/>
    <w:semiHidden/>
    <w:rsid w:val="00DC4033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rsid w:val="00DC4033"/>
    <w:pPr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rsid w:val="00DC4033"/>
    <w:pPr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rsid w:val="00DC4033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rsid w:val="00DC4033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rsid w:val="00DC4033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rsid w:val="00DC4033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rsid w:val="00DC4033"/>
    <w:pPr>
      <w:ind w:left="2160" w:hanging="240"/>
    </w:pPr>
  </w:style>
  <w:style w:type="paragraph" w:styleId="affff">
    <w:name w:val="index heading"/>
    <w:basedOn w:val="a2"/>
    <w:next w:val="16"/>
    <w:uiPriority w:val="99"/>
    <w:semiHidden/>
    <w:rsid w:val="00DC4033"/>
    <w:rPr>
      <w:rFonts w:asciiTheme="majorHAnsi" w:eastAsiaTheme="majorEastAsia" w:hAnsiTheme="majorHAnsi" w:cstheme="majorBidi"/>
      <w:b/>
      <w:bCs/>
    </w:rPr>
  </w:style>
  <w:style w:type="table" w:customStyle="1" w:styleId="17">
    <w:name w:val="Светлая сетка1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customStyle="1" w:styleId="18">
    <w:name w:val="Светлый список1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customStyle="1" w:styleId="19">
    <w:name w:val="Светлая заливка1"/>
    <w:basedOn w:val="a4"/>
    <w:uiPriority w:val="99"/>
    <w:rsid w:val="00DC403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2">
    <w:name w:val="Светлая заливка - Акцент 11"/>
    <w:basedOn w:val="a4"/>
    <w:uiPriority w:val="99"/>
    <w:rsid w:val="00DC4033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99"/>
    <w:rsid w:val="00DC4033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99"/>
    <w:rsid w:val="00DC4033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99"/>
    <w:rsid w:val="00DC4033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99"/>
    <w:rsid w:val="00DC4033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99"/>
    <w:rsid w:val="00DC4033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0">
    <w:name w:val="line number"/>
    <w:basedOn w:val="a3"/>
    <w:uiPriority w:val="99"/>
    <w:semiHidden/>
    <w:rsid w:val="00DC4033"/>
  </w:style>
  <w:style w:type="paragraph" w:styleId="affff1">
    <w:name w:val="List"/>
    <w:basedOn w:val="a2"/>
    <w:uiPriority w:val="99"/>
    <w:semiHidden/>
    <w:rsid w:val="00DC4033"/>
    <w:pPr>
      <w:ind w:left="283" w:hanging="283"/>
      <w:contextualSpacing/>
    </w:pPr>
  </w:style>
  <w:style w:type="paragraph" w:styleId="2e">
    <w:name w:val="List 2"/>
    <w:basedOn w:val="a2"/>
    <w:uiPriority w:val="99"/>
    <w:semiHidden/>
    <w:rsid w:val="00DC4033"/>
    <w:pPr>
      <w:ind w:left="566" w:hanging="283"/>
      <w:contextualSpacing/>
    </w:pPr>
  </w:style>
  <w:style w:type="paragraph" w:styleId="39">
    <w:name w:val="List 3"/>
    <w:basedOn w:val="a2"/>
    <w:uiPriority w:val="99"/>
    <w:semiHidden/>
    <w:rsid w:val="00DC4033"/>
    <w:pPr>
      <w:ind w:left="849" w:hanging="283"/>
      <w:contextualSpacing/>
    </w:pPr>
  </w:style>
  <w:style w:type="paragraph" w:styleId="45">
    <w:name w:val="List 4"/>
    <w:basedOn w:val="a2"/>
    <w:uiPriority w:val="99"/>
    <w:semiHidden/>
    <w:rsid w:val="00DC4033"/>
    <w:pPr>
      <w:ind w:left="1132" w:hanging="283"/>
      <w:contextualSpacing/>
    </w:pPr>
  </w:style>
  <w:style w:type="paragraph" w:styleId="55">
    <w:name w:val="List 5"/>
    <w:basedOn w:val="a2"/>
    <w:uiPriority w:val="99"/>
    <w:semiHidden/>
    <w:rsid w:val="00DC4033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rsid w:val="00DC4033"/>
    <w:pPr>
      <w:numPr>
        <w:numId w:val="12"/>
      </w:numPr>
      <w:contextualSpacing/>
    </w:pPr>
  </w:style>
  <w:style w:type="paragraph" w:styleId="30">
    <w:name w:val="List Bullet 3"/>
    <w:basedOn w:val="a2"/>
    <w:uiPriority w:val="99"/>
    <w:semiHidden/>
    <w:rsid w:val="00DC4033"/>
    <w:pPr>
      <w:numPr>
        <w:numId w:val="13"/>
      </w:numPr>
      <w:contextualSpacing/>
    </w:pPr>
  </w:style>
  <w:style w:type="paragraph" w:styleId="40">
    <w:name w:val="List Bullet 4"/>
    <w:basedOn w:val="a2"/>
    <w:uiPriority w:val="99"/>
    <w:semiHidden/>
    <w:rsid w:val="00DC4033"/>
    <w:pPr>
      <w:numPr>
        <w:numId w:val="14"/>
      </w:numPr>
      <w:contextualSpacing/>
    </w:pPr>
  </w:style>
  <w:style w:type="paragraph" w:styleId="50">
    <w:name w:val="List Bullet 5"/>
    <w:basedOn w:val="a2"/>
    <w:uiPriority w:val="99"/>
    <w:semiHidden/>
    <w:rsid w:val="00DC4033"/>
    <w:pPr>
      <w:numPr>
        <w:numId w:val="15"/>
      </w:numPr>
      <w:contextualSpacing/>
    </w:pPr>
  </w:style>
  <w:style w:type="paragraph" w:styleId="affff2">
    <w:name w:val="List Continue"/>
    <w:basedOn w:val="a2"/>
    <w:uiPriority w:val="99"/>
    <w:semiHidden/>
    <w:rsid w:val="00DC4033"/>
    <w:pPr>
      <w:spacing w:after="120"/>
      <w:ind w:left="283"/>
      <w:contextualSpacing/>
    </w:pPr>
  </w:style>
  <w:style w:type="paragraph" w:styleId="2f">
    <w:name w:val="List Continue 2"/>
    <w:basedOn w:val="a2"/>
    <w:uiPriority w:val="99"/>
    <w:semiHidden/>
    <w:rsid w:val="00DC403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rsid w:val="00DC4033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rsid w:val="00DC4033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rsid w:val="00DC4033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rsid w:val="00DC4033"/>
    <w:pPr>
      <w:numPr>
        <w:numId w:val="16"/>
      </w:numPr>
      <w:contextualSpacing/>
    </w:pPr>
  </w:style>
  <w:style w:type="paragraph" w:styleId="2">
    <w:name w:val="List Number 2"/>
    <w:basedOn w:val="a2"/>
    <w:uiPriority w:val="99"/>
    <w:semiHidden/>
    <w:rsid w:val="00DC4033"/>
    <w:pPr>
      <w:numPr>
        <w:numId w:val="17"/>
      </w:numPr>
      <w:contextualSpacing/>
    </w:pPr>
  </w:style>
  <w:style w:type="paragraph" w:styleId="3">
    <w:name w:val="List Number 3"/>
    <w:basedOn w:val="a2"/>
    <w:uiPriority w:val="99"/>
    <w:semiHidden/>
    <w:rsid w:val="00DC4033"/>
    <w:pPr>
      <w:numPr>
        <w:numId w:val="18"/>
      </w:numPr>
      <w:contextualSpacing/>
    </w:pPr>
  </w:style>
  <w:style w:type="paragraph" w:styleId="4">
    <w:name w:val="List Number 4"/>
    <w:basedOn w:val="a2"/>
    <w:uiPriority w:val="99"/>
    <w:semiHidden/>
    <w:rsid w:val="00DC4033"/>
    <w:pPr>
      <w:numPr>
        <w:numId w:val="19"/>
      </w:numPr>
      <w:contextualSpacing/>
    </w:pPr>
  </w:style>
  <w:style w:type="paragraph" w:styleId="5">
    <w:name w:val="List Number 5"/>
    <w:basedOn w:val="a2"/>
    <w:uiPriority w:val="99"/>
    <w:semiHidden/>
    <w:rsid w:val="00DC4033"/>
    <w:pPr>
      <w:numPr>
        <w:numId w:val="20"/>
      </w:numPr>
      <w:contextualSpacing/>
    </w:pPr>
  </w:style>
  <w:style w:type="paragraph" w:styleId="affff3">
    <w:name w:val="macro"/>
    <w:link w:val="affff4"/>
    <w:uiPriority w:val="99"/>
    <w:semiHidden/>
    <w:rsid w:val="00DC40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affff4">
    <w:name w:val="Текст макроса Знак"/>
    <w:basedOn w:val="a3"/>
    <w:link w:val="affff3"/>
    <w:uiPriority w:val="99"/>
    <w:semiHidden/>
    <w:rsid w:val="00DC4033"/>
    <w:rPr>
      <w:rFonts w:ascii="Consolas" w:eastAsiaTheme="minorEastAsia" w:hAnsi="Consolas" w:cs="Consolas"/>
      <w:sz w:val="20"/>
      <w:szCs w:val="20"/>
    </w:rPr>
  </w:style>
  <w:style w:type="table" w:customStyle="1" w:styleId="110">
    <w:name w:val="Средняя сетка 11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210">
    <w:name w:val="Средняя сетка 21"/>
    <w:basedOn w:val="a4"/>
    <w:uiPriority w:val="99"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99"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99"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99"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99"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99"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99"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customStyle="1" w:styleId="310">
    <w:name w:val="Средняя сетка 31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customStyle="1" w:styleId="111">
    <w:name w:val="Средний список 11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99"/>
    <w:rsid w:val="00DC403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customStyle="1" w:styleId="211">
    <w:name w:val="Средний список 21"/>
    <w:basedOn w:val="a4"/>
    <w:uiPriority w:val="99"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99"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99"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99"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99"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99"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99"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99"/>
    <w:rsid w:val="00DC403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2"/>
    <w:link w:val="affff6"/>
    <w:uiPriority w:val="99"/>
    <w:semiHidden/>
    <w:rsid w:val="00DC4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6">
    <w:name w:val="Шапка Знак"/>
    <w:basedOn w:val="a3"/>
    <w:link w:val="affff5"/>
    <w:uiPriority w:val="99"/>
    <w:semiHidden/>
    <w:rsid w:val="00DC403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2"/>
    <w:uiPriority w:val="99"/>
    <w:semiHidden/>
    <w:rsid w:val="00DC4033"/>
    <w:rPr>
      <w:rFonts w:ascii="Times New Roman" w:hAnsi="Times New Roman" w:cs="Times New Roman"/>
      <w:szCs w:val="24"/>
    </w:rPr>
  </w:style>
  <w:style w:type="paragraph" w:styleId="affff8">
    <w:name w:val="Normal Indent"/>
    <w:basedOn w:val="a2"/>
    <w:uiPriority w:val="99"/>
    <w:semiHidden/>
    <w:rsid w:val="00DC4033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rsid w:val="00DC4033"/>
  </w:style>
  <w:style w:type="character" w:customStyle="1" w:styleId="affffa">
    <w:name w:val="Заголовок записки Знак"/>
    <w:basedOn w:val="a3"/>
    <w:link w:val="affff9"/>
    <w:uiPriority w:val="99"/>
    <w:semiHidden/>
    <w:rsid w:val="00DC4033"/>
    <w:rPr>
      <w:rFonts w:eastAsiaTheme="minorEastAsia"/>
      <w:sz w:val="24"/>
    </w:rPr>
  </w:style>
  <w:style w:type="character" w:styleId="affffb">
    <w:name w:val="Placeholder Text"/>
    <w:basedOn w:val="a3"/>
    <w:uiPriority w:val="99"/>
    <w:semiHidden/>
    <w:rsid w:val="0045649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affffc">
    <w:name w:val="Plain Text"/>
    <w:basedOn w:val="a2"/>
    <w:link w:val="affffd"/>
    <w:uiPriority w:val="99"/>
    <w:semiHidden/>
    <w:rsid w:val="00DC4033"/>
    <w:rPr>
      <w:rFonts w:ascii="Consolas" w:hAnsi="Consolas" w:cs="Consolas"/>
      <w:sz w:val="21"/>
      <w:szCs w:val="21"/>
    </w:rPr>
  </w:style>
  <w:style w:type="character" w:customStyle="1" w:styleId="affffd">
    <w:name w:val="Текст Знак"/>
    <w:basedOn w:val="a3"/>
    <w:link w:val="affffc"/>
    <w:uiPriority w:val="99"/>
    <w:semiHidden/>
    <w:rsid w:val="00DC4033"/>
    <w:rPr>
      <w:rFonts w:ascii="Consolas" w:eastAsiaTheme="minorEastAsia" w:hAnsi="Consolas" w:cs="Consolas"/>
      <w:sz w:val="21"/>
      <w:szCs w:val="21"/>
    </w:rPr>
  </w:style>
  <w:style w:type="paragraph" w:styleId="affffe">
    <w:name w:val="Salutation"/>
    <w:basedOn w:val="a2"/>
    <w:next w:val="a2"/>
    <w:link w:val="afffff"/>
    <w:uiPriority w:val="99"/>
    <w:semiHidden/>
    <w:rsid w:val="00DC4033"/>
  </w:style>
  <w:style w:type="character" w:customStyle="1" w:styleId="afffff">
    <w:name w:val="Приветствие Знак"/>
    <w:basedOn w:val="a3"/>
    <w:link w:val="affffe"/>
    <w:uiPriority w:val="99"/>
    <w:semiHidden/>
    <w:rsid w:val="00DC4033"/>
    <w:rPr>
      <w:rFonts w:eastAsiaTheme="minorEastAsia"/>
      <w:sz w:val="24"/>
    </w:rPr>
  </w:style>
  <w:style w:type="paragraph" w:styleId="afffff0">
    <w:name w:val="Signature"/>
    <w:basedOn w:val="a2"/>
    <w:link w:val="afffff1"/>
    <w:uiPriority w:val="99"/>
    <w:semiHidden/>
    <w:rsid w:val="00DC4033"/>
    <w:pPr>
      <w:ind w:left="4252"/>
    </w:pPr>
  </w:style>
  <w:style w:type="character" w:customStyle="1" w:styleId="afffff1">
    <w:name w:val="Подпись Знак"/>
    <w:basedOn w:val="a3"/>
    <w:link w:val="afffff0"/>
    <w:uiPriority w:val="99"/>
    <w:semiHidden/>
    <w:rsid w:val="00DC4033"/>
    <w:rPr>
      <w:rFonts w:eastAsiaTheme="minorEastAsia"/>
      <w:sz w:val="24"/>
    </w:rPr>
  </w:style>
  <w:style w:type="table" w:styleId="1a">
    <w:name w:val="Table 3D effects 1"/>
    <w:basedOn w:val="a4"/>
    <w:uiPriority w:val="99"/>
    <w:semiHidden/>
    <w:unhideWhenUsed/>
    <w:rsid w:val="00DC403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4"/>
    <w:uiPriority w:val="99"/>
    <w:semiHidden/>
    <w:unhideWhenUsed/>
    <w:rsid w:val="00DC403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DC403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4"/>
    <w:uiPriority w:val="99"/>
    <w:semiHidden/>
    <w:unhideWhenUsed/>
    <w:rsid w:val="00DC403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DC403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DC4033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DC4033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4"/>
    <w:uiPriority w:val="99"/>
    <w:semiHidden/>
    <w:unhideWhenUsed/>
    <w:rsid w:val="00DC4033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DC4033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DC4033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4"/>
    <w:uiPriority w:val="99"/>
    <w:semiHidden/>
    <w:unhideWhenUsed/>
    <w:rsid w:val="00DC4033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DC4033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DC4033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C4033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C4033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4"/>
    <w:uiPriority w:val="99"/>
    <w:semiHidden/>
    <w:unhideWhenUsed/>
    <w:rsid w:val="00DC4033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4"/>
    <w:uiPriority w:val="99"/>
    <w:semiHidden/>
    <w:unhideWhenUsed/>
    <w:rsid w:val="00DC4033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4"/>
    <w:uiPriority w:val="99"/>
    <w:semiHidden/>
    <w:unhideWhenUsed/>
    <w:rsid w:val="00DC403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DC4033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DC4033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DC4033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DC403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C403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C4033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C4033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3">
    <w:name w:val="Table List 1"/>
    <w:basedOn w:val="a4"/>
    <w:uiPriority w:val="99"/>
    <w:semiHidden/>
    <w:unhideWhenUsed/>
    <w:rsid w:val="00DC4033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DC4033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DC403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DC403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DC403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DC403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C4033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C403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2"/>
    <w:next w:val="a2"/>
    <w:uiPriority w:val="99"/>
    <w:semiHidden/>
    <w:rsid w:val="00DC4033"/>
    <w:pPr>
      <w:ind w:left="240" w:hanging="240"/>
    </w:pPr>
  </w:style>
  <w:style w:type="paragraph" w:styleId="afffff5">
    <w:name w:val="table of figures"/>
    <w:basedOn w:val="a2"/>
    <w:next w:val="a2"/>
    <w:uiPriority w:val="99"/>
    <w:semiHidden/>
    <w:rsid w:val="00DC4033"/>
  </w:style>
  <w:style w:type="table" w:styleId="afffff6">
    <w:name w:val="Table Professional"/>
    <w:basedOn w:val="a4"/>
    <w:uiPriority w:val="99"/>
    <w:semiHidden/>
    <w:unhideWhenUsed/>
    <w:rsid w:val="00DC403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DC4033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DC403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DC403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DC403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DC403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4"/>
    <w:uiPriority w:val="99"/>
    <w:semiHidden/>
    <w:unhideWhenUsed/>
    <w:rsid w:val="00DC403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Table Web 1"/>
    <w:basedOn w:val="a4"/>
    <w:uiPriority w:val="99"/>
    <w:semiHidden/>
    <w:unhideWhenUsed/>
    <w:rsid w:val="00DC4033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DC4033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DC4033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9"/>
    <w:semiHidden/>
    <w:rsid w:val="0045649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9"/>
    <w:semiHidden/>
    <w:rsid w:val="0045649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9"/>
    <w:semiHidden/>
    <w:rsid w:val="00DC4033"/>
    <w:pPr>
      <w:spacing w:after="100"/>
      <w:ind w:left="1680"/>
    </w:pPr>
  </w:style>
  <w:style w:type="paragraph" w:styleId="92">
    <w:name w:val="toc 9"/>
    <w:basedOn w:val="a2"/>
    <w:next w:val="a2"/>
    <w:autoRedefine/>
    <w:uiPriority w:val="99"/>
    <w:semiHidden/>
    <w:rsid w:val="00DC4033"/>
    <w:pPr>
      <w:spacing w:after="100"/>
      <w:ind w:left="1920"/>
    </w:pPr>
  </w:style>
  <w:style w:type="paragraph" w:customStyle="1" w:styleId="DecHTitle">
    <w:name w:val="Dec_H_Title"/>
    <w:basedOn w:val="ECHRTitleCentre1"/>
    <w:uiPriority w:val="7"/>
    <w:qFormat/>
    <w:rsid w:val="0045649E"/>
  </w:style>
  <w:style w:type="paragraph" w:customStyle="1" w:styleId="DecList">
    <w:name w:val="Dec_List"/>
    <w:basedOn w:val="a2"/>
    <w:uiPriority w:val="9"/>
    <w:qFormat/>
    <w:rsid w:val="0045649E"/>
    <w:pPr>
      <w:spacing w:before="240"/>
      <w:ind w:left="284"/>
    </w:pPr>
  </w:style>
  <w:style w:type="paragraph" w:customStyle="1" w:styleId="ECHRFooter">
    <w:name w:val="ECHR_Footer"/>
    <w:aliases w:val="Footer_ECHR"/>
    <w:basedOn w:val="af2"/>
    <w:uiPriority w:val="57"/>
    <w:semiHidden/>
    <w:rsid w:val="0045649E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a2"/>
    <w:next w:val="ECHRFooter"/>
    <w:uiPriority w:val="57"/>
    <w:semiHidden/>
    <w:rsid w:val="0045649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TitleCentre2">
    <w:name w:val="ECHR_Title_Centre_2"/>
    <w:aliases w:val="Dec_H_Case"/>
    <w:basedOn w:val="a2"/>
    <w:next w:val="ECHRPara"/>
    <w:uiPriority w:val="8"/>
    <w:qFormat/>
    <w:rsid w:val="0045649E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AppQuestion">
    <w:name w:val="Ju_App_Question"/>
    <w:basedOn w:val="a2"/>
    <w:uiPriority w:val="5"/>
    <w:qFormat/>
    <w:rsid w:val="0045649E"/>
    <w:pPr>
      <w:numPr>
        <w:numId w:val="21"/>
      </w:numPr>
      <w:jc w:val="left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45649E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Title">
    <w:name w:val="Ju_Title"/>
    <w:basedOn w:val="a2"/>
    <w:next w:val="ECHRPara"/>
    <w:uiPriority w:val="3"/>
    <w:qFormat/>
    <w:rsid w:val="0045649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afffff8">
    <w:name w:val="Revision"/>
    <w:hidden/>
    <w:uiPriority w:val="99"/>
    <w:semiHidden/>
    <w:rsid w:val="00E81B07"/>
    <w:rPr>
      <w:rFonts w:eastAsiaTheme="minorEastAsia"/>
      <w:sz w:val="24"/>
    </w:rPr>
  </w:style>
  <w:style w:type="character" w:customStyle="1" w:styleId="JuNames0">
    <w:name w:val="Ju_Names"/>
    <w:rsid w:val="00E81B07"/>
    <w:rPr>
      <w:smallCaps/>
    </w:rPr>
  </w:style>
  <w:style w:type="character" w:customStyle="1" w:styleId="JuParaCar">
    <w:name w:val="Ju_Para Car"/>
    <w:link w:val="ECHRPara"/>
    <w:uiPriority w:val="12"/>
    <w:rsid w:val="00E81B07"/>
    <w:rPr>
      <w:rFonts w:eastAsiaTheme="minorEastAsia"/>
      <w:sz w:val="24"/>
    </w:rPr>
  </w:style>
  <w:style w:type="paragraph" w:customStyle="1" w:styleId="CLLJuPara">
    <w:name w:val="CLL_Ju_Para"/>
    <w:basedOn w:val="a2"/>
    <w:qFormat/>
    <w:rsid w:val="00E81B07"/>
    <w:pPr>
      <w:ind w:left="624" w:hanging="624"/>
      <w:jc w:val="left"/>
    </w:pPr>
    <w:rPr>
      <w:lang w:val="fr-FR"/>
    </w:rPr>
  </w:style>
  <w:style w:type="character" w:customStyle="1" w:styleId="CLLItalic">
    <w:name w:val="CLL_Italic"/>
    <w:basedOn w:val="a3"/>
    <w:uiPriority w:val="1"/>
    <w:rsid w:val="00E81B07"/>
    <w:rPr>
      <w:i/>
      <w:iCs/>
      <w:color w:val="auto"/>
      <w:lang w:val="fr-FR"/>
    </w:rPr>
  </w:style>
  <w:style w:type="character" w:customStyle="1" w:styleId="CLLItalicSuperscript">
    <w:name w:val="CLL_ItalicSuperscript"/>
    <w:basedOn w:val="a3"/>
    <w:uiPriority w:val="1"/>
    <w:rsid w:val="00E81B07"/>
    <w:rPr>
      <w:i/>
      <w:vertAlign w:val="superscript"/>
      <w:lang w:val="fr-FR"/>
    </w:rPr>
  </w:style>
  <w:style w:type="character" w:customStyle="1" w:styleId="CLLSuperscript">
    <w:name w:val="CLL_Superscript"/>
    <w:basedOn w:val="a3"/>
    <w:uiPriority w:val="1"/>
    <w:rsid w:val="00E81B07"/>
    <w:rPr>
      <w:b w:val="0"/>
      <w:i w:val="0"/>
      <w:vertAlign w:val="superscript"/>
      <w:lang w:val="fr-FR"/>
    </w:rPr>
  </w:style>
  <w:style w:type="character" w:customStyle="1" w:styleId="ECHRParaChar">
    <w:name w:val="ECHR_Para Char"/>
    <w:aliases w:val="Ju_Para Char"/>
    <w:uiPriority w:val="12"/>
    <w:rsid w:val="008E63DE"/>
    <w:rPr>
      <w:rFonts w:eastAsiaTheme="minorEastAsia"/>
      <w:sz w:val="24"/>
    </w:rPr>
  </w:style>
  <w:style w:type="character" w:customStyle="1" w:styleId="hps">
    <w:name w:val="hps"/>
    <w:basedOn w:val="a3"/>
    <w:rsid w:val="001F3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41E6-AE6D-4995-B3F8-AC5647F88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DF6166-A03E-4B6F-8177-700757F5A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BA652-CC39-40BB-AD62-D3CA8DE4A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68E39B-19BC-4E66-BA3B-18FD7631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21592</Words>
  <Characters>123076</Characters>
  <Application>Microsoft Office Word</Application>
  <DocSecurity>0</DocSecurity>
  <Lines>1025</Lines>
  <Paragraphs>288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DE2.0b</vt:lpstr>
    </vt:vector>
  </TitlesOfParts>
  <Manager/>
  <Company/>
  <LinksUpToDate>false</LinksUpToDate>
  <CharactersWithSpaces>144380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lastModifiedBy/>
  <cp:revision>1</cp:revision>
  <cp:lastPrinted>2017-08-22T10:41:00Z</cp:lastPrinted>
  <dcterms:created xsi:type="dcterms:W3CDTF">2021-01-17T08:15:00Z</dcterms:created>
  <dcterms:modified xsi:type="dcterms:W3CDTF">2021-01-19T12:02:00Z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61496/08</vt:lpwstr>
  </property>
  <property fmtid="{D5CDD505-2E9C-101B-9397-08002B2CF9AE}" pid="4" name="CASEID">
    <vt:lpwstr>545699</vt:lpwstr>
  </property>
  <property fmtid="{D5CDD505-2E9C-101B-9397-08002B2CF9AE}" pid="5" name="ContentTypeId">
    <vt:lpwstr>0x010100558EB02BDB9E204AB350EDD385B68E10</vt:lpwstr>
  </property>
</Properties>
</file>