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0D" w:rsidRPr="00E93710" w:rsidRDefault="0098410D" w:rsidP="00852217">
      <w:pPr>
        <w:jc w:val="center"/>
        <w:rPr>
          <w:lang w:val="uk-UA"/>
        </w:rPr>
      </w:pPr>
    </w:p>
    <w:p w:rsidR="0098410D" w:rsidRPr="00E93710" w:rsidRDefault="0098410D" w:rsidP="00852217">
      <w:pPr>
        <w:jc w:val="center"/>
        <w:rPr>
          <w:lang w:val="uk-UA"/>
        </w:rPr>
      </w:pPr>
    </w:p>
    <w:p w:rsidR="007C6EE5" w:rsidRPr="00E93710" w:rsidRDefault="007C6EE5" w:rsidP="00852217">
      <w:pPr>
        <w:jc w:val="center"/>
        <w:rPr>
          <w:lang w:val="uk-UA"/>
        </w:rPr>
      </w:pPr>
    </w:p>
    <w:p w:rsidR="0098410D" w:rsidRPr="000A38E5" w:rsidRDefault="00F56CF1" w:rsidP="00852217">
      <w:pPr>
        <w:tabs>
          <w:tab w:val="left" w:pos="5529"/>
        </w:tabs>
        <w:jc w:val="center"/>
        <w:rPr>
          <w:lang w:val="uk-UA"/>
        </w:rPr>
      </w:pPr>
      <w:r w:rsidRPr="000A38E5">
        <w:rPr>
          <w:lang w:val="uk-UA"/>
        </w:rPr>
        <w:t>ЧЕТВЕРТА СЕКЦІЯ</w:t>
      </w:r>
    </w:p>
    <w:p w:rsidR="0098410D" w:rsidRPr="00E93710" w:rsidRDefault="0098410D" w:rsidP="00852217">
      <w:pPr>
        <w:jc w:val="center"/>
        <w:rPr>
          <w:lang w:val="uk-UA"/>
        </w:rPr>
      </w:pPr>
    </w:p>
    <w:p w:rsidR="0098410D" w:rsidRPr="00E93710" w:rsidRDefault="0098410D" w:rsidP="00852217">
      <w:pPr>
        <w:jc w:val="center"/>
        <w:rPr>
          <w:lang w:val="uk-UA"/>
        </w:rPr>
      </w:pPr>
    </w:p>
    <w:p w:rsidR="007C6EE5" w:rsidRPr="00E93710" w:rsidRDefault="007C6EE5" w:rsidP="00852217">
      <w:pPr>
        <w:jc w:val="center"/>
        <w:rPr>
          <w:lang w:val="uk-UA"/>
        </w:rPr>
      </w:pPr>
    </w:p>
    <w:p w:rsidR="0098410D" w:rsidRPr="00E93710" w:rsidRDefault="0098410D" w:rsidP="00852217">
      <w:pPr>
        <w:jc w:val="center"/>
        <w:rPr>
          <w:lang w:val="uk-UA"/>
        </w:rPr>
      </w:pPr>
    </w:p>
    <w:p w:rsidR="0098410D" w:rsidRPr="00E93710" w:rsidRDefault="0098410D" w:rsidP="00852217">
      <w:pPr>
        <w:jc w:val="center"/>
        <w:rPr>
          <w:lang w:val="uk-UA"/>
        </w:rPr>
      </w:pPr>
    </w:p>
    <w:p w:rsidR="0098410D" w:rsidRPr="00E93710" w:rsidRDefault="0098410D" w:rsidP="00852217">
      <w:pPr>
        <w:jc w:val="center"/>
        <w:rPr>
          <w:lang w:val="uk-UA"/>
        </w:rPr>
      </w:pPr>
    </w:p>
    <w:p w:rsidR="0098410D" w:rsidRPr="000A38E5" w:rsidRDefault="00F56CF1" w:rsidP="00852217">
      <w:pPr>
        <w:jc w:val="center"/>
        <w:outlineLvl w:val="0"/>
        <w:rPr>
          <w:b/>
          <w:lang w:val="uk-UA"/>
        </w:rPr>
      </w:pPr>
      <w:r w:rsidRPr="000A38E5">
        <w:rPr>
          <w:b/>
          <w:lang w:val="uk-UA"/>
        </w:rPr>
        <w:t>ЧЕРНЕГ</w:t>
      </w:r>
      <w:r w:rsidR="00334477" w:rsidRPr="000A38E5">
        <w:rPr>
          <w:b/>
          <w:lang w:val="uk-UA"/>
        </w:rPr>
        <w:t>А</w:t>
      </w:r>
      <w:r w:rsidRPr="000A38E5">
        <w:rPr>
          <w:b/>
          <w:lang w:val="uk-UA"/>
        </w:rPr>
        <w:t xml:space="preserve"> ТА ІНШ</w:t>
      </w:r>
      <w:r w:rsidR="00334477" w:rsidRPr="000A38E5">
        <w:rPr>
          <w:b/>
          <w:lang w:val="uk-UA"/>
        </w:rPr>
        <w:t>І</w:t>
      </w:r>
      <w:r w:rsidRPr="000A38E5">
        <w:rPr>
          <w:b/>
          <w:lang w:val="uk-UA"/>
        </w:rPr>
        <w:t xml:space="preserve"> ПРОТИ УКРАЇНИ</w:t>
      </w:r>
    </w:p>
    <w:p w:rsidR="0098410D" w:rsidRPr="00E93710" w:rsidRDefault="0098410D" w:rsidP="00852217">
      <w:pPr>
        <w:jc w:val="center"/>
        <w:rPr>
          <w:lang w:val="uk-UA"/>
        </w:rPr>
      </w:pPr>
    </w:p>
    <w:p w:rsidR="0098410D" w:rsidRPr="00E93710" w:rsidRDefault="0098410D" w:rsidP="00852217">
      <w:pPr>
        <w:jc w:val="center"/>
        <w:rPr>
          <w:i/>
          <w:lang w:val="uk-UA"/>
        </w:rPr>
      </w:pPr>
      <w:r w:rsidRPr="00E93710">
        <w:rPr>
          <w:i/>
          <w:lang w:val="uk-UA"/>
        </w:rPr>
        <w:t>(</w:t>
      </w:r>
      <w:r w:rsidR="00F56CF1" w:rsidRPr="000A38E5">
        <w:rPr>
          <w:i/>
          <w:lang w:val="uk-UA"/>
        </w:rPr>
        <w:t>Заява №</w:t>
      </w:r>
      <w:r w:rsidRPr="00E93710">
        <w:rPr>
          <w:i/>
          <w:lang w:val="uk-UA"/>
        </w:rPr>
        <w:t xml:space="preserve"> </w:t>
      </w:r>
      <w:r w:rsidR="00D83351" w:rsidRPr="00E93710">
        <w:rPr>
          <w:i/>
          <w:lang w:val="uk-UA"/>
        </w:rPr>
        <w:t>74768/10</w:t>
      </w:r>
      <w:r w:rsidRPr="00E93710">
        <w:rPr>
          <w:i/>
          <w:lang w:val="uk-UA"/>
        </w:rPr>
        <w:t>)</w:t>
      </w:r>
    </w:p>
    <w:p w:rsidR="0098410D" w:rsidRPr="00E93710" w:rsidRDefault="0098410D" w:rsidP="00852217">
      <w:pPr>
        <w:jc w:val="center"/>
        <w:rPr>
          <w:lang w:val="uk-UA"/>
        </w:rPr>
      </w:pPr>
    </w:p>
    <w:p w:rsidR="0098410D" w:rsidRPr="00E93710" w:rsidRDefault="0098410D" w:rsidP="00852217">
      <w:pPr>
        <w:jc w:val="center"/>
        <w:rPr>
          <w:lang w:val="uk-UA"/>
        </w:rPr>
      </w:pPr>
    </w:p>
    <w:p w:rsidR="0098410D" w:rsidRPr="00E93710" w:rsidRDefault="0098410D" w:rsidP="00852217">
      <w:pPr>
        <w:jc w:val="center"/>
        <w:rPr>
          <w:lang w:val="uk-UA"/>
        </w:rPr>
      </w:pPr>
    </w:p>
    <w:p w:rsidR="0098410D" w:rsidRPr="00E93710" w:rsidRDefault="0098410D" w:rsidP="00852217">
      <w:pPr>
        <w:jc w:val="center"/>
        <w:rPr>
          <w:lang w:val="uk-UA"/>
        </w:rPr>
      </w:pPr>
    </w:p>
    <w:p w:rsidR="0098410D" w:rsidRPr="00E93710" w:rsidRDefault="0098410D" w:rsidP="00852217">
      <w:pPr>
        <w:jc w:val="center"/>
        <w:rPr>
          <w:lang w:val="uk-UA"/>
        </w:rPr>
      </w:pPr>
    </w:p>
    <w:p w:rsidR="0098410D" w:rsidRPr="00E93710" w:rsidRDefault="0098410D" w:rsidP="00852217">
      <w:pPr>
        <w:jc w:val="center"/>
        <w:rPr>
          <w:lang w:val="uk-UA"/>
        </w:rPr>
      </w:pPr>
    </w:p>
    <w:p w:rsidR="0098410D" w:rsidRPr="00E93710" w:rsidRDefault="0098410D" w:rsidP="00852217">
      <w:pPr>
        <w:jc w:val="center"/>
        <w:rPr>
          <w:lang w:val="uk-UA"/>
        </w:rPr>
      </w:pPr>
    </w:p>
    <w:p w:rsidR="007C6EE5" w:rsidRPr="00E93710" w:rsidRDefault="007C6EE5" w:rsidP="00852217">
      <w:pPr>
        <w:jc w:val="center"/>
        <w:rPr>
          <w:lang w:val="uk-UA"/>
        </w:rPr>
      </w:pPr>
    </w:p>
    <w:p w:rsidR="007C6EE5" w:rsidRPr="00E93710" w:rsidRDefault="007C6EE5" w:rsidP="00852217">
      <w:pPr>
        <w:jc w:val="center"/>
        <w:rPr>
          <w:lang w:val="uk-UA"/>
        </w:rPr>
      </w:pPr>
    </w:p>
    <w:p w:rsidR="007C6EE5" w:rsidRPr="00E93710" w:rsidRDefault="007C6EE5" w:rsidP="00852217">
      <w:pPr>
        <w:jc w:val="center"/>
        <w:rPr>
          <w:lang w:val="uk-UA"/>
        </w:rPr>
      </w:pPr>
    </w:p>
    <w:p w:rsidR="0098410D" w:rsidRPr="00E93710" w:rsidRDefault="0098410D" w:rsidP="00852217">
      <w:pPr>
        <w:jc w:val="center"/>
        <w:rPr>
          <w:lang w:val="uk-UA"/>
        </w:rPr>
      </w:pPr>
    </w:p>
    <w:p w:rsidR="0098410D" w:rsidRPr="00E93710" w:rsidRDefault="0098410D" w:rsidP="00852217">
      <w:pPr>
        <w:jc w:val="center"/>
        <w:rPr>
          <w:lang w:val="uk-UA"/>
        </w:rPr>
      </w:pPr>
    </w:p>
    <w:p w:rsidR="0098410D" w:rsidRPr="00E93710" w:rsidRDefault="0098410D" w:rsidP="00852217">
      <w:pPr>
        <w:jc w:val="center"/>
        <w:rPr>
          <w:lang w:val="uk-UA"/>
        </w:rPr>
      </w:pPr>
    </w:p>
    <w:p w:rsidR="0098410D" w:rsidRPr="000A38E5" w:rsidRDefault="00F56CF1" w:rsidP="00852217">
      <w:pPr>
        <w:jc w:val="center"/>
        <w:outlineLvl w:val="0"/>
        <w:rPr>
          <w:lang w:val="uk-UA"/>
        </w:rPr>
      </w:pPr>
      <w:r w:rsidRPr="000A38E5">
        <w:rPr>
          <w:lang w:val="uk-UA"/>
        </w:rPr>
        <w:t>РІШЕННЯ</w:t>
      </w:r>
    </w:p>
    <w:p w:rsidR="0098410D" w:rsidRPr="00E93710" w:rsidRDefault="0098410D" w:rsidP="00852217">
      <w:pPr>
        <w:jc w:val="center"/>
        <w:rPr>
          <w:i/>
          <w:lang w:val="uk-UA"/>
        </w:rPr>
      </w:pPr>
    </w:p>
    <w:p w:rsidR="007C6EE5" w:rsidRPr="00E93710" w:rsidRDefault="007C6EE5" w:rsidP="00852217">
      <w:pPr>
        <w:jc w:val="center"/>
        <w:rPr>
          <w:i/>
          <w:lang w:val="uk-UA"/>
        </w:rPr>
      </w:pPr>
    </w:p>
    <w:p w:rsidR="007C6EE5" w:rsidRPr="00E93710" w:rsidRDefault="007C6EE5" w:rsidP="00852217">
      <w:pPr>
        <w:jc w:val="center"/>
        <w:rPr>
          <w:i/>
          <w:lang w:val="uk-UA"/>
        </w:rPr>
      </w:pPr>
    </w:p>
    <w:p w:rsidR="007C6EE5" w:rsidRPr="00E93710" w:rsidRDefault="007C6EE5" w:rsidP="00852217">
      <w:pPr>
        <w:jc w:val="center"/>
        <w:rPr>
          <w:i/>
          <w:lang w:val="uk-UA"/>
        </w:rPr>
      </w:pPr>
    </w:p>
    <w:p w:rsidR="0098410D" w:rsidRPr="000A38E5" w:rsidRDefault="00F56CF1" w:rsidP="00852217">
      <w:pPr>
        <w:jc w:val="center"/>
        <w:outlineLvl w:val="0"/>
        <w:rPr>
          <w:lang w:val="uk-UA"/>
        </w:rPr>
      </w:pPr>
      <w:r w:rsidRPr="000A38E5">
        <w:rPr>
          <w:lang w:val="uk-UA"/>
        </w:rPr>
        <w:t>СТРАСБУРГ</w:t>
      </w:r>
    </w:p>
    <w:p w:rsidR="0098410D" w:rsidRPr="00E93710" w:rsidRDefault="0098410D" w:rsidP="00852217">
      <w:pPr>
        <w:jc w:val="center"/>
        <w:rPr>
          <w:lang w:val="uk-UA"/>
        </w:rPr>
      </w:pPr>
    </w:p>
    <w:p w:rsidR="0098410D" w:rsidRPr="00E93710" w:rsidRDefault="00D83351" w:rsidP="00852217">
      <w:pPr>
        <w:jc w:val="center"/>
        <w:rPr>
          <w:lang w:val="uk-UA"/>
        </w:rPr>
      </w:pPr>
      <w:r w:rsidRPr="00E93710">
        <w:rPr>
          <w:lang w:val="uk-UA"/>
        </w:rPr>
        <w:t xml:space="preserve">18 </w:t>
      </w:r>
      <w:r w:rsidR="00F56CF1" w:rsidRPr="000A38E5">
        <w:rPr>
          <w:lang w:val="uk-UA"/>
        </w:rPr>
        <w:t>червня</w:t>
      </w:r>
      <w:r w:rsidRPr="00E93710">
        <w:rPr>
          <w:lang w:val="uk-UA"/>
        </w:rPr>
        <w:t xml:space="preserve"> 2019</w:t>
      </w:r>
    </w:p>
    <w:p w:rsidR="0098410D" w:rsidRPr="00E93710" w:rsidRDefault="0098410D" w:rsidP="00852217">
      <w:pPr>
        <w:jc w:val="center"/>
        <w:rPr>
          <w:lang w:val="uk-UA"/>
        </w:rPr>
      </w:pPr>
    </w:p>
    <w:p w:rsidR="0098410D" w:rsidRPr="00E93710" w:rsidRDefault="0098410D" w:rsidP="00852217">
      <w:pPr>
        <w:jc w:val="center"/>
        <w:rPr>
          <w:lang w:val="uk-UA"/>
        </w:rPr>
      </w:pPr>
    </w:p>
    <w:p w:rsidR="0098410D" w:rsidRPr="00E93710" w:rsidRDefault="0098410D" w:rsidP="00852217">
      <w:pPr>
        <w:jc w:val="center"/>
        <w:rPr>
          <w:lang w:val="uk-UA"/>
        </w:rPr>
      </w:pPr>
    </w:p>
    <w:p w:rsidR="002422B6" w:rsidRPr="00E93710" w:rsidRDefault="00F56CF1" w:rsidP="00852217">
      <w:pPr>
        <w:rPr>
          <w:i/>
          <w:sz w:val="22"/>
          <w:lang w:val="uk-UA"/>
        </w:rPr>
      </w:pPr>
      <w:r w:rsidRPr="000A38E5">
        <w:rPr>
          <w:i/>
          <w:sz w:val="22"/>
          <w:lang w:val="uk-UA"/>
        </w:rPr>
        <w:t>Це рішення стане остаточним за обставин, наведених у статті</w:t>
      </w:r>
      <w:r w:rsidR="00D83351" w:rsidRPr="00E93710">
        <w:rPr>
          <w:i/>
          <w:sz w:val="22"/>
          <w:lang w:val="uk-UA"/>
        </w:rPr>
        <w:t xml:space="preserve"> 44 § 2 </w:t>
      </w:r>
      <w:r w:rsidRPr="000A38E5">
        <w:rPr>
          <w:i/>
          <w:sz w:val="22"/>
          <w:lang w:val="uk-UA"/>
        </w:rPr>
        <w:t>Конвенції</w:t>
      </w:r>
      <w:r w:rsidR="00D83351" w:rsidRPr="00E93710">
        <w:rPr>
          <w:i/>
          <w:sz w:val="22"/>
          <w:lang w:val="uk-UA"/>
        </w:rPr>
        <w:t xml:space="preserve">. </w:t>
      </w:r>
      <w:r w:rsidRPr="000A38E5">
        <w:rPr>
          <w:i/>
          <w:sz w:val="22"/>
          <w:lang w:val="uk-UA"/>
        </w:rPr>
        <w:t>До нього можуть бути внесені редакційні зміни</w:t>
      </w:r>
      <w:r w:rsidR="0098410D" w:rsidRPr="00E93710">
        <w:rPr>
          <w:i/>
          <w:sz w:val="22"/>
          <w:lang w:val="uk-UA"/>
        </w:rPr>
        <w:t>.</w:t>
      </w:r>
    </w:p>
    <w:p w:rsidR="0098410D" w:rsidRPr="00E93710" w:rsidRDefault="0098410D" w:rsidP="00852217">
      <w:pPr>
        <w:rPr>
          <w:lang w:val="uk-UA"/>
        </w:rPr>
        <w:sectPr w:rsidR="0098410D" w:rsidRPr="00E93710" w:rsidSect="00E93710">
          <w:headerReference w:type="default" r:id="rId11"/>
          <w:footerReference w:type="default" r:id="rId12"/>
          <w:headerReference w:type="first" r:id="rId13"/>
          <w:footnotePr>
            <w:numRestart w:val="eachSect"/>
          </w:footnotePr>
          <w:pgSz w:w="11906" w:h="16838" w:code="9"/>
          <w:pgMar w:top="907" w:right="851" w:bottom="851" w:left="851" w:header="1701" w:footer="720" w:gutter="0"/>
          <w:pgNumType w:start="1"/>
          <w:cols w:space="720"/>
          <w:noEndnote/>
          <w:docGrid w:linePitch="326"/>
        </w:sectPr>
      </w:pPr>
    </w:p>
    <w:p w:rsidR="00D83351" w:rsidRPr="00E93710" w:rsidRDefault="00D976BB" w:rsidP="00852217">
      <w:pPr>
        <w:pStyle w:val="JuCase"/>
        <w:rPr>
          <w:lang w:val="uk-UA"/>
        </w:rPr>
      </w:pPr>
      <w:r w:rsidRPr="000A38E5">
        <w:rPr>
          <w:lang w:val="uk-UA"/>
        </w:rPr>
        <w:lastRenderedPageBreak/>
        <w:t xml:space="preserve">У справі </w:t>
      </w:r>
      <w:proofErr w:type="spellStart"/>
      <w:r w:rsidRPr="000A38E5">
        <w:rPr>
          <w:lang w:val="uk-UA"/>
        </w:rPr>
        <w:t>Чернеги</w:t>
      </w:r>
      <w:proofErr w:type="spellEnd"/>
      <w:r w:rsidRPr="000A38E5">
        <w:rPr>
          <w:lang w:val="uk-UA"/>
        </w:rPr>
        <w:t xml:space="preserve"> та інших проти України</w:t>
      </w:r>
      <w:r w:rsidR="0098410D" w:rsidRPr="00E93710">
        <w:rPr>
          <w:lang w:val="uk-UA"/>
        </w:rPr>
        <w:t>,</w:t>
      </w:r>
    </w:p>
    <w:p w:rsidR="00D83351" w:rsidRPr="00E93710" w:rsidRDefault="00D976BB" w:rsidP="00852217">
      <w:pPr>
        <w:pStyle w:val="ECHRPara"/>
        <w:rPr>
          <w:lang w:val="uk-UA"/>
        </w:rPr>
      </w:pPr>
      <w:r w:rsidRPr="000A38E5">
        <w:rPr>
          <w:rFonts w:eastAsia="MS Mincho"/>
          <w:lang w:val="uk-UA"/>
        </w:rPr>
        <w:t>Європейський Суд з прав людини</w:t>
      </w:r>
      <w:r w:rsidRPr="00E93710">
        <w:rPr>
          <w:rFonts w:eastAsia="MS Mincho"/>
          <w:lang w:val="uk-UA"/>
        </w:rPr>
        <w:t xml:space="preserve"> (</w:t>
      </w:r>
      <w:r w:rsidRPr="000A38E5">
        <w:rPr>
          <w:rFonts w:eastAsia="MS Mincho"/>
          <w:lang w:val="uk-UA"/>
        </w:rPr>
        <w:t>Четверта секція</w:t>
      </w:r>
      <w:r w:rsidRPr="00E93710">
        <w:rPr>
          <w:rFonts w:eastAsia="MS Mincho"/>
          <w:lang w:val="uk-UA"/>
        </w:rPr>
        <w:t xml:space="preserve">), </w:t>
      </w:r>
      <w:r w:rsidRPr="000A38E5">
        <w:rPr>
          <w:rFonts w:eastAsia="MS Mincho"/>
          <w:lang w:val="uk-UA"/>
        </w:rPr>
        <w:t>розглядаючи справу Палатою у складі</w:t>
      </w:r>
      <w:r w:rsidR="00D83351" w:rsidRPr="00E93710">
        <w:rPr>
          <w:lang w:val="uk-UA"/>
        </w:rPr>
        <w:t>:</w:t>
      </w:r>
    </w:p>
    <w:p w:rsidR="00D83351" w:rsidRPr="00E93710" w:rsidRDefault="00D83351" w:rsidP="00852217">
      <w:pPr>
        <w:pStyle w:val="ECHRDecisionBody"/>
        <w:rPr>
          <w:lang w:val="uk-UA"/>
        </w:rPr>
      </w:pPr>
      <w:r w:rsidRPr="00E93710">
        <w:rPr>
          <w:lang w:val="uk-UA"/>
        </w:rPr>
        <w:tab/>
      </w:r>
      <w:proofErr w:type="spellStart"/>
      <w:r w:rsidRPr="00E93710">
        <w:rPr>
          <w:lang w:val="uk-UA"/>
        </w:rPr>
        <w:t>Jon</w:t>
      </w:r>
      <w:proofErr w:type="spellEnd"/>
      <w:r w:rsidRPr="00E93710">
        <w:rPr>
          <w:lang w:val="uk-UA"/>
        </w:rPr>
        <w:t xml:space="preserve"> </w:t>
      </w:r>
      <w:proofErr w:type="spellStart"/>
      <w:r w:rsidRPr="00E93710">
        <w:rPr>
          <w:lang w:val="uk-UA"/>
        </w:rPr>
        <w:t>Fridrik</w:t>
      </w:r>
      <w:proofErr w:type="spellEnd"/>
      <w:r w:rsidRPr="00E93710">
        <w:rPr>
          <w:lang w:val="uk-UA"/>
        </w:rPr>
        <w:t xml:space="preserve"> </w:t>
      </w:r>
      <w:proofErr w:type="spellStart"/>
      <w:r w:rsidRPr="00E93710">
        <w:rPr>
          <w:lang w:val="uk-UA"/>
        </w:rPr>
        <w:t>Kjølbro</w:t>
      </w:r>
      <w:proofErr w:type="spellEnd"/>
      <w:r w:rsidRPr="00E93710">
        <w:rPr>
          <w:lang w:val="uk-UA"/>
        </w:rPr>
        <w:t>,</w:t>
      </w:r>
      <w:r w:rsidRPr="00E93710">
        <w:rPr>
          <w:i/>
          <w:lang w:val="uk-UA"/>
        </w:rPr>
        <w:t xml:space="preserve"> </w:t>
      </w:r>
      <w:r w:rsidR="00E4255C" w:rsidRPr="000A38E5">
        <w:rPr>
          <w:i/>
          <w:lang w:val="uk-UA"/>
        </w:rPr>
        <w:t>г</w:t>
      </w:r>
      <w:r w:rsidR="00D976BB" w:rsidRPr="000A38E5">
        <w:rPr>
          <w:i/>
          <w:lang w:val="uk-UA"/>
        </w:rPr>
        <w:t>олов</w:t>
      </w:r>
      <w:r w:rsidR="00E4255C" w:rsidRPr="000A38E5">
        <w:rPr>
          <w:i/>
          <w:lang w:val="uk-UA"/>
        </w:rPr>
        <w:t>уючий</w:t>
      </w:r>
      <w:r w:rsidRPr="00E93710">
        <w:rPr>
          <w:i/>
          <w:lang w:val="uk-UA"/>
        </w:rPr>
        <w:t>,</w:t>
      </w:r>
      <w:r w:rsidRPr="00E93710">
        <w:rPr>
          <w:i/>
          <w:lang w:val="uk-UA"/>
        </w:rPr>
        <w:br/>
      </w:r>
      <w:r w:rsidRPr="00E93710">
        <w:rPr>
          <w:lang w:val="uk-UA"/>
        </w:rPr>
        <w:tab/>
      </w:r>
      <w:proofErr w:type="spellStart"/>
      <w:r w:rsidRPr="00E93710">
        <w:rPr>
          <w:lang w:val="uk-UA"/>
        </w:rPr>
        <w:t>Paulo</w:t>
      </w:r>
      <w:proofErr w:type="spellEnd"/>
      <w:r w:rsidRPr="00E93710">
        <w:rPr>
          <w:lang w:val="uk-UA"/>
        </w:rPr>
        <w:t xml:space="preserve"> </w:t>
      </w:r>
      <w:proofErr w:type="spellStart"/>
      <w:r w:rsidRPr="00E93710">
        <w:rPr>
          <w:lang w:val="uk-UA"/>
        </w:rPr>
        <w:t>Pinto</w:t>
      </w:r>
      <w:proofErr w:type="spellEnd"/>
      <w:r w:rsidRPr="00E93710">
        <w:rPr>
          <w:lang w:val="uk-UA"/>
        </w:rPr>
        <w:t xml:space="preserve"> </w:t>
      </w:r>
      <w:proofErr w:type="spellStart"/>
      <w:r w:rsidRPr="00E93710">
        <w:rPr>
          <w:lang w:val="uk-UA"/>
        </w:rPr>
        <w:t>de</w:t>
      </w:r>
      <w:proofErr w:type="spellEnd"/>
      <w:r w:rsidRPr="00E93710">
        <w:rPr>
          <w:lang w:val="uk-UA"/>
        </w:rPr>
        <w:t xml:space="preserve"> </w:t>
      </w:r>
      <w:proofErr w:type="spellStart"/>
      <w:r w:rsidRPr="00E93710">
        <w:rPr>
          <w:lang w:val="uk-UA"/>
        </w:rPr>
        <w:t>Albuquerque</w:t>
      </w:r>
      <w:proofErr w:type="spellEnd"/>
      <w:r w:rsidRPr="00E93710">
        <w:rPr>
          <w:lang w:val="uk-UA"/>
        </w:rPr>
        <w:t>,</w:t>
      </w:r>
      <w:r w:rsidRPr="00E93710">
        <w:rPr>
          <w:i/>
          <w:lang w:val="uk-UA"/>
        </w:rPr>
        <w:br/>
      </w:r>
      <w:r w:rsidRPr="00E93710">
        <w:rPr>
          <w:lang w:val="uk-UA"/>
        </w:rPr>
        <w:tab/>
      </w:r>
      <w:proofErr w:type="spellStart"/>
      <w:r w:rsidRPr="00E93710">
        <w:rPr>
          <w:lang w:val="uk-UA"/>
        </w:rPr>
        <w:t>Faris</w:t>
      </w:r>
      <w:proofErr w:type="spellEnd"/>
      <w:r w:rsidRPr="00E93710">
        <w:rPr>
          <w:lang w:val="uk-UA"/>
        </w:rPr>
        <w:t xml:space="preserve"> </w:t>
      </w:r>
      <w:proofErr w:type="spellStart"/>
      <w:r w:rsidRPr="00E93710">
        <w:rPr>
          <w:lang w:val="uk-UA"/>
        </w:rPr>
        <w:t>Vehabović</w:t>
      </w:r>
      <w:proofErr w:type="spellEnd"/>
      <w:r w:rsidRPr="00E93710">
        <w:rPr>
          <w:lang w:val="uk-UA"/>
        </w:rPr>
        <w:t>,</w:t>
      </w:r>
      <w:r w:rsidRPr="00E93710">
        <w:rPr>
          <w:i/>
          <w:lang w:val="uk-UA"/>
        </w:rPr>
        <w:br/>
      </w:r>
      <w:r w:rsidRPr="00E93710">
        <w:rPr>
          <w:lang w:val="uk-UA"/>
        </w:rPr>
        <w:tab/>
      </w:r>
      <w:proofErr w:type="spellStart"/>
      <w:r w:rsidRPr="00E93710">
        <w:rPr>
          <w:lang w:val="uk-UA"/>
        </w:rPr>
        <w:t>Egidijus</w:t>
      </w:r>
      <w:proofErr w:type="spellEnd"/>
      <w:r w:rsidRPr="00E93710">
        <w:rPr>
          <w:lang w:val="uk-UA"/>
        </w:rPr>
        <w:t xml:space="preserve"> </w:t>
      </w:r>
      <w:proofErr w:type="spellStart"/>
      <w:r w:rsidRPr="00E93710">
        <w:rPr>
          <w:lang w:val="uk-UA"/>
        </w:rPr>
        <w:t>Kūris</w:t>
      </w:r>
      <w:proofErr w:type="spellEnd"/>
      <w:r w:rsidRPr="00E93710">
        <w:rPr>
          <w:lang w:val="uk-UA"/>
        </w:rPr>
        <w:t>,</w:t>
      </w:r>
      <w:r w:rsidRPr="00E93710">
        <w:rPr>
          <w:i/>
          <w:lang w:val="uk-UA"/>
        </w:rPr>
        <w:br/>
      </w:r>
      <w:r w:rsidRPr="00E93710">
        <w:rPr>
          <w:lang w:val="uk-UA"/>
        </w:rPr>
        <w:tab/>
      </w:r>
      <w:proofErr w:type="spellStart"/>
      <w:r w:rsidRPr="00E93710">
        <w:rPr>
          <w:lang w:val="uk-UA"/>
        </w:rPr>
        <w:t>Georges</w:t>
      </w:r>
      <w:proofErr w:type="spellEnd"/>
      <w:r w:rsidRPr="00E93710">
        <w:rPr>
          <w:lang w:val="uk-UA"/>
        </w:rPr>
        <w:t xml:space="preserve"> </w:t>
      </w:r>
      <w:proofErr w:type="spellStart"/>
      <w:r w:rsidRPr="00E93710">
        <w:rPr>
          <w:lang w:val="uk-UA"/>
        </w:rPr>
        <w:t>Ravarani</w:t>
      </w:r>
      <w:proofErr w:type="spellEnd"/>
      <w:r w:rsidRPr="00E93710">
        <w:rPr>
          <w:lang w:val="uk-UA"/>
        </w:rPr>
        <w:t>,</w:t>
      </w:r>
      <w:r w:rsidRPr="00E93710">
        <w:rPr>
          <w:i/>
          <w:lang w:val="uk-UA"/>
        </w:rPr>
        <w:br/>
      </w:r>
      <w:r w:rsidRPr="00E93710">
        <w:rPr>
          <w:lang w:val="uk-UA"/>
        </w:rPr>
        <w:tab/>
      </w:r>
      <w:proofErr w:type="spellStart"/>
      <w:r w:rsidRPr="00E93710">
        <w:rPr>
          <w:lang w:val="uk-UA"/>
        </w:rPr>
        <w:t>Péter</w:t>
      </w:r>
      <w:proofErr w:type="spellEnd"/>
      <w:r w:rsidRPr="00E93710">
        <w:rPr>
          <w:lang w:val="uk-UA"/>
        </w:rPr>
        <w:t xml:space="preserve"> </w:t>
      </w:r>
      <w:proofErr w:type="spellStart"/>
      <w:r w:rsidRPr="00E93710">
        <w:rPr>
          <w:lang w:val="uk-UA"/>
        </w:rPr>
        <w:t>Paczolay</w:t>
      </w:r>
      <w:proofErr w:type="spellEnd"/>
      <w:r w:rsidRPr="00E93710">
        <w:rPr>
          <w:lang w:val="uk-UA"/>
        </w:rPr>
        <w:t>,</w:t>
      </w:r>
      <w:r w:rsidRPr="00E93710">
        <w:rPr>
          <w:i/>
          <w:lang w:val="uk-UA"/>
        </w:rPr>
        <w:t xml:space="preserve"> </w:t>
      </w:r>
      <w:r w:rsidR="00D976BB" w:rsidRPr="000A38E5">
        <w:rPr>
          <w:i/>
          <w:lang w:val="uk-UA"/>
        </w:rPr>
        <w:t>судді</w:t>
      </w:r>
      <w:r w:rsidRPr="00E93710">
        <w:rPr>
          <w:i/>
          <w:lang w:val="uk-UA"/>
        </w:rPr>
        <w:t>,</w:t>
      </w:r>
      <w:r w:rsidRPr="00E93710">
        <w:rPr>
          <w:i/>
          <w:lang w:val="uk-UA"/>
        </w:rPr>
        <w:br/>
      </w:r>
      <w:r w:rsidRPr="00E93710">
        <w:rPr>
          <w:lang w:val="uk-UA"/>
        </w:rPr>
        <w:tab/>
      </w:r>
      <w:proofErr w:type="spellStart"/>
      <w:r w:rsidRPr="00E93710">
        <w:rPr>
          <w:lang w:val="uk-UA"/>
        </w:rPr>
        <w:t>Sergiy</w:t>
      </w:r>
      <w:proofErr w:type="spellEnd"/>
      <w:r w:rsidRPr="00E93710">
        <w:rPr>
          <w:lang w:val="uk-UA"/>
        </w:rPr>
        <w:t xml:space="preserve"> </w:t>
      </w:r>
      <w:proofErr w:type="spellStart"/>
      <w:r w:rsidRPr="00E93710">
        <w:rPr>
          <w:lang w:val="uk-UA"/>
        </w:rPr>
        <w:t>Goncharenko</w:t>
      </w:r>
      <w:proofErr w:type="spellEnd"/>
      <w:r w:rsidRPr="00E93710">
        <w:rPr>
          <w:lang w:val="uk-UA"/>
        </w:rPr>
        <w:t>,</w:t>
      </w:r>
      <w:r w:rsidRPr="00E93710">
        <w:rPr>
          <w:i/>
          <w:lang w:val="uk-UA"/>
        </w:rPr>
        <w:t xml:space="preserve"> </w:t>
      </w:r>
      <w:r w:rsidR="00D976BB" w:rsidRPr="00E93710">
        <w:rPr>
          <w:i/>
          <w:iCs/>
          <w:lang w:val="uk-UA"/>
        </w:rPr>
        <w:t>суддя</w:t>
      </w:r>
      <w:r w:rsidR="00E4255C" w:rsidRPr="000A38E5">
        <w:rPr>
          <w:lang w:val="uk-UA"/>
        </w:rPr>
        <w:t xml:space="preserve"> </w:t>
      </w:r>
      <w:proofErr w:type="spellStart"/>
      <w:r w:rsidR="00E4255C" w:rsidRPr="00E93710">
        <w:rPr>
          <w:i/>
          <w:iCs/>
          <w:lang w:val="uk-UA"/>
        </w:rPr>
        <w:t>ad</w:t>
      </w:r>
      <w:proofErr w:type="spellEnd"/>
      <w:r w:rsidR="00E4255C" w:rsidRPr="00E93710">
        <w:rPr>
          <w:i/>
          <w:iCs/>
          <w:lang w:val="uk-UA"/>
        </w:rPr>
        <w:t xml:space="preserve"> </w:t>
      </w:r>
      <w:proofErr w:type="spellStart"/>
      <w:r w:rsidR="00E4255C" w:rsidRPr="00E93710">
        <w:rPr>
          <w:i/>
          <w:iCs/>
          <w:lang w:val="uk-UA"/>
        </w:rPr>
        <w:t>hoc</w:t>
      </w:r>
      <w:proofErr w:type="spellEnd"/>
      <w:r w:rsidRPr="00E93710">
        <w:rPr>
          <w:i/>
          <w:lang w:val="uk-UA"/>
        </w:rPr>
        <w:t>,</w:t>
      </w:r>
      <w:r w:rsidRPr="00E93710">
        <w:rPr>
          <w:szCs w:val="24"/>
          <w:lang w:val="uk-UA"/>
        </w:rPr>
        <w:br/>
      </w:r>
      <w:r w:rsidR="00D976BB" w:rsidRPr="000A38E5">
        <w:rPr>
          <w:lang w:val="uk-UA"/>
        </w:rPr>
        <w:t>а також</w:t>
      </w:r>
      <w:r w:rsidRPr="00E93710">
        <w:rPr>
          <w:lang w:val="uk-UA"/>
        </w:rPr>
        <w:t xml:space="preserve"> </w:t>
      </w:r>
      <w:proofErr w:type="spellStart"/>
      <w:r w:rsidRPr="00E93710">
        <w:rPr>
          <w:lang w:val="uk-UA"/>
        </w:rPr>
        <w:t>Marialena</w:t>
      </w:r>
      <w:proofErr w:type="spellEnd"/>
      <w:r w:rsidRPr="00E93710">
        <w:rPr>
          <w:lang w:val="uk-UA"/>
        </w:rPr>
        <w:t xml:space="preserve"> </w:t>
      </w:r>
      <w:proofErr w:type="spellStart"/>
      <w:r w:rsidRPr="00E93710">
        <w:rPr>
          <w:lang w:val="uk-UA"/>
        </w:rPr>
        <w:t>Tsirli</w:t>
      </w:r>
      <w:proofErr w:type="spellEnd"/>
      <w:r w:rsidRPr="00E93710">
        <w:rPr>
          <w:lang w:val="uk-UA"/>
        </w:rPr>
        <w:t xml:space="preserve">, </w:t>
      </w:r>
      <w:proofErr w:type="spellStart"/>
      <w:r w:rsidR="00E4255C" w:rsidRPr="00E93710">
        <w:rPr>
          <w:i/>
          <w:lang w:val="uk-UA"/>
        </w:rPr>
        <w:t>c</w:t>
      </w:r>
      <w:r w:rsidR="00E4255C" w:rsidRPr="000A38E5">
        <w:rPr>
          <w:i/>
          <w:lang w:val="uk-UA"/>
        </w:rPr>
        <w:t>екретар</w:t>
      </w:r>
      <w:proofErr w:type="spellEnd"/>
      <w:r w:rsidR="00E4255C" w:rsidRPr="000A38E5">
        <w:rPr>
          <w:i/>
          <w:lang w:val="uk-UA"/>
        </w:rPr>
        <w:t xml:space="preserve"> </w:t>
      </w:r>
      <w:r w:rsidR="00D976BB" w:rsidRPr="000A38E5">
        <w:rPr>
          <w:i/>
          <w:lang w:val="uk-UA"/>
        </w:rPr>
        <w:t>секції</w:t>
      </w:r>
      <w:r w:rsidRPr="00E93710">
        <w:rPr>
          <w:i/>
          <w:lang w:val="uk-UA"/>
        </w:rPr>
        <w:t>,</w:t>
      </w:r>
    </w:p>
    <w:p w:rsidR="00817CB1" w:rsidRPr="00E93710" w:rsidRDefault="00817CB1" w:rsidP="00817CB1">
      <w:pPr>
        <w:pStyle w:val="ECHRPara"/>
        <w:rPr>
          <w:rFonts w:eastAsia="MS Mincho"/>
          <w:lang w:val="uk-UA"/>
        </w:rPr>
      </w:pPr>
      <w:r w:rsidRPr="000A38E5">
        <w:rPr>
          <w:rFonts w:eastAsia="MS Mincho"/>
          <w:lang w:val="uk-UA"/>
        </w:rPr>
        <w:t xml:space="preserve">Провівши </w:t>
      </w:r>
      <w:r w:rsidRPr="00E93710">
        <w:rPr>
          <w:rFonts w:eastAsia="MS Mincho"/>
          <w:lang w:val="uk-UA"/>
        </w:rPr>
        <w:t>26 березня 2019 року</w:t>
      </w:r>
      <w:r w:rsidRPr="000A38E5">
        <w:rPr>
          <w:rFonts w:eastAsia="MS Mincho"/>
          <w:lang w:val="uk-UA"/>
        </w:rPr>
        <w:t xml:space="preserve"> слухання за зачиненими дверима</w:t>
      </w:r>
      <w:r w:rsidRPr="00E93710">
        <w:rPr>
          <w:rFonts w:eastAsia="MS Mincho"/>
          <w:lang w:val="uk-UA"/>
        </w:rPr>
        <w:t>,</w:t>
      </w:r>
    </w:p>
    <w:p w:rsidR="00D83351" w:rsidRPr="00E93710" w:rsidRDefault="00E4255C" w:rsidP="00817CB1">
      <w:pPr>
        <w:pStyle w:val="ECHRPara"/>
        <w:rPr>
          <w:lang w:val="uk-UA"/>
        </w:rPr>
      </w:pPr>
      <w:r w:rsidRPr="000A38E5">
        <w:rPr>
          <w:rFonts w:eastAsia="MS Mincho"/>
          <w:lang w:val="uk-UA"/>
        </w:rPr>
        <w:t xml:space="preserve">проголошує </w:t>
      </w:r>
      <w:r w:rsidR="00817CB1" w:rsidRPr="000A38E5">
        <w:rPr>
          <w:rFonts w:eastAsia="MS Mincho"/>
          <w:lang w:val="uk-UA"/>
        </w:rPr>
        <w:t>наступне рішення, яке було прийняте в той же день</w:t>
      </w:r>
      <w:r w:rsidR="00D83351" w:rsidRPr="00E93710">
        <w:rPr>
          <w:lang w:val="uk-UA"/>
        </w:rPr>
        <w:t>:</w:t>
      </w:r>
    </w:p>
    <w:p w:rsidR="00D83351" w:rsidRPr="000A38E5" w:rsidRDefault="00817CB1" w:rsidP="00852217">
      <w:pPr>
        <w:pStyle w:val="ECHRTitle1"/>
        <w:rPr>
          <w:lang w:val="uk-UA"/>
        </w:rPr>
      </w:pPr>
      <w:r w:rsidRPr="000A38E5">
        <w:rPr>
          <w:lang w:val="uk-UA"/>
        </w:rPr>
        <w:t>ПРОЦЕДУРА</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1</w:t>
      </w:r>
      <w:r w:rsidRPr="00E93710">
        <w:rPr>
          <w:noProof/>
          <w:lang w:val="uk-UA"/>
        </w:rPr>
        <w:fldChar w:fldCharType="end"/>
      </w:r>
      <w:r w:rsidR="00D83351" w:rsidRPr="00E93710">
        <w:rPr>
          <w:lang w:val="uk-UA"/>
        </w:rPr>
        <w:t>.</w:t>
      </w:r>
      <w:r w:rsidR="00334477" w:rsidRPr="000A38E5">
        <w:rPr>
          <w:lang w:val="uk-UA"/>
        </w:rPr>
        <w:t xml:space="preserve"> </w:t>
      </w:r>
      <w:r w:rsidR="00817CB1" w:rsidRPr="000A38E5">
        <w:rPr>
          <w:lang w:val="uk-UA"/>
        </w:rPr>
        <w:t>Дану справу розпочато за заявою</w:t>
      </w:r>
      <w:r w:rsidR="00D83351" w:rsidRPr="00E93710">
        <w:rPr>
          <w:lang w:val="uk-UA"/>
        </w:rPr>
        <w:t xml:space="preserve"> (</w:t>
      </w:r>
      <w:r w:rsidR="00817CB1" w:rsidRPr="000A38E5">
        <w:rPr>
          <w:lang w:val="uk-UA"/>
        </w:rPr>
        <w:t>№</w:t>
      </w:r>
      <w:r w:rsidR="00D83351" w:rsidRPr="00E93710">
        <w:rPr>
          <w:lang w:val="uk-UA"/>
        </w:rPr>
        <w:t xml:space="preserve"> 74768/10) </w:t>
      </w:r>
      <w:r w:rsidR="00817CB1" w:rsidRPr="000A38E5">
        <w:rPr>
          <w:rFonts w:eastAsia="MS Mincho"/>
          <w:lang w:val="uk-UA"/>
        </w:rPr>
        <w:t xml:space="preserve">проти України, </w:t>
      </w:r>
      <w:r w:rsidR="00334477" w:rsidRPr="000A38E5">
        <w:rPr>
          <w:rFonts w:eastAsia="MS Mincho"/>
          <w:lang w:val="uk-UA"/>
        </w:rPr>
        <w:t xml:space="preserve">яку </w:t>
      </w:r>
      <w:r w:rsidR="00817CB1" w:rsidRPr="000A38E5">
        <w:rPr>
          <w:rFonts w:eastAsia="MS Mincho"/>
          <w:lang w:val="uk-UA"/>
        </w:rPr>
        <w:t>пода</w:t>
      </w:r>
      <w:r w:rsidR="00334477" w:rsidRPr="000A38E5">
        <w:rPr>
          <w:rFonts w:eastAsia="MS Mincho"/>
          <w:lang w:val="uk-UA"/>
        </w:rPr>
        <w:t>ли</w:t>
      </w:r>
      <w:r w:rsidR="00817CB1" w:rsidRPr="000A38E5">
        <w:rPr>
          <w:rFonts w:eastAsia="MS Mincho"/>
          <w:lang w:val="uk-UA"/>
        </w:rPr>
        <w:t xml:space="preserve"> до Суду відповідно до статті 34 Конвенції про захист прав людини і основоположних свобод (надалі – «Конвенція») </w:t>
      </w:r>
      <w:r w:rsidR="00817CB1" w:rsidRPr="000A38E5">
        <w:rPr>
          <w:lang w:val="uk-UA"/>
        </w:rPr>
        <w:t>17 грудня</w:t>
      </w:r>
      <w:r w:rsidR="00D83351" w:rsidRPr="00E93710">
        <w:rPr>
          <w:lang w:val="uk-UA"/>
        </w:rPr>
        <w:t xml:space="preserve"> 2010 </w:t>
      </w:r>
      <w:r w:rsidR="00817CB1" w:rsidRPr="000A38E5">
        <w:rPr>
          <w:lang w:val="uk-UA"/>
        </w:rPr>
        <w:t>р</w:t>
      </w:r>
      <w:r w:rsidR="00E4255C" w:rsidRPr="000A38E5">
        <w:rPr>
          <w:lang w:val="uk-UA"/>
        </w:rPr>
        <w:t>оку</w:t>
      </w:r>
      <w:r w:rsidR="00817CB1" w:rsidRPr="000A38E5">
        <w:rPr>
          <w:lang w:val="uk-UA"/>
        </w:rPr>
        <w:t xml:space="preserve"> одинадцять громадянами України</w:t>
      </w:r>
      <w:r w:rsidR="00D83351" w:rsidRPr="00E93710">
        <w:rPr>
          <w:lang w:val="uk-UA"/>
        </w:rPr>
        <w:t xml:space="preserve"> </w:t>
      </w:r>
      <w:r w:rsidR="00817CB1" w:rsidRPr="00E93710">
        <w:rPr>
          <w:lang w:val="uk-UA"/>
        </w:rPr>
        <w:t>(</w:t>
      </w:r>
      <w:r w:rsidR="00817CB1" w:rsidRPr="000A38E5">
        <w:rPr>
          <w:lang w:val="uk-UA"/>
        </w:rPr>
        <w:t>надалі</w:t>
      </w:r>
      <w:r w:rsidR="00817CB1" w:rsidRPr="00E93710">
        <w:rPr>
          <w:lang w:val="uk-UA"/>
        </w:rPr>
        <w:t xml:space="preserve"> – «</w:t>
      </w:r>
      <w:r w:rsidR="00817CB1" w:rsidRPr="000A38E5">
        <w:rPr>
          <w:lang w:val="uk-UA"/>
        </w:rPr>
        <w:t>заявники</w:t>
      </w:r>
      <w:r w:rsidR="00817CB1" w:rsidRPr="00E93710">
        <w:rPr>
          <w:lang w:val="uk-UA"/>
        </w:rPr>
        <w:t>»)</w:t>
      </w:r>
      <w:r w:rsidR="00D83351" w:rsidRPr="00E93710">
        <w:rPr>
          <w:lang w:val="uk-UA"/>
        </w:rPr>
        <w:t>:</w:t>
      </w:r>
    </w:p>
    <w:p w:rsidR="00334477" w:rsidRPr="000A38E5" w:rsidRDefault="00DA663F" w:rsidP="000764D1">
      <w:pPr>
        <w:pStyle w:val="JuList"/>
        <w:numPr>
          <w:ilvl w:val="0"/>
          <w:numId w:val="23"/>
        </w:numPr>
        <w:rPr>
          <w:lang w:val="uk-UA"/>
        </w:rPr>
      </w:pPr>
      <w:r w:rsidRPr="000A38E5">
        <w:rPr>
          <w:lang w:val="uk-UA"/>
        </w:rPr>
        <w:t xml:space="preserve">Пан Денис Вадимович </w:t>
      </w:r>
      <w:proofErr w:type="spellStart"/>
      <w:r w:rsidRPr="000A38E5">
        <w:rPr>
          <w:lang w:val="uk-UA"/>
        </w:rPr>
        <w:t>Чернег</w:t>
      </w:r>
      <w:r w:rsidR="00334477" w:rsidRPr="000A38E5">
        <w:rPr>
          <w:lang w:val="uk-UA"/>
        </w:rPr>
        <w:t>а</w:t>
      </w:r>
      <w:proofErr w:type="spellEnd"/>
      <w:r w:rsidR="00D83351" w:rsidRPr="00E93710">
        <w:rPr>
          <w:lang w:val="uk-UA"/>
        </w:rPr>
        <w:t xml:space="preserve">, </w:t>
      </w:r>
      <w:r w:rsidRPr="000A38E5">
        <w:rPr>
          <w:lang w:val="uk-UA"/>
        </w:rPr>
        <w:t>1982 р</w:t>
      </w:r>
      <w:r w:rsidR="00E4255C" w:rsidRPr="000A38E5">
        <w:rPr>
          <w:lang w:val="uk-UA"/>
        </w:rPr>
        <w:t>оку народження</w:t>
      </w:r>
      <w:r w:rsidR="00D83351" w:rsidRPr="00E93710">
        <w:rPr>
          <w:lang w:val="uk-UA"/>
        </w:rPr>
        <w:t>;</w:t>
      </w:r>
      <w:r w:rsidR="00E4255C" w:rsidRPr="00E93710">
        <w:rPr>
          <w:lang w:val="uk-UA"/>
        </w:rPr>
        <w:t xml:space="preserve"> </w:t>
      </w:r>
    </w:p>
    <w:p w:rsidR="00D83351" w:rsidRPr="00E93710" w:rsidRDefault="00DA663F">
      <w:pPr>
        <w:pStyle w:val="JuList"/>
        <w:numPr>
          <w:ilvl w:val="0"/>
          <w:numId w:val="23"/>
        </w:numPr>
        <w:rPr>
          <w:lang w:val="uk-UA"/>
        </w:rPr>
      </w:pPr>
      <w:r w:rsidRPr="000A38E5">
        <w:rPr>
          <w:lang w:val="uk-UA"/>
        </w:rPr>
        <w:t xml:space="preserve">Пан Андрій Андрійович </w:t>
      </w:r>
      <w:proofErr w:type="spellStart"/>
      <w:r w:rsidRPr="000A38E5">
        <w:rPr>
          <w:lang w:val="uk-UA"/>
        </w:rPr>
        <w:t>Єварницький</w:t>
      </w:r>
      <w:proofErr w:type="spellEnd"/>
      <w:r w:rsidR="00D83351" w:rsidRPr="00E93710">
        <w:rPr>
          <w:lang w:val="uk-UA"/>
        </w:rPr>
        <w:t xml:space="preserve">, </w:t>
      </w:r>
      <w:r w:rsidRPr="000A38E5">
        <w:rPr>
          <w:lang w:val="uk-UA"/>
        </w:rPr>
        <w:t xml:space="preserve">1983 </w:t>
      </w:r>
      <w:proofErr w:type="spellStart"/>
      <w:r w:rsidRPr="000A38E5">
        <w:rPr>
          <w:lang w:val="uk-UA"/>
        </w:rPr>
        <w:t>р.н</w:t>
      </w:r>
      <w:proofErr w:type="spellEnd"/>
      <w:r w:rsidRPr="000A38E5">
        <w:rPr>
          <w:lang w:val="uk-UA"/>
        </w:rPr>
        <w:t>.</w:t>
      </w:r>
      <w:r w:rsidR="00D83351" w:rsidRPr="00E93710">
        <w:rPr>
          <w:lang w:val="uk-UA"/>
        </w:rPr>
        <w:t>;</w:t>
      </w:r>
    </w:p>
    <w:p w:rsidR="00D83351" w:rsidRPr="00E93710" w:rsidRDefault="00DA663F" w:rsidP="00852217">
      <w:pPr>
        <w:pStyle w:val="JuList"/>
        <w:numPr>
          <w:ilvl w:val="0"/>
          <w:numId w:val="23"/>
        </w:numPr>
        <w:rPr>
          <w:lang w:val="uk-UA"/>
        </w:rPr>
      </w:pPr>
      <w:r w:rsidRPr="000A38E5">
        <w:rPr>
          <w:lang w:val="uk-UA"/>
        </w:rPr>
        <w:t>Пан Ге</w:t>
      </w:r>
      <w:r w:rsidR="00334477" w:rsidRPr="000A38E5">
        <w:rPr>
          <w:lang w:val="uk-UA"/>
        </w:rPr>
        <w:t>н</w:t>
      </w:r>
      <w:r w:rsidRPr="000A38E5">
        <w:rPr>
          <w:lang w:val="uk-UA"/>
        </w:rPr>
        <w:t xml:space="preserve">надій Леонідович </w:t>
      </w:r>
      <w:proofErr w:type="spellStart"/>
      <w:r w:rsidRPr="000A38E5">
        <w:rPr>
          <w:lang w:val="uk-UA"/>
        </w:rPr>
        <w:t>Ковшик</w:t>
      </w:r>
      <w:proofErr w:type="spellEnd"/>
      <w:r w:rsidR="00D83351" w:rsidRPr="00E93710">
        <w:rPr>
          <w:lang w:val="uk-UA"/>
        </w:rPr>
        <w:t xml:space="preserve">, </w:t>
      </w:r>
      <w:r w:rsidRPr="000A38E5">
        <w:rPr>
          <w:lang w:val="uk-UA"/>
        </w:rPr>
        <w:t xml:space="preserve">1963 </w:t>
      </w:r>
      <w:proofErr w:type="spellStart"/>
      <w:r w:rsidRPr="000A38E5">
        <w:rPr>
          <w:lang w:val="uk-UA"/>
        </w:rPr>
        <w:t>р.н</w:t>
      </w:r>
      <w:proofErr w:type="spellEnd"/>
      <w:r w:rsidRPr="000A38E5">
        <w:rPr>
          <w:lang w:val="uk-UA"/>
        </w:rPr>
        <w:t>.</w:t>
      </w:r>
      <w:r w:rsidR="00D83351" w:rsidRPr="00E93710">
        <w:rPr>
          <w:lang w:val="uk-UA"/>
        </w:rPr>
        <w:t>;</w:t>
      </w:r>
    </w:p>
    <w:p w:rsidR="00D83351" w:rsidRPr="00E93710" w:rsidRDefault="00D55D87" w:rsidP="00852217">
      <w:pPr>
        <w:pStyle w:val="JuList"/>
        <w:numPr>
          <w:ilvl w:val="0"/>
          <w:numId w:val="23"/>
        </w:numPr>
        <w:rPr>
          <w:lang w:val="uk-UA"/>
        </w:rPr>
      </w:pPr>
      <w:r w:rsidRPr="000A38E5">
        <w:rPr>
          <w:lang w:val="uk-UA"/>
        </w:rPr>
        <w:t>Пан Борис Євгенович Захаров</w:t>
      </w:r>
      <w:r w:rsidR="00D83351" w:rsidRPr="00E93710">
        <w:rPr>
          <w:lang w:val="uk-UA"/>
        </w:rPr>
        <w:t xml:space="preserve">, </w:t>
      </w:r>
      <w:r w:rsidRPr="000A38E5">
        <w:rPr>
          <w:lang w:val="uk-UA"/>
        </w:rPr>
        <w:t xml:space="preserve">1977 </w:t>
      </w:r>
      <w:proofErr w:type="spellStart"/>
      <w:r w:rsidRPr="000A38E5">
        <w:rPr>
          <w:lang w:val="uk-UA"/>
        </w:rPr>
        <w:t>р.н</w:t>
      </w:r>
      <w:proofErr w:type="spellEnd"/>
      <w:r w:rsidRPr="000A38E5">
        <w:rPr>
          <w:lang w:val="uk-UA"/>
        </w:rPr>
        <w:t>.</w:t>
      </w:r>
      <w:r w:rsidR="00D83351" w:rsidRPr="00E93710">
        <w:rPr>
          <w:lang w:val="uk-UA"/>
        </w:rPr>
        <w:t>;</w:t>
      </w:r>
    </w:p>
    <w:p w:rsidR="00D83351" w:rsidRPr="00E93710" w:rsidRDefault="00126610" w:rsidP="00852217">
      <w:pPr>
        <w:pStyle w:val="JuList"/>
        <w:numPr>
          <w:ilvl w:val="0"/>
          <w:numId w:val="23"/>
        </w:numPr>
        <w:rPr>
          <w:lang w:val="uk-UA"/>
        </w:rPr>
      </w:pPr>
      <w:r w:rsidRPr="000A38E5">
        <w:rPr>
          <w:lang w:val="uk-UA"/>
        </w:rPr>
        <w:t xml:space="preserve">Пан Андрій Владиславович </w:t>
      </w:r>
      <w:proofErr w:type="spellStart"/>
      <w:r w:rsidRPr="000A38E5">
        <w:rPr>
          <w:lang w:val="uk-UA"/>
        </w:rPr>
        <w:t>Єварницький</w:t>
      </w:r>
      <w:proofErr w:type="spellEnd"/>
      <w:r w:rsidR="00D83351" w:rsidRPr="00E93710">
        <w:rPr>
          <w:lang w:val="uk-UA"/>
        </w:rPr>
        <w:t xml:space="preserve">, </w:t>
      </w:r>
      <w:r w:rsidRPr="000A38E5">
        <w:rPr>
          <w:lang w:val="uk-UA"/>
        </w:rPr>
        <w:t xml:space="preserve">1959 </w:t>
      </w:r>
      <w:proofErr w:type="spellStart"/>
      <w:r w:rsidRPr="000A38E5">
        <w:rPr>
          <w:lang w:val="uk-UA"/>
        </w:rPr>
        <w:t>р.н</w:t>
      </w:r>
      <w:proofErr w:type="spellEnd"/>
      <w:r w:rsidRPr="000A38E5">
        <w:rPr>
          <w:lang w:val="uk-UA"/>
        </w:rPr>
        <w:t>.</w:t>
      </w:r>
      <w:r w:rsidR="00D83351" w:rsidRPr="00E93710">
        <w:rPr>
          <w:lang w:val="uk-UA"/>
        </w:rPr>
        <w:t>;</w:t>
      </w:r>
    </w:p>
    <w:p w:rsidR="00D83351" w:rsidRPr="00E93710" w:rsidRDefault="00126610" w:rsidP="00852217">
      <w:pPr>
        <w:pStyle w:val="JuList"/>
        <w:numPr>
          <w:ilvl w:val="0"/>
          <w:numId w:val="23"/>
        </w:numPr>
        <w:rPr>
          <w:lang w:val="uk-UA"/>
        </w:rPr>
      </w:pPr>
      <w:r w:rsidRPr="000A38E5">
        <w:rPr>
          <w:lang w:val="uk-UA"/>
        </w:rPr>
        <w:t>Пан Ігор Федорович Ясинський</w:t>
      </w:r>
      <w:r w:rsidR="00D83351" w:rsidRPr="00E93710">
        <w:rPr>
          <w:lang w:val="uk-UA"/>
        </w:rPr>
        <w:t xml:space="preserve">, </w:t>
      </w:r>
      <w:r w:rsidRPr="000A38E5">
        <w:rPr>
          <w:lang w:val="uk-UA"/>
        </w:rPr>
        <w:t xml:space="preserve">1957 </w:t>
      </w:r>
      <w:proofErr w:type="spellStart"/>
      <w:r w:rsidRPr="000A38E5">
        <w:rPr>
          <w:lang w:val="uk-UA"/>
        </w:rPr>
        <w:t>р.н</w:t>
      </w:r>
      <w:proofErr w:type="spellEnd"/>
      <w:r w:rsidRPr="000A38E5">
        <w:rPr>
          <w:lang w:val="uk-UA"/>
        </w:rPr>
        <w:t>.</w:t>
      </w:r>
      <w:r w:rsidR="00D83351" w:rsidRPr="00E93710">
        <w:rPr>
          <w:lang w:val="uk-UA"/>
        </w:rPr>
        <w:t>;</w:t>
      </w:r>
    </w:p>
    <w:p w:rsidR="00D83351" w:rsidRPr="00E93710" w:rsidRDefault="00126610" w:rsidP="00852217">
      <w:pPr>
        <w:pStyle w:val="JuList"/>
        <w:numPr>
          <w:ilvl w:val="0"/>
          <w:numId w:val="23"/>
        </w:numPr>
        <w:rPr>
          <w:lang w:val="uk-UA"/>
        </w:rPr>
      </w:pPr>
      <w:r w:rsidRPr="000A38E5">
        <w:rPr>
          <w:lang w:val="uk-UA"/>
        </w:rPr>
        <w:t>Пані Любов Володимирівна Мельник</w:t>
      </w:r>
      <w:r w:rsidR="00D83351" w:rsidRPr="00E93710">
        <w:rPr>
          <w:lang w:val="uk-UA"/>
        </w:rPr>
        <w:t xml:space="preserve">, </w:t>
      </w:r>
      <w:r w:rsidRPr="000A38E5">
        <w:rPr>
          <w:lang w:val="uk-UA"/>
        </w:rPr>
        <w:t xml:space="preserve">1959 </w:t>
      </w:r>
      <w:proofErr w:type="spellStart"/>
      <w:r w:rsidRPr="000A38E5">
        <w:rPr>
          <w:lang w:val="uk-UA"/>
        </w:rPr>
        <w:t>р.н</w:t>
      </w:r>
      <w:proofErr w:type="spellEnd"/>
      <w:r w:rsidRPr="000A38E5">
        <w:rPr>
          <w:lang w:val="uk-UA"/>
        </w:rPr>
        <w:t>.</w:t>
      </w:r>
      <w:r w:rsidR="00D83351" w:rsidRPr="00E93710">
        <w:rPr>
          <w:lang w:val="uk-UA"/>
        </w:rPr>
        <w:t>;</w:t>
      </w:r>
    </w:p>
    <w:p w:rsidR="00D83351" w:rsidRPr="00E93710" w:rsidRDefault="00E6736C" w:rsidP="00852217">
      <w:pPr>
        <w:pStyle w:val="JuList"/>
        <w:numPr>
          <w:ilvl w:val="0"/>
          <w:numId w:val="23"/>
        </w:numPr>
        <w:rPr>
          <w:lang w:val="uk-UA"/>
        </w:rPr>
      </w:pPr>
      <w:r w:rsidRPr="000A38E5">
        <w:rPr>
          <w:lang w:val="uk-UA"/>
        </w:rPr>
        <w:t>Пан Сергій Сергійович Мельник</w:t>
      </w:r>
      <w:r w:rsidR="00D83351" w:rsidRPr="00E93710">
        <w:rPr>
          <w:lang w:val="uk-UA"/>
        </w:rPr>
        <w:t xml:space="preserve">, </w:t>
      </w:r>
      <w:r w:rsidRPr="000A38E5">
        <w:rPr>
          <w:lang w:val="uk-UA"/>
        </w:rPr>
        <w:t xml:space="preserve">1983 </w:t>
      </w:r>
      <w:proofErr w:type="spellStart"/>
      <w:r w:rsidRPr="000A38E5">
        <w:rPr>
          <w:lang w:val="uk-UA"/>
        </w:rPr>
        <w:t>р.н</w:t>
      </w:r>
      <w:proofErr w:type="spellEnd"/>
      <w:r w:rsidRPr="000A38E5">
        <w:rPr>
          <w:lang w:val="uk-UA"/>
        </w:rPr>
        <w:t>.</w:t>
      </w:r>
      <w:r w:rsidR="00D83351" w:rsidRPr="00E93710">
        <w:rPr>
          <w:lang w:val="uk-UA"/>
        </w:rPr>
        <w:t>;</w:t>
      </w:r>
    </w:p>
    <w:p w:rsidR="00D83351" w:rsidRPr="00E93710" w:rsidRDefault="00E6736C" w:rsidP="00852217">
      <w:pPr>
        <w:pStyle w:val="JuList"/>
        <w:numPr>
          <w:ilvl w:val="0"/>
          <w:numId w:val="23"/>
        </w:numPr>
        <w:rPr>
          <w:lang w:val="uk-UA"/>
        </w:rPr>
      </w:pPr>
      <w:r w:rsidRPr="000A38E5">
        <w:rPr>
          <w:lang w:val="uk-UA"/>
        </w:rPr>
        <w:t>Пан Андрій Вікторович Цуканов</w:t>
      </w:r>
      <w:r w:rsidR="00D83351" w:rsidRPr="00E93710">
        <w:rPr>
          <w:lang w:val="uk-UA"/>
        </w:rPr>
        <w:t xml:space="preserve">, </w:t>
      </w:r>
      <w:r w:rsidRPr="000A38E5">
        <w:rPr>
          <w:lang w:val="uk-UA"/>
        </w:rPr>
        <w:t xml:space="preserve">1969 </w:t>
      </w:r>
      <w:proofErr w:type="spellStart"/>
      <w:r w:rsidRPr="000A38E5">
        <w:rPr>
          <w:lang w:val="uk-UA"/>
        </w:rPr>
        <w:t>р.н</w:t>
      </w:r>
      <w:proofErr w:type="spellEnd"/>
      <w:r w:rsidRPr="000A38E5">
        <w:rPr>
          <w:lang w:val="uk-UA"/>
        </w:rPr>
        <w:t>.</w:t>
      </w:r>
      <w:r w:rsidR="00D83351" w:rsidRPr="00E93710">
        <w:rPr>
          <w:lang w:val="uk-UA"/>
        </w:rPr>
        <w:t>;</w:t>
      </w:r>
    </w:p>
    <w:p w:rsidR="00D83351" w:rsidRPr="00E93710" w:rsidRDefault="00FE03FC" w:rsidP="00852217">
      <w:pPr>
        <w:pStyle w:val="JuList"/>
        <w:numPr>
          <w:ilvl w:val="0"/>
          <w:numId w:val="23"/>
        </w:numPr>
        <w:rPr>
          <w:lang w:val="uk-UA"/>
        </w:rPr>
      </w:pPr>
      <w:r w:rsidRPr="000A38E5">
        <w:rPr>
          <w:lang w:val="uk-UA"/>
        </w:rPr>
        <w:t>Пан Валерій Юрійович Бортник</w:t>
      </w:r>
      <w:r w:rsidR="00D83351" w:rsidRPr="00E93710">
        <w:rPr>
          <w:lang w:val="uk-UA"/>
        </w:rPr>
        <w:t xml:space="preserve">, </w:t>
      </w:r>
      <w:r w:rsidRPr="000A38E5">
        <w:rPr>
          <w:lang w:val="uk-UA"/>
        </w:rPr>
        <w:t xml:space="preserve">1967 </w:t>
      </w:r>
      <w:proofErr w:type="spellStart"/>
      <w:r w:rsidRPr="000A38E5">
        <w:rPr>
          <w:lang w:val="uk-UA"/>
        </w:rPr>
        <w:t>р.н</w:t>
      </w:r>
      <w:proofErr w:type="spellEnd"/>
      <w:r w:rsidRPr="000A38E5">
        <w:rPr>
          <w:lang w:val="uk-UA"/>
        </w:rPr>
        <w:t>.</w:t>
      </w:r>
      <w:r w:rsidR="00D83351" w:rsidRPr="00E93710">
        <w:rPr>
          <w:lang w:val="uk-UA"/>
        </w:rPr>
        <w:t xml:space="preserve">; </w:t>
      </w:r>
      <w:r w:rsidRPr="000A38E5">
        <w:rPr>
          <w:lang w:val="uk-UA"/>
        </w:rPr>
        <w:t>та</w:t>
      </w:r>
    </w:p>
    <w:p w:rsidR="00D83351" w:rsidRPr="00E93710" w:rsidRDefault="00FE03FC" w:rsidP="00852217">
      <w:pPr>
        <w:pStyle w:val="JuList"/>
        <w:numPr>
          <w:ilvl w:val="0"/>
          <w:numId w:val="23"/>
        </w:numPr>
        <w:rPr>
          <w:lang w:val="uk-UA"/>
        </w:rPr>
      </w:pPr>
      <w:r w:rsidRPr="000A38E5">
        <w:rPr>
          <w:lang w:val="uk-UA"/>
        </w:rPr>
        <w:t>Пан Сергій Анатолійович Кирилін</w:t>
      </w:r>
      <w:r w:rsidR="00D83351" w:rsidRPr="00E93710">
        <w:rPr>
          <w:lang w:val="uk-UA"/>
        </w:rPr>
        <w:t xml:space="preserve">, </w:t>
      </w:r>
      <w:r w:rsidRPr="000A38E5">
        <w:rPr>
          <w:lang w:val="uk-UA"/>
        </w:rPr>
        <w:t xml:space="preserve">1962 </w:t>
      </w:r>
      <w:proofErr w:type="spellStart"/>
      <w:r w:rsidRPr="000A38E5">
        <w:rPr>
          <w:lang w:val="uk-UA"/>
        </w:rPr>
        <w:t>р.н</w:t>
      </w:r>
      <w:proofErr w:type="spellEnd"/>
      <w:r w:rsidRPr="000A38E5">
        <w:rPr>
          <w:lang w:val="uk-UA"/>
        </w:rPr>
        <w:t>.</w:t>
      </w:r>
      <w:r w:rsidR="00D83351" w:rsidRPr="00E93710">
        <w:rPr>
          <w:lang w:val="uk-UA"/>
        </w:rPr>
        <w:t>.</w:t>
      </w:r>
    </w:p>
    <w:bookmarkStart w:id="0" w:name="representatives"/>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2</w:t>
      </w:r>
      <w:r w:rsidRPr="00E93710">
        <w:rPr>
          <w:lang w:val="uk-UA"/>
        </w:rPr>
        <w:fldChar w:fldCharType="end"/>
      </w:r>
      <w:bookmarkEnd w:id="0"/>
      <w:r w:rsidR="00D83351" w:rsidRPr="00E93710">
        <w:rPr>
          <w:lang w:val="uk-UA"/>
        </w:rPr>
        <w:t>.</w:t>
      </w:r>
      <w:r w:rsidR="00334477" w:rsidRPr="000A38E5">
        <w:rPr>
          <w:lang w:val="uk-UA"/>
        </w:rPr>
        <w:t xml:space="preserve"> </w:t>
      </w:r>
      <w:r w:rsidR="00341153" w:rsidRPr="000A38E5">
        <w:rPr>
          <w:lang w:val="uk-UA"/>
        </w:rPr>
        <w:t>Заявників представляв пан М. Тарахкало, адвокат</w:t>
      </w:r>
      <w:r w:rsidR="00D83351" w:rsidRPr="00E93710">
        <w:rPr>
          <w:lang w:val="uk-UA"/>
        </w:rPr>
        <w:t xml:space="preserve">, </w:t>
      </w:r>
      <w:r w:rsidR="00341153" w:rsidRPr="000A38E5">
        <w:rPr>
          <w:lang w:val="uk-UA"/>
        </w:rPr>
        <w:t>що практикує у Києві</w:t>
      </w:r>
      <w:r w:rsidR="00D83351" w:rsidRPr="00E93710">
        <w:rPr>
          <w:lang w:val="uk-UA"/>
        </w:rPr>
        <w:t xml:space="preserve">. </w:t>
      </w:r>
      <w:r w:rsidR="00341153" w:rsidRPr="000A38E5">
        <w:rPr>
          <w:lang w:val="uk-UA"/>
        </w:rPr>
        <w:t xml:space="preserve">Коли </w:t>
      </w:r>
      <w:r w:rsidR="00E4255C" w:rsidRPr="000A38E5">
        <w:rPr>
          <w:lang w:val="uk-UA"/>
        </w:rPr>
        <w:t xml:space="preserve">подавались </w:t>
      </w:r>
      <w:r w:rsidR="00341153" w:rsidRPr="000A38E5">
        <w:rPr>
          <w:lang w:val="uk-UA"/>
        </w:rPr>
        <w:t xml:space="preserve">заява </w:t>
      </w:r>
      <w:r w:rsidR="00E4255C" w:rsidRPr="000A38E5">
        <w:rPr>
          <w:lang w:val="uk-UA"/>
        </w:rPr>
        <w:t xml:space="preserve">та </w:t>
      </w:r>
      <w:r w:rsidR="00341153" w:rsidRPr="000A38E5">
        <w:rPr>
          <w:lang w:val="uk-UA"/>
        </w:rPr>
        <w:t xml:space="preserve">зауваження заявників та вимоги стосовно справедливої сатисфакції </w:t>
      </w:r>
      <w:r w:rsidR="00E4255C" w:rsidRPr="000A38E5">
        <w:rPr>
          <w:lang w:val="uk-UA"/>
        </w:rPr>
        <w:t>15 </w:t>
      </w:r>
      <w:r w:rsidR="00341153" w:rsidRPr="000A38E5">
        <w:rPr>
          <w:lang w:val="uk-UA"/>
        </w:rPr>
        <w:t>листопада</w:t>
      </w:r>
      <w:r w:rsidR="00D83351" w:rsidRPr="00E93710">
        <w:rPr>
          <w:lang w:val="uk-UA"/>
        </w:rPr>
        <w:t xml:space="preserve"> 2011 </w:t>
      </w:r>
      <w:r w:rsidR="00341153" w:rsidRPr="000A38E5">
        <w:rPr>
          <w:lang w:val="uk-UA"/>
        </w:rPr>
        <w:t>р</w:t>
      </w:r>
      <w:r w:rsidR="00E4255C" w:rsidRPr="000A38E5">
        <w:rPr>
          <w:lang w:val="uk-UA"/>
        </w:rPr>
        <w:t>оку</w:t>
      </w:r>
      <w:r w:rsidR="00341153" w:rsidRPr="000A38E5">
        <w:rPr>
          <w:lang w:val="uk-UA"/>
        </w:rPr>
        <w:t xml:space="preserve"> та</w:t>
      </w:r>
      <w:r w:rsidR="00D83351" w:rsidRPr="00E93710">
        <w:rPr>
          <w:lang w:val="uk-UA"/>
        </w:rPr>
        <w:t xml:space="preserve"> 8 </w:t>
      </w:r>
      <w:r w:rsidR="00341153" w:rsidRPr="000A38E5">
        <w:rPr>
          <w:lang w:val="uk-UA"/>
        </w:rPr>
        <w:t>жовтня</w:t>
      </w:r>
      <w:r w:rsidR="00D83351" w:rsidRPr="00E93710">
        <w:rPr>
          <w:lang w:val="uk-UA"/>
        </w:rPr>
        <w:t xml:space="preserve"> 2014</w:t>
      </w:r>
      <w:r w:rsidR="00341153" w:rsidRPr="00E93710">
        <w:rPr>
          <w:lang w:val="uk-UA"/>
        </w:rPr>
        <w:t xml:space="preserve"> р</w:t>
      </w:r>
      <w:r w:rsidR="00E4255C" w:rsidRPr="00E93710">
        <w:rPr>
          <w:lang w:val="uk-UA"/>
        </w:rPr>
        <w:t>оку</w:t>
      </w:r>
      <w:r w:rsidR="00D83351" w:rsidRPr="00E93710">
        <w:rPr>
          <w:lang w:val="uk-UA"/>
        </w:rPr>
        <w:t xml:space="preserve">, </w:t>
      </w:r>
      <w:r w:rsidR="00A6528D" w:rsidRPr="000A38E5">
        <w:rPr>
          <w:lang w:val="uk-UA"/>
        </w:rPr>
        <w:t xml:space="preserve">заявників також представляв пан А. </w:t>
      </w:r>
      <w:proofErr w:type="spellStart"/>
      <w:r w:rsidR="00A6528D" w:rsidRPr="000A38E5">
        <w:rPr>
          <w:lang w:val="uk-UA"/>
        </w:rPr>
        <w:t>Бущенко</w:t>
      </w:r>
      <w:proofErr w:type="spellEnd"/>
      <w:r w:rsidR="00D83351" w:rsidRPr="00E93710">
        <w:rPr>
          <w:lang w:val="uk-UA"/>
        </w:rPr>
        <w:t xml:space="preserve">, </w:t>
      </w:r>
      <w:r w:rsidR="00A6528D" w:rsidRPr="000A38E5">
        <w:rPr>
          <w:lang w:val="uk-UA"/>
        </w:rPr>
        <w:t>який на той час був адвокатом, який практикував у Харкові</w:t>
      </w:r>
      <w:r w:rsidR="00D83351" w:rsidRPr="00E93710">
        <w:rPr>
          <w:lang w:val="uk-UA"/>
        </w:rPr>
        <w:t xml:space="preserve">. </w:t>
      </w:r>
      <w:r w:rsidR="00A6528D" w:rsidRPr="000A38E5">
        <w:rPr>
          <w:lang w:val="uk-UA"/>
        </w:rPr>
        <w:t>Уряд України (надалі – «Уряд») представляв його Уповноважений, останнім часом – пан І. Ліщина</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3</w:t>
      </w:r>
      <w:r w:rsidRPr="00E93710">
        <w:rPr>
          <w:noProof/>
          <w:lang w:val="uk-UA"/>
        </w:rPr>
        <w:fldChar w:fldCharType="end"/>
      </w:r>
      <w:r w:rsidR="00D83351" w:rsidRPr="00E93710">
        <w:rPr>
          <w:lang w:val="uk-UA"/>
        </w:rPr>
        <w:t>.</w:t>
      </w:r>
      <w:r w:rsidR="00334477" w:rsidRPr="000A38E5">
        <w:rPr>
          <w:lang w:val="uk-UA"/>
        </w:rPr>
        <w:t xml:space="preserve"> </w:t>
      </w:r>
      <w:r w:rsidR="005C18A3" w:rsidRPr="000A38E5">
        <w:rPr>
          <w:lang w:val="uk-UA"/>
        </w:rPr>
        <w:t>Третій, сьомий та дев’ятий заявники скаржилися</w:t>
      </w:r>
      <w:r w:rsidR="00D83351" w:rsidRPr="00E93710">
        <w:rPr>
          <w:lang w:val="uk-UA"/>
        </w:rPr>
        <w:t xml:space="preserve"> </w:t>
      </w:r>
      <w:r w:rsidR="005C18A3" w:rsidRPr="000A38E5">
        <w:rPr>
          <w:lang w:val="uk-UA"/>
        </w:rPr>
        <w:t>відповідно до статті 3 Конвенції</w:t>
      </w:r>
      <w:r w:rsidR="00E4255C" w:rsidRPr="000A38E5">
        <w:rPr>
          <w:lang w:val="uk-UA"/>
        </w:rPr>
        <w:t xml:space="preserve"> на те</w:t>
      </w:r>
      <w:r w:rsidR="005C18A3" w:rsidRPr="000A38E5">
        <w:rPr>
          <w:lang w:val="uk-UA"/>
        </w:rPr>
        <w:t>,</w:t>
      </w:r>
      <w:r w:rsidR="00D83351" w:rsidRPr="00E93710">
        <w:rPr>
          <w:lang w:val="uk-UA"/>
        </w:rPr>
        <w:t xml:space="preserve"> </w:t>
      </w:r>
      <w:r w:rsidR="005C18A3" w:rsidRPr="000A38E5">
        <w:rPr>
          <w:lang w:val="uk-UA"/>
        </w:rPr>
        <w:t>що з ними жорстоко поводилися агенти держави в ході протестів</w:t>
      </w:r>
      <w:r w:rsidR="00D83351" w:rsidRPr="00E93710">
        <w:rPr>
          <w:lang w:val="uk-UA"/>
        </w:rPr>
        <w:t xml:space="preserve"> </w:t>
      </w:r>
      <w:r w:rsidR="005C18A3" w:rsidRPr="000A38E5">
        <w:rPr>
          <w:lang w:val="uk-UA"/>
        </w:rPr>
        <w:t xml:space="preserve">у парку </w:t>
      </w:r>
      <w:r w:rsidR="0085000B" w:rsidRPr="000A38E5">
        <w:rPr>
          <w:lang w:val="uk-UA"/>
        </w:rPr>
        <w:t>ім.</w:t>
      </w:r>
      <w:r w:rsidR="00985714" w:rsidRPr="000A38E5">
        <w:rPr>
          <w:lang w:val="uk-UA"/>
        </w:rPr>
        <w:t xml:space="preserve"> </w:t>
      </w:r>
      <w:r w:rsidR="005C18A3" w:rsidRPr="000A38E5">
        <w:rPr>
          <w:lang w:val="uk-UA"/>
        </w:rPr>
        <w:t>Горького у Харкові,</w:t>
      </w:r>
      <w:r w:rsidR="00D83351" w:rsidRPr="00E93710">
        <w:rPr>
          <w:lang w:val="uk-UA"/>
        </w:rPr>
        <w:t xml:space="preserve"> </w:t>
      </w:r>
      <w:r w:rsidR="005C18A3" w:rsidRPr="000A38E5">
        <w:rPr>
          <w:lang w:val="uk-UA"/>
        </w:rPr>
        <w:t>в яких вони приймали участь у травні та червні</w:t>
      </w:r>
      <w:r w:rsidR="00D83351" w:rsidRPr="00E93710">
        <w:rPr>
          <w:lang w:val="uk-UA"/>
        </w:rPr>
        <w:t xml:space="preserve"> 2010</w:t>
      </w:r>
      <w:r w:rsidR="00D373E1" w:rsidRPr="00E93710">
        <w:rPr>
          <w:lang w:val="uk-UA"/>
        </w:rPr>
        <w:t xml:space="preserve"> р</w:t>
      </w:r>
      <w:r w:rsidR="00E4255C" w:rsidRPr="00E93710">
        <w:rPr>
          <w:lang w:val="uk-UA"/>
        </w:rPr>
        <w:t>оку</w:t>
      </w:r>
      <w:r w:rsidR="00D83351" w:rsidRPr="00E93710">
        <w:rPr>
          <w:lang w:val="uk-UA"/>
        </w:rPr>
        <w:t xml:space="preserve">. </w:t>
      </w:r>
      <w:r w:rsidR="008C5A31" w:rsidRPr="000A38E5">
        <w:rPr>
          <w:lang w:val="uk-UA"/>
        </w:rPr>
        <w:t>Вони також скаржилися, що держава не захистила їх від</w:t>
      </w:r>
      <w:r w:rsidR="00D83351" w:rsidRPr="00E93710">
        <w:rPr>
          <w:lang w:val="uk-UA"/>
        </w:rPr>
        <w:t xml:space="preserve"> </w:t>
      </w:r>
      <w:r w:rsidR="008C5A31" w:rsidRPr="000A38E5">
        <w:rPr>
          <w:lang w:val="uk-UA"/>
        </w:rPr>
        <w:t xml:space="preserve">цього жорстокого поводження та не провела ефективне розслідування їх </w:t>
      </w:r>
      <w:r w:rsidR="00E4255C" w:rsidRPr="000A38E5">
        <w:rPr>
          <w:lang w:val="uk-UA"/>
        </w:rPr>
        <w:t>заяв про це</w:t>
      </w:r>
      <w:r w:rsidR="00D83351" w:rsidRPr="00E93710">
        <w:rPr>
          <w:lang w:val="uk-UA"/>
        </w:rPr>
        <w:t>.</w:t>
      </w:r>
    </w:p>
    <w:p w:rsidR="00D83351" w:rsidRPr="00E93710" w:rsidRDefault="009A3C4D" w:rsidP="00852217">
      <w:pPr>
        <w:pStyle w:val="ECHRPara"/>
        <w:rPr>
          <w:lang w:val="uk-UA"/>
        </w:rPr>
      </w:pPr>
      <w:r w:rsidRPr="000A38E5">
        <w:rPr>
          <w:lang w:val="uk-UA"/>
        </w:rPr>
        <w:t>Перший та другий заявники скаржилися відповідно до статті</w:t>
      </w:r>
      <w:r w:rsidR="00D83351" w:rsidRPr="00E93710">
        <w:rPr>
          <w:lang w:val="uk-UA"/>
        </w:rPr>
        <w:t xml:space="preserve"> 6 § 1 </w:t>
      </w:r>
      <w:r w:rsidRPr="000A38E5">
        <w:rPr>
          <w:lang w:val="uk-UA"/>
        </w:rPr>
        <w:t>Конвенції</w:t>
      </w:r>
      <w:r w:rsidR="00E4255C" w:rsidRPr="000A38E5">
        <w:rPr>
          <w:lang w:val="uk-UA"/>
        </w:rPr>
        <w:t xml:space="preserve"> на те</w:t>
      </w:r>
      <w:r w:rsidRPr="000A38E5">
        <w:rPr>
          <w:lang w:val="uk-UA"/>
        </w:rPr>
        <w:t>, що вони не мали справедливого слухання в апеляційному суді,</w:t>
      </w:r>
      <w:r w:rsidR="00D83351" w:rsidRPr="00E93710">
        <w:rPr>
          <w:lang w:val="uk-UA"/>
        </w:rPr>
        <w:t xml:space="preserve"> </w:t>
      </w:r>
      <w:r w:rsidRPr="000A38E5">
        <w:rPr>
          <w:lang w:val="uk-UA"/>
        </w:rPr>
        <w:t>який розглядав їх справи про адміністративні порушення</w:t>
      </w:r>
      <w:r w:rsidR="00D83351" w:rsidRPr="00E93710">
        <w:rPr>
          <w:lang w:val="uk-UA"/>
        </w:rPr>
        <w:t xml:space="preserve">, </w:t>
      </w:r>
      <w:r w:rsidR="00E4255C" w:rsidRPr="000A38E5">
        <w:rPr>
          <w:lang w:val="uk-UA"/>
        </w:rPr>
        <w:t xml:space="preserve">оскільки </w:t>
      </w:r>
      <w:r w:rsidRPr="000A38E5">
        <w:rPr>
          <w:lang w:val="uk-UA"/>
        </w:rPr>
        <w:t>суд не забезпечив їх присутність на слуханнях</w:t>
      </w:r>
      <w:r w:rsidR="00D83351" w:rsidRPr="00E93710">
        <w:rPr>
          <w:lang w:val="uk-UA"/>
        </w:rPr>
        <w:t>.</w:t>
      </w:r>
    </w:p>
    <w:p w:rsidR="00D83351" w:rsidRPr="00E93710" w:rsidRDefault="002164EE" w:rsidP="00852217">
      <w:pPr>
        <w:pStyle w:val="ECHRPara"/>
        <w:rPr>
          <w:lang w:val="uk-UA"/>
        </w:rPr>
      </w:pPr>
      <w:r w:rsidRPr="000A38E5">
        <w:rPr>
          <w:lang w:val="uk-UA"/>
        </w:rPr>
        <w:t>Заявники з першого до шостого скаржилися відповідно до статті</w:t>
      </w:r>
      <w:r w:rsidR="00D83351" w:rsidRPr="00E93710">
        <w:rPr>
          <w:lang w:val="uk-UA"/>
        </w:rPr>
        <w:t xml:space="preserve"> 11 </w:t>
      </w:r>
      <w:r w:rsidRPr="000A38E5">
        <w:rPr>
          <w:lang w:val="uk-UA"/>
        </w:rPr>
        <w:t>Конвенції</w:t>
      </w:r>
      <w:r w:rsidR="00E4255C" w:rsidRPr="000A38E5">
        <w:rPr>
          <w:lang w:val="uk-UA"/>
        </w:rPr>
        <w:t xml:space="preserve"> на те</w:t>
      </w:r>
      <w:r w:rsidRPr="000A38E5">
        <w:rPr>
          <w:lang w:val="uk-UA"/>
        </w:rPr>
        <w:t>, що були заарештовані</w:t>
      </w:r>
      <w:r w:rsidR="00D83351" w:rsidRPr="00E93710">
        <w:rPr>
          <w:lang w:val="uk-UA"/>
        </w:rPr>
        <w:t xml:space="preserve"> </w:t>
      </w:r>
      <w:r w:rsidRPr="000A38E5">
        <w:rPr>
          <w:lang w:val="uk-UA"/>
        </w:rPr>
        <w:t>та переслідувалися за участь у вищезгаданих протестах</w:t>
      </w:r>
      <w:r w:rsidR="00D83351" w:rsidRPr="00E93710">
        <w:rPr>
          <w:lang w:val="uk-UA"/>
        </w:rPr>
        <w:t>.</w:t>
      </w:r>
    </w:p>
    <w:p w:rsidR="00D83351" w:rsidRPr="00E93710" w:rsidRDefault="00805D06" w:rsidP="00852217">
      <w:pPr>
        <w:pStyle w:val="ECHRPara"/>
        <w:rPr>
          <w:lang w:val="uk-UA"/>
        </w:rPr>
      </w:pPr>
      <w:r w:rsidRPr="000A38E5">
        <w:rPr>
          <w:lang w:val="uk-UA"/>
        </w:rPr>
        <w:t>Усі одинадцять заявників скаржилися відповідно до статті</w:t>
      </w:r>
      <w:r w:rsidR="00D83351" w:rsidRPr="00E93710">
        <w:rPr>
          <w:lang w:val="uk-UA"/>
        </w:rPr>
        <w:t xml:space="preserve"> 11 </w:t>
      </w:r>
      <w:r w:rsidRPr="000A38E5">
        <w:rPr>
          <w:lang w:val="uk-UA"/>
        </w:rPr>
        <w:t>Конвенції</w:t>
      </w:r>
      <w:r w:rsidR="00E4255C" w:rsidRPr="000A38E5">
        <w:rPr>
          <w:lang w:val="uk-UA"/>
        </w:rPr>
        <w:t xml:space="preserve"> на те</w:t>
      </w:r>
      <w:r w:rsidRPr="000A38E5">
        <w:rPr>
          <w:lang w:val="uk-UA"/>
        </w:rPr>
        <w:t>, що в ході цих протестів</w:t>
      </w:r>
      <w:r w:rsidR="00D83351" w:rsidRPr="00E93710">
        <w:rPr>
          <w:lang w:val="uk-UA"/>
        </w:rPr>
        <w:t xml:space="preserve"> </w:t>
      </w:r>
      <w:r w:rsidRPr="000A38E5">
        <w:rPr>
          <w:lang w:val="uk-UA"/>
        </w:rPr>
        <w:t>вони зазнали нападів, від яких держава-відповідач їх не захистила</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4</w:t>
      </w:r>
      <w:r w:rsidRPr="00E93710">
        <w:rPr>
          <w:noProof/>
          <w:lang w:val="uk-UA"/>
        </w:rPr>
        <w:fldChar w:fldCharType="end"/>
      </w:r>
      <w:r w:rsidR="00D83351" w:rsidRPr="00E93710">
        <w:rPr>
          <w:lang w:val="uk-UA"/>
        </w:rPr>
        <w:t>. </w:t>
      </w:r>
      <w:r w:rsidR="002E7B52" w:rsidRPr="000A38E5">
        <w:rPr>
          <w:lang w:val="uk-UA"/>
        </w:rPr>
        <w:t>5 квітня</w:t>
      </w:r>
      <w:r w:rsidR="00D83351" w:rsidRPr="00E93710">
        <w:rPr>
          <w:lang w:val="uk-UA"/>
        </w:rPr>
        <w:t xml:space="preserve"> 2011 </w:t>
      </w:r>
      <w:r w:rsidR="002E7B52" w:rsidRPr="000A38E5">
        <w:rPr>
          <w:lang w:val="uk-UA"/>
        </w:rPr>
        <w:t>р</w:t>
      </w:r>
      <w:r w:rsidR="00E4255C" w:rsidRPr="000A38E5">
        <w:rPr>
          <w:lang w:val="uk-UA"/>
        </w:rPr>
        <w:t>оку</w:t>
      </w:r>
      <w:r w:rsidR="002E7B52" w:rsidRPr="000A38E5">
        <w:rPr>
          <w:lang w:val="uk-UA"/>
        </w:rPr>
        <w:t xml:space="preserve"> Уряд</w:t>
      </w:r>
      <w:r w:rsidR="00334477" w:rsidRPr="000A38E5">
        <w:rPr>
          <w:lang w:val="uk-UA"/>
        </w:rPr>
        <w:t>у</w:t>
      </w:r>
      <w:r w:rsidR="002E7B52" w:rsidRPr="000A38E5">
        <w:rPr>
          <w:lang w:val="uk-UA"/>
        </w:rPr>
        <w:t xml:space="preserve"> бу</w:t>
      </w:r>
      <w:r w:rsidR="00334477" w:rsidRPr="000A38E5">
        <w:rPr>
          <w:lang w:val="uk-UA"/>
        </w:rPr>
        <w:t>ло</w:t>
      </w:r>
      <w:r w:rsidR="002E7B52" w:rsidRPr="000A38E5">
        <w:rPr>
          <w:lang w:val="uk-UA"/>
        </w:rPr>
        <w:t xml:space="preserve"> повідомлен</w:t>
      </w:r>
      <w:r w:rsidR="00334477" w:rsidRPr="000A38E5">
        <w:rPr>
          <w:lang w:val="uk-UA"/>
        </w:rPr>
        <w:t>о</w:t>
      </w:r>
      <w:r w:rsidR="002E7B52" w:rsidRPr="000A38E5">
        <w:rPr>
          <w:lang w:val="uk-UA"/>
        </w:rPr>
        <w:t xml:space="preserve"> про ці скарги, а решта заяви була оголошена неприйнятною</w:t>
      </w:r>
      <w:r w:rsidR="00D83351" w:rsidRPr="00E93710">
        <w:rPr>
          <w:lang w:val="uk-UA"/>
        </w:rPr>
        <w:t>.</w:t>
      </w:r>
    </w:p>
    <w:bookmarkStart w:id="1" w:name="further_observations"/>
    <w:p w:rsidR="00D83351" w:rsidRPr="00E93710" w:rsidRDefault="004E7608" w:rsidP="00852217">
      <w:pPr>
        <w:pStyle w:val="ECHRPara"/>
        <w:rPr>
          <w:lang w:val="uk-UA"/>
        </w:rPr>
      </w:pPr>
      <w:r w:rsidRPr="00E93710">
        <w:rPr>
          <w:lang w:val="uk-UA"/>
        </w:rPr>
        <w:lastRenderedPageBreak/>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5</w:t>
      </w:r>
      <w:r w:rsidRPr="00E93710">
        <w:rPr>
          <w:lang w:val="uk-UA"/>
        </w:rPr>
        <w:fldChar w:fldCharType="end"/>
      </w:r>
      <w:bookmarkEnd w:id="1"/>
      <w:r w:rsidR="00D83351" w:rsidRPr="00E93710">
        <w:rPr>
          <w:lang w:val="uk-UA"/>
        </w:rPr>
        <w:t>. </w:t>
      </w:r>
      <w:r w:rsidR="002E7B52" w:rsidRPr="000A38E5">
        <w:rPr>
          <w:lang w:val="uk-UA"/>
        </w:rPr>
        <w:t>27 травня</w:t>
      </w:r>
      <w:r w:rsidR="00D83351" w:rsidRPr="00E93710">
        <w:rPr>
          <w:lang w:val="uk-UA"/>
        </w:rPr>
        <w:t xml:space="preserve"> 2014 </w:t>
      </w:r>
      <w:r w:rsidR="00E4255C" w:rsidRPr="000A38E5">
        <w:rPr>
          <w:lang w:val="uk-UA"/>
        </w:rPr>
        <w:t>року</w:t>
      </w:r>
      <w:r w:rsidR="00E4255C" w:rsidRPr="000A38E5" w:rsidDel="00E4255C">
        <w:rPr>
          <w:lang w:val="uk-UA"/>
        </w:rPr>
        <w:t xml:space="preserve"> </w:t>
      </w:r>
      <w:r w:rsidR="002F4948" w:rsidRPr="000A38E5">
        <w:rPr>
          <w:lang w:val="uk-UA"/>
        </w:rPr>
        <w:t>сторон</w:t>
      </w:r>
      <w:r w:rsidR="00E4255C" w:rsidRPr="000A38E5">
        <w:rPr>
          <w:lang w:val="uk-UA"/>
        </w:rPr>
        <w:t xml:space="preserve">ам </w:t>
      </w:r>
      <w:r w:rsidR="002F4948" w:rsidRPr="000A38E5">
        <w:rPr>
          <w:lang w:val="uk-UA"/>
        </w:rPr>
        <w:t>бул</w:t>
      </w:r>
      <w:r w:rsidR="00E4255C" w:rsidRPr="000A38E5">
        <w:rPr>
          <w:lang w:val="uk-UA"/>
        </w:rPr>
        <w:t>о</w:t>
      </w:r>
      <w:r w:rsidR="002F4948" w:rsidRPr="000A38E5">
        <w:rPr>
          <w:lang w:val="uk-UA"/>
        </w:rPr>
        <w:t xml:space="preserve"> </w:t>
      </w:r>
      <w:r w:rsidR="00E4255C" w:rsidRPr="000A38E5">
        <w:rPr>
          <w:lang w:val="uk-UA"/>
        </w:rPr>
        <w:t xml:space="preserve">запропоновано </w:t>
      </w:r>
      <w:r w:rsidR="002F4948" w:rsidRPr="000A38E5">
        <w:rPr>
          <w:lang w:val="uk-UA"/>
        </w:rPr>
        <w:t>представити подальші зауваження</w:t>
      </w:r>
      <w:r w:rsidR="00D83351" w:rsidRPr="00E93710">
        <w:rPr>
          <w:lang w:val="uk-UA"/>
        </w:rPr>
        <w:t xml:space="preserve"> </w:t>
      </w:r>
      <w:r w:rsidR="002F4948" w:rsidRPr="000A38E5">
        <w:rPr>
          <w:lang w:val="uk-UA"/>
        </w:rPr>
        <w:t xml:space="preserve">стосовно </w:t>
      </w:r>
      <w:r w:rsidR="00E4255C" w:rsidRPr="000A38E5">
        <w:rPr>
          <w:lang w:val="uk-UA"/>
        </w:rPr>
        <w:t xml:space="preserve">згаданих </w:t>
      </w:r>
      <w:r w:rsidR="002F4948" w:rsidRPr="000A38E5">
        <w:rPr>
          <w:lang w:val="uk-UA"/>
        </w:rPr>
        <w:t>скарг</w:t>
      </w:r>
      <w:r w:rsidR="00D83351" w:rsidRPr="00E93710">
        <w:rPr>
          <w:lang w:val="uk-UA"/>
        </w:rPr>
        <w:t xml:space="preserve">, </w:t>
      </w:r>
      <w:r w:rsidR="002F4948" w:rsidRPr="000A38E5">
        <w:rPr>
          <w:lang w:val="uk-UA"/>
        </w:rPr>
        <w:t xml:space="preserve">а також </w:t>
      </w:r>
      <w:r w:rsidR="00E4255C" w:rsidRPr="000A38E5">
        <w:rPr>
          <w:lang w:val="uk-UA"/>
        </w:rPr>
        <w:t>питання</w:t>
      </w:r>
      <w:r w:rsidR="002F4948" w:rsidRPr="000A38E5">
        <w:rPr>
          <w:lang w:val="uk-UA"/>
        </w:rPr>
        <w:t xml:space="preserve">, чи мали </w:t>
      </w:r>
      <w:r w:rsidR="00E4255C" w:rsidRPr="000A38E5">
        <w:rPr>
          <w:lang w:val="uk-UA"/>
        </w:rPr>
        <w:t xml:space="preserve">заявники в </w:t>
      </w:r>
      <w:r w:rsidR="002F4948" w:rsidRPr="000A38E5">
        <w:rPr>
          <w:lang w:val="uk-UA"/>
        </w:rPr>
        <w:t>своєму розпорядженні</w:t>
      </w:r>
      <w:r w:rsidR="00D83351" w:rsidRPr="00E93710">
        <w:rPr>
          <w:lang w:val="uk-UA"/>
        </w:rPr>
        <w:t xml:space="preserve"> </w:t>
      </w:r>
      <w:r w:rsidR="002F4948" w:rsidRPr="000A38E5">
        <w:rPr>
          <w:lang w:val="uk-UA"/>
        </w:rPr>
        <w:t xml:space="preserve">ефективний національний засіб правового захисту </w:t>
      </w:r>
      <w:r w:rsidR="00E4255C" w:rsidRPr="000A38E5">
        <w:rPr>
          <w:lang w:val="uk-UA"/>
        </w:rPr>
        <w:t xml:space="preserve">щодо </w:t>
      </w:r>
      <w:r w:rsidR="002F4948" w:rsidRPr="000A38E5">
        <w:rPr>
          <w:lang w:val="uk-UA"/>
        </w:rPr>
        <w:t>їх скарг відповідно до статті</w:t>
      </w:r>
      <w:r w:rsidR="00D83351" w:rsidRPr="00E93710">
        <w:rPr>
          <w:lang w:val="uk-UA"/>
        </w:rPr>
        <w:t xml:space="preserve"> 11 </w:t>
      </w:r>
      <w:r w:rsidR="002F4948" w:rsidRPr="000A38E5">
        <w:rPr>
          <w:lang w:val="uk-UA"/>
        </w:rPr>
        <w:t>Конвенції</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6</w:t>
      </w:r>
      <w:r w:rsidRPr="00E93710">
        <w:rPr>
          <w:noProof/>
          <w:lang w:val="uk-UA"/>
        </w:rPr>
        <w:fldChar w:fldCharType="end"/>
      </w:r>
      <w:r w:rsidR="00D83351" w:rsidRPr="00E93710">
        <w:rPr>
          <w:lang w:val="uk-UA"/>
        </w:rPr>
        <w:t>. </w:t>
      </w:r>
      <w:r w:rsidR="009D380B" w:rsidRPr="000A38E5">
        <w:rPr>
          <w:lang w:val="uk-UA"/>
        </w:rPr>
        <w:t xml:space="preserve">Оскільки пані Ганна </w:t>
      </w:r>
      <w:proofErr w:type="spellStart"/>
      <w:r w:rsidR="009D380B" w:rsidRPr="000A38E5">
        <w:rPr>
          <w:lang w:val="uk-UA"/>
        </w:rPr>
        <w:t>Юдківська</w:t>
      </w:r>
      <w:proofErr w:type="spellEnd"/>
      <w:r w:rsidR="009D380B" w:rsidRPr="000A38E5">
        <w:rPr>
          <w:lang w:val="uk-UA"/>
        </w:rPr>
        <w:t xml:space="preserve">, суддя, обрана </w:t>
      </w:r>
      <w:r w:rsidR="00E4255C" w:rsidRPr="000A38E5">
        <w:rPr>
          <w:lang w:val="uk-UA"/>
        </w:rPr>
        <w:t xml:space="preserve">від </w:t>
      </w:r>
      <w:r w:rsidR="009D380B" w:rsidRPr="000A38E5">
        <w:rPr>
          <w:lang w:val="uk-UA"/>
        </w:rPr>
        <w:t>України</w:t>
      </w:r>
      <w:r w:rsidR="00D83351" w:rsidRPr="00E93710">
        <w:rPr>
          <w:lang w:val="uk-UA"/>
        </w:rPr>
        <w:t xml:space="preserve">, </w:t>
      </w:r>
      <w:r w:rsidR="009D380B" w:rsidRPr="000A38E5">
        <w:rPr>
          <w:lang w:val="uk-UA"/>
        </w:rPr>
        <w:t>не могла приймати участь у справі</w:t>
      </w:r>
      <w:r w:rsidR="00D83351" w:rsidRPr="00E93710">
        <w:rPr>
          <w:lang w:val="uk-UA"/>
        </w:rPr>
        <w:t xml:space="preserve"> (</w:t>
      </w:r>
      <w:r w:rsidR="009D380B" w:rsidRPr="000A38E5">
        <w:rPr>
          <w:lang w:val="uk-UA"/>
        </w:rPr>
        <w:t>правило</w:t>
      </w:r>
      <w:r w:rsidR="00D83351" w:rsidRPr="00E93710">
        <w:rPr>
          <w:lang w:val="uk-UA"/>
        </w:rPr>
        <w:t xml:space="preserve"> 28 </w:t>
      </w:r>
      <w:r w:rsidR="009D380B" w:rsidRPr="000A38E5">
        <w:rPr>
          <w:lang w:val="uk-UA"/>
        </w:rPr>
        <w:t>Регламенту Суду</w:t>
      </w:r>
      <w:r w:rsidR="00D83351" w:rsidRPr="00E93710">
        <w:rPr>
          <w:lang w:val="uk-UA"/>
        </w:rPr>
        <w:t xml:space="preserve">), </w:t>
      </w:r>
      <w:r w:rsidR="009D380B" w:rsidRPr="000A38E5">
        <w:rPr>
          <w:lang w:val="uk-UA"/>
        </w:rPr>
        <w:t>заступник голови Секції вирішив</w:t>
      </w:r>
      <w:r w:rsidR="00D83351" w:rsidRPr="00E93710">
        <w:rPr>
          <w:lang w:val="uk-UA"/>
        </w:rPr>
        <w:t xml:space="preserve"> </w:t>
      </w:r>
      <w:r w:rsidR="000E5BD2" w:rsidRPr="000A38E5">
        <w:rPr>
          <w:lang w:val="uk-UA"/>
        </w:rPr>
        <w:t xml:space="preserve">призначити пана Сергія </w:t>
      </w:r>
      <w:proofErr w:type="spellStart"/>
      <w:r w:rsidR="000E5BD2" w:rsidRPr="000A38E5">
        <w:rPr>
          <w:lang w:val="uk-UA"/>
        </w:rPr>
        <w:t>Гончаренко</w:t>
      </w:r>
      <w:proofErr w:type="spellEnd"/>
      <w:r w:rsidR="00D83351" w:rsidRPr="00E93710">
        <w:rPr>
          <w:lang w:val="uk-UA"/>
        </w:rPr>
        <w:t xml:space="preserve"> </w:t>
      </w:r>
      <w:r w:rsidR="000E5BD2" w:rsidRPr="000A38E5">
        <w:rPr>
          <w:lang w:val="uk-UA"/>
        </w:rPr>
        <w:t>в якості судді</w:t>
      </w:r>
      <w:r w:rsidR="00E4255C" w:rsidRPr="000A38E5">
        <w:rPr>
          <w:lang w:val="uk-UA"/>
        </w:rPr>
        <w:t xml:space="preserve"> </w:t>
      </w:r>
      <w:proofErr w:type="spellStart"/>
      <w:r w:rsidR="00E4255C" w:rsidRPr="00E93710">
        <w:rPr>
          <w:lang w:val="uk-UA"/>
        </w:rPr>
        <w:t>ad</w:t>
      </w:r>
      <w:proofErr w:type="spellEnd"/>
      <w:r w:rsidR="00E4255C" w:rsidRPr="00E93710">
        <w:rPr>
          <w:lang w:val="uk-UA"/>
        </w:rPr>
        <w:t xml:space="preserve"> </w:t>
      </w:r>
      <w:proofErr w:type="spellStart"/>
      <w:r w:rsidR="00E4255C" w:rsidRPr="00E93710">
        <w:rPr>
          <w:lang w:val="uk-UA"/>
        </w:rPr>
        <w:t>hoc</w:t>
      </w:r>
      <w:proofErr w:type="spellEnd"/>
      <w:r w:rsidR="00D83351" w:rsidRPr="00E93710">
        <w:rPr>
          <w:lang w:val="uk-UA"/>
        </w:rPr>
        <w:t xml:space="preserve"> (</w:t>
      </w:r>
      <w:r w:rsidR="000E5BD2" w:rsidRPr="000A38E5">
        <w:rPr>
          <w:lang w:val="uk-UA"/>
        </w:rPr>
        <w:t>Правило</w:t>
      </w:r>
      <w:r w:rsidR="00D83351" w:rsidRPr="00E93710">
        <w:rPr>
          <w:lang w:val="uk-UA"/>
        </w:rPr>
        <w:t> 29 § 1(a)).</w:t>
      </w:r>
    </w:p>
    <w:p w:rsidR="00D83351" w:rsidRPr="000A38E5" w:rsidRDefault="007B4694" w:rsidP="00852217">
      <w:pPr>
        <w:pStyle w:val="ECHRTitle1"/>
        <w:rPr>
          <w:lang w:val="uk-UA"/>
        </w:rPr>
      </w:pPr>
      <w:r w:rsidRPr="000A38E5">
        <w:rPr>
          <w:lang w:val="uk-UA"/>
        </w:rPr>
        <w:t>ФАКТИ</w:t>
      </w:r>
    </w:p>
    <w:p w:rsidR="00D83351" w:rsidRPr="000A38E5" w:rsidRDefault="00D83351" w:rsidP="00852217">
      <w:pPr>
        <w:pStyle w:val="ECHRHeading1"/>
        <w:rPr>
          <w:lang w:val="uk-UA"/>
        </w:rPr>
      </w:pPr>
      <w:r w:rsidRPr="00E93710">
        <w:rPr>
          <w:lang w:val="uk-UA"/>
        </w:rPr>
        <w:t>I.</w:t>
      </w:r>
      <w:r w:rsidR="00334477" w:rsidRPr="000A38E5">
        <w:rPr>
          <w:lang w:val="uk-UA"/>
        </w:rPr>
        <w:t xml:space="preserve"> </w:t>
      </w:r>
      <w:r w:rsidR="007B4694" w:rsidRPr="000A38E5">
        <w:rPr>
          <w:lang w:val="uk-UA"/>
        </w:rPr>
        <w:t>ОБСТАВИНИ СПРАВИ</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7</w:t>
      </w:r>
      <w:r w:rsidRPr="00E93710">
        <w:rPr>
          <w:noProof/>
          <w:lang w:val="uk-UA"/>
        </w:rPr>
        <w:fldChar w:fldCharType="end"/>
      </w:r>
      <w:r w:rsidR="00D83351" w:rsidRPr="00E93710">
        <w:rPr>
          <w:lang w:val="uk-UA"/>
        </w:rPr>
        <w:t>.</w:t>
      </w:r>
      <w:r w:rsidR="00334477" w:rsidRPr="000A38E5">
        <w:rPr>
          <w:lang w:val="uk-UA"/>
        </w:rPr>
        <w:t xml:space="preserve"> </w:t>
      </w:r>
      <w:r w:rsidR="007B4694" w:rsidRPr="000A38E5">
        <w:rPr>
          <w:lang w:val="uk-UA"/>
        </w:rPr>
        <w:t>Заявники проживають у Харкові</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8</w:t>
      </w:r>
      <w:r w:rsidRPr="00E93710">
        <w:rPr>
          <w:noProof/>
          <w:lang w:val="uk-UA"/>
        </w:rPr>
        <w:fldChar w:fldCharType="end"/>
      </w:r>
      <w:r w:rsidR="00D83351" w:rsidRPr="00E93710">
        <w:rPr>
          <w:lang w:val="uk-UA"/>
        </w:rPr>
        <w:t>.</w:t>
      </w:r>
      <w:r w:rsidR="00334477" w:rsidRPr="000A38E5">
        <w:rPr>
          <w:lang w:val="uk-UA"/>
        </w:rPr>
        <w:t xml:space="preserve"> </w:t>
      </w:r>
      <w:r w:rsidR="00985714" w:rsidRPr="000A38E5">
        <w:rPr>
          <w:lang w:val="uk-UA"/>
        </w:rPr>
        <w:t>За словами заявників, у період з</w:t>
      </w:r>
      <w:r w:rsidR="00D83351" w:rsidRPr="00E93710">
        <w:rPr>
          <w:lang w:val="uk-UA"/>
        </w:rPr>
        <w:t xml:space="preserve"> 20 </w:t>
      </w:r>
      <w:r w:rsidR="00985714" w:rsidRPr="000A38E5">
        <w:rPr>
          <w:lang w:val="uk-UA"/>
        </w:rPr>
        <w:t>травня до 6 червня</w:t>
      </w:r>
      <w:r w:rsidR="00D83351" w:rsidRPr="00E93710">
        <w:rPr>
          <w:lang w:val="uk-UA"/>
        </w:rPr>
        <w:t xml:space="preserve"> 2010 </w:t>
      </w:r>
      <w:r w:rsidR="00985714" w:rsidRPr="000A38E5">
        <w:rPr>
          <w:lang w:val="uk-UA"/>
        </w:rPr>
        <w:t>р</w:t>
      </w:r>
      <w:r w:rsidR="00E4255C" w:rsidRPr="000A38E5">
        <w:rPr>
          <w:lang w:val="uk-UA"/>
        </w:rPr>
        <w:t>оку</w:t>
      </w:r>
      <w:r w:rsidR="00985714" w:rsidRPr="000A38E5">
        <w:rPr>
          <w:lang w:val="uk-UA"/>
        </w:rPr>
        <w:t xml:space="preserve"> вони</w:t>
      </w:r>
      <w:r w:rsidR="00D83351" w:rsidRPr="00E93710">
        <w:rPr>
          <w:lang w:val="uk-UA"/>
        </w:rPr>
        <w:t xml:space="preserve"> </w:t>
      </w:r>
      <w:r w:rsidR="00985714" w:rsidRPr="000A38E5">
        <w:rPr>
          <w:lang w:val="uk-UA"/>
        </w:rPr>
        <w:t xml:space="preserve">брали участь </w:t>
      </w:r>
      <w:r w:rsidR="00E4255C" w:rsidRPr="000A38E5">
        <w:rPr>
          <w:lang w:val="uk-UA"/>
        </w:rPr>
        <w:t xml:space="preserve">у </w:t>
      </w:r>
      <w:r w:rsidR="00985714" w:rsidRPr="000A38E5">
        <w:rPr>
          <w:lang w:val="uk-UA"/>
        </w:rPr>
        <w:t>протестах</w:t>
      </w:r>
      <w:r w:rsidR="00D83351" w:rsidRPr="00E93710">
        <w:rPr>
          <w:lang w:val="uk-UA"/>
        </w:rPr>
        <w:t xml:space="preserve"> </w:t>
      </w:r>
      <w:r w:rsidR="00E4255C" w:rsidRPr="00E93710">
        <w:rPr>
          <w:lang w:val="uk-UA"/>
        </w:rPr>
        <w:t xml:space="preserve">з метою перешкодити </w:t>
      </w:r>
      <w:r w:rsidR="00E4255C" w:rsidRPr="000A38E5">
        <w:rPr>
          <w:lang w:val="uk-UA"/>
        </w:rPr>
        <w:t xml:space="preserve">реалізації проекту </w:t>
      </w:r>
      <w:r w:rsidR="00985714" w:rsidRPr="000A38E5">
        <w:rPr>
          <w:lang w:val="uk-UA"/>
        </w:rPr>
        <w:t>дорожньо</w:t>
      </w:r>
      <w:r w:rsidR="00E4255C" w:rsidRPr="000A38E5">
        <w:rPr>
          <w:lang w:val="uk-UA"/>
        </w:rPr>
        <w:t>го будівництва</w:t>
      </w:r>
      <w:r w:rsidR="00D83351" w:rsidRPr="00E93710">
        <w:rPr>
          <w:lang w:val="uk-UA"/>
        </w:rPr>
        <w:t xml:space="preserve">, </w:t>
      </w:r>
      <w:r w:rsidR="00985714" w:rsidRPr="000A38E5">
        <w:rPr>
          <w:lang w:val="uk-UA"/>
        </w:rPr>
        <w:t>зокрема, вируб</w:t>
      </w:r>
      <w:r w:rsidR="00E4255C" w:rsidRPr="000A38E5">
        <w:rPr>
          <w:lang w:val="uk-UA"/>
        </w:rPr>
        <w:t>ці</w:t>
      </w:r>
      <w:r w:rsidR="00985714" w:rsidRPr="000A38E5">
        <w:rPr>
          <w:lang w:val="uk-UA"/>
        </w:rPr>
        <w:t xml:space="preserve"> дерев</w:t>
      </w:r>
      <w:r w:rsidR="00D83351" w:rsidRPr="00E93710">
        <w:rPr>
          <w:lang w:val="uk-UA"/>
        </w:rPr>
        <w:t xml:space="preserve">, </w:t>
      </w:r>
      <w:r w:rsidR="00985714" w:rsidRPr="000A38E5">
        <w:rPr>
          <w:lang w:val="uk-UA"/>
        </w:rPr>
        <w:t xml:space="preserve">у </w:t>
      </w:r>
      <w:r w:rsidR="008D6CA1" w:rsidRPr="000A38E5">
        <w:rPr>
          <w:lang w:val="uk-UA"/>
        </w:rPr>
        <w:t>п</w:t>
      </w:r>
      <w:r w:rsidR="00985714" w:rsidRPr="000A38E5">
        <w:rPr>
          <w:lang w:val="uk-UA"/>
        </w:rPr>
        <w:t xml:space="preserve">арку </w:t>
      </w:r>
      <w:r w:rsidR="0085000B" w:rsidRPr="000A38E5">
        <w:rPr>
          <w:lang w:val="uk-UA"/>
        </w:rPr>
        <w:t>ім.</w:t>
      </w:r>
      <w:r w:rsidR="00985714" w:rsidRPr="000A38E5">
        <w:rPr>
          <w:lang w:val="uk-UA"/>
        </w:rPr>
        <w:t xml:space="preserve"> Горького</w:t>
      </w:r>
      <w:r w:rsidR="00D83351" w:rsidRPr="00E93710">
        <w:rPr>
          <w:lang w:val="uk-UA"/>
        </w:rPr>
        <w:t xml:space="preserve"> </w:t>
      </w:r>
      <w:r w:rsidR="00985714" w:rsidRPr="00E93710">
        <w:rPr>
          <w:lang w:val="uk-UA"/>
        </w:rPr>
        <w:t>у Харкові</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9</w:t>
      </w:r>
      <w:r w:rsidRPr="00E93710">
        <w:rPr>
          <w:noProof/>
          <w:lang w:val="uk-UA"/>
        </w:rPr>
        <w:fldChar w:fldCharType="end"/>
      </w:r>
      <w:r w:rsidR="00D83351" w:rsidRPr="00E93710">
        <w:rPr>
          <w:lang w:val="uk-UA"/>
        </w:rPr>
        <w:t>.</w:t>
      </w:r>
      <w:r w:rsidR="00334477" w:rsidRPr="000A38E5">
        <w:rPr>
          <w:lang w:val="uk-UA"/>
        </w:rPr>
        <w:t xml:space="preserve"> </w:t>
      </w:r>
      <w:r w:rsidR="00985714" w:rsidRPr="000A38E5">
        <w:rPr>
          <w:lang w:val="uk-UA"/>
        </w:rPr>
        <w:t xml:space="preserve"> </w:t>
      </w:r>
      <w:r w:rsidR="00E4255C" w:rsidRPr="000A38E5">
        <w:rPr>
          <w:lang w:val="uk-UA"/>
        </w:rPr>
        <w:t xml:space="preserve">Наступні </w:t>
      </w:r>
      <w:r w:rsidR="00985714" w:rsidRPr="000A38E5">
        <w:rPr>
          <w:lang w:val="uk-UA"/>
        </w:rPr>
        <w:t xml:space="preserve">питання </w:t>
      </w:r>
      <w:r w:rsidR="00E4255C" w:rsidRPr="000A38E5">
        <w:rPr>
          <w:lang w:val="uk-UA"/>
        </w:rPr>
        <w:t xml:space="preserve">постають </w:t>
      </w:r>
      <w:r w:rsidR="00985714" w:rsidRPr="000A38E5">
        <w:rPr>
          <w:lang w:val="uk-UA"/>
        </w:rPr>
        <w:t>у зв’язку з цими подіями та їх наслідками</w:t>
      </w:r>
      <w:r w:rsidR="00D83351" w:rsidRPr="00E93710">
        <w:rPr>
          <w:lang w:val="uk-UA"/>
        </w:rPr>
        <w:t>:</w:t>
      </w:r>
      <w:r w:rsidR="00D83351" w:rsidRPr="00E93710">
        <w:rPr>
          <w:rStyle w:val="af4"/>
          <w:lang w:val="uk-UA"/>
        </w:rPr>
        <w:footnoteReference w:id="1"/>
      </w:r>
    </w:p>
    <w:p w:rsidR="00D83351" w:rsidRPr="00E93710" w:rsidRDefault="00D83351" w:rsidP="00852217">
      <w:pPr>
        <w:pStyle w:val="ECHRPara"/>
        <w:rPr>
          <w:lang w:val="uk-UA"/>
        </w:rPr>
      </w:pPr>
      <w:r w:rsidRPr="00E93710">
        <w:rPr>
          <w:lang w:val="uk-UA"/>
        </w:rPr>
        <w:t>(i)</w:t>
      </w:r>
      <w:r w:rsidR="00334477" w:rsidRPr="000A38E5">
        <w:rPr>
          <w:lang w:val="uk-UA"/>
        </w:rPr>
        <w:t xml:space="preserve"> </w:t>
      </w:r>
      <w:r w:rsidR="00E4255C" w:rsidRPr="000A38E5">
        <w:rPr>
          <w:lang w:val="uk-UA"/>
        </w:rPr>
        <w:t xml:space="preserve">щодо всіх </w:t>
      </w:r>
      <w:r w:rsidR="00985714" w:rsidRPr="000A38E5">
        <w:rPr>
          <w:lang w:val="uk-UA"/>
        </w:rPr>
        <w:t>заявник</w:t>
      </w:r>
      <w:r w:rsidR="00E4255C" w:rsidRPr="000A38E5">
        <w:rPr>
          <w:lang w:val="uk-UA"/>
        </w:rPr>
        <w:t>ів</w:t>
      </w:r>
      <w:r w:rsidRPr="00E93710">
        <w:rPr>
          <w:lang w:val="uk-UA"/>
        </w:rPr>
        <w:t xml:space="preserve">: </w:t>
      </w:r>
      <w:r w:rsidR="0021360E" w:rsidRPr="000A38E5">
        <w:rPr>
          <w:lang w:val="uk-UA"/>
        </w:rPr>
        <w:t xml:space="preserve">чи </w:t>
      </w:r>
      <w:r w:rsidR="00E4255C" w:rsidRPr="000A38E5">
        <w:rPr>
          <w:lang w:val="uk-UA"/>
        </w:rPr>
        <w:t xml:space="preserve">порушували </w:t>
      </w:r>
      <w:proofErr w:type="spellStart"/>
      <w:r w:rsidR="0021360E" w:rsidRPr="000A38E5">
        <w:rPr>
          <w:lang w:val="uk-UA"/>
        </w:rPr>
        <w:t>стверджувані</w:t>
      </w:r>
      <w:proofErr w:type="spellEnd"/>
      <w:r w:rsidR="0021360E" w:rsidRPr="000A38E5">
        <w:rPr>
          <w:lang w:val="uk-UA"/>
        </w:rPr>
        <w:t xml:space="preserve"> вербальні та фізичні напади</w:t>
      </w:r>
      <w:r w:rsidRPr="00E93710">
        <w:rPr>
          <w:lang w:val="uk-UA"/>
        </w:rPr>
        <w:t xml:space="preserve"> </w:t>
      </w:r>
      <w:r w:rsidR="0021360E" w:rsidRPr="000A38E5">
        <w:rPr>
          <w:lang w:val="uk-UA"/>
        </w:rPr>
        <w:t>з боку працівників, залучених до проекту,</w:t>
      </w:r>
      <w:r w:rsidRPr="00E93710">
        <w:rPr>
          <w:lang w:val="uk-UA"/>
        </w:rPr>
        <w:t xml:space="preserve"> </w:t>
      </w:r>
      <w:r w:rsidR="0021360E" w:rsidRPr="000A38E5">
        <w:rPr>
          <w:lang w:val="uk-UA"/>
        </w:rPr>
        <w:t>їх право на свободу мирного зібрання</w:t>
      </w:r>
      <w:r w:rsidRPr="00E93710">
        <w:rPr>
          <w:lang w:val="uk-UA"/>
        </w:rPr>
        <w:t>;</w:t>
      </w:r>
    </w:p>
    <w:p w:rsidR="00D83351" w:rsidRPr="00E93710" w:rsidRDefault="00D83351" w:rsidP="00852217">
      <w:pPr>
        <w:pStyle w:val="ECHRPara"/>
        <w:rPr>
          <w:lang w:val="uk-UA"/>
        </w:rPr>
      </w:pPr>
      <w:r w:rsidRPr="00E93710">
        <w:rPr>
          <w:lang w:val="uk-UA"/>
        </w:rPr>
        <w:t>(</w:t>
      </w:r>
      <w:proofErr w:type="spellStart"/>
      <w:r w:rsidRPr="00E93710">
        <w:rPr>
          <w:lang w:val="uk-UA"/>
        </w:rPr>
        <w:t>ii</w:t>
      </w:r>
      <w:proofErr w:type="spellEnd"/>
      <w:r w:rsidRPr="00E93710">
        <w:rPr>
          <w:lang w:val="uk-UA"/>
        </w:rPr>
        <w:t>)</w:t>
      </w:r>
      <w:r w:rsidR="00334477" w:rsidRPr="000A38E5">
        <w:rPr>
          <w:lang w:val="uk-UA"/>
        </w:rPr>
        <w:t xml:space="preserve"> </w:t>
      </w:r>
      <w:r w:rsidR="00E4255C" w:rsidRPr="000A38E5">
        <w:rPr>
          <w:lang w:val="uk-UA"/>
        </w:rPr>
        <w:t xml:space="preserve">щодо </w:t>
      </w:r>
      <w:r w:rsidR="0021360E" w:rsidRPr="000A38E5">
        <w:rPr>
          <w:lang w:val="uk-UA"/>
        </w:rPr>
        <w:t>перш</w:t>
      </w:r>
      <w:r w:rsidR="00E4255C" w:rsidRPr="000A38E5">
        <w:rPr>
          <w:lang w:val="uk-UA"/>
        </w:rPr>
        <w:t>их</w:t>
      </w:r>
      <w:r w:rsidR="0021360E" w:rsidRPr="000A38E5">
        <w:rPr>
          <w:lang w:val="uk-UA"/>
        </w:rPr>
        <w:t xml:space="preserve"> </w:t>
      </w:r>
      <w:r w:rsidR="00E4255C" w:rsidRPr="000A38E5">
        <w:rPr>
          <w:lang w:val="uk-UA"/>
        </w:rPr>
        <w:t xml:space="preserve">шести </w:t>
      </w:r>
      <w:r w:rsidR="0021360E" w:rsidRPr="000A38E5">
        <w:rPr>
          <w:lang w:val="uk-UA"/>
        </w:rPr>
        <w:t>заявників</w:t>
      </w:r>
      <w:r w:rsidRPr="00E93710">
        <w:rPr>
          <w:lang w:val="uk-UA"/>
        </w:rPr>
        <w:t xml:space="preserve">: </w:t>
      </w:r>
      <w:r w:rsidR="0021360E" w:rsidRPr="000A38E5">
        <w:rPr>
          <w:lang w:val="uk-UA"/>
        </w:rPr>
        <w:t xml:space="preserve">чи </w:t>
      </w:r>
      <w:r w:rsidR="00E4255C" w:rsidRPr="000A38E5">
        <w:rPr>
          <w:lang w:val="uk-UA"/>
        </w:rPr>
        <w:t xml:space="preserve">порушили </w:t>
      </w:r>
      <w:r w:rsidR="0021360E" w:rsidRPr="000A38E5">
        <w:rPr>
          <w:lang w:val="uk-UA"/>
        </w:rPr>
        <w:t>їх арешт та засудження за відмову</w:t>
      </w:r>
      <w:r w:rsidRPr="00E93710">
        <w:rPr>
          <w:lang w:val="uk-UA"/>
        </w:rPr>
        <w:t xml:space="preserve"> </w:t>
      </w:r>
      <w:r w:rsidR="0021360E" w:rsidRPr="000A38E5">
        <w:rPr>
          <w:lang w:val="uk-UA"/>
        </w:rPr>
        <w:t>виконати наказ залишити місце робіт</w:t>
      </w:r>
      <w:r w:rsidRPr="00E93710">
        <w:rPr>
          <w:lang w:val="uk-UA"/>
        </w:rPr>
        <w:t xml:space="preserve"> </w:t>
      </w:r>
      <w:r w:rsidR="0021360E" w:rsidRPr="000A38E5">
        <w:rPr>
          <w:lang w:val="uk-UA"/>
        </w:rPr>
        <w:t>їх свободу мирного зібрання</w:t>
      </w:r>
      <w:r w:rsidRPr="00E93710">
        <w:rPr>
          <w:lang w:val="uk-UA"/>
        </w:rPr>
        <w:t xml:space="preserve">. </w:t>
      </w:r>
      <w:r w:rsidR="002B531F" w:rsidRPr="000A38E5">
        <w:rPr>
          <w:lang w:val="uk-UA"/>
        </w:rPr>
        <w:t>У цьому відношенні існують дві підгрупи</w:t>
      </w:r>
      <w:r w:rsidRPr="00E93710">
        <w:rPr>
          <w:lang w:val="uk-UA"/>
        </w:rPr>
        <w:t xml:space="preserve">: </w:t>
      </w:r>
      <w:r w:rsidR="002B531F" w:rsidRPr="000A38E5">
        <w:rPr>
          <w:lang w:val="uk-UA"/>
        </w:rPr>
        <w:t>перші п’ять заявників, які були заарештовані разом,</w:t>
      </w:r>
      <w:r w:rsidRPr="00E93710">
        <w:rPr>
          <w:lang w:val="uk-UA"/>
        </w:rPr>
        <w:t xml:space="preserve"> </w:t>
      </w:r>
      <w:r w:rsidR="002B531F" w:rsidRPr="000A38E5">
        <w:rPr>
          <w:lang w:val="uk-UA"/>
        </w:rPr>
        <w:t>та шостий заявник, який був заарештований пізніше</w:t>
      </w:r>
      <w:r w:rsidRPr="00E93710">
        <w:rPr>
          <w:lang w:val="uk-UA"/>
        </w:rPr>
        <w:t>;</w:t>
      </w:r>
    </w:p>
    <w:p w:rsidR="00D83351" w:rsidRPr="00E93710" w:rsidRDefault="00D83351" w:rsidP="00852217">
      <w:pPr>
        <w:pStyle w:val="ECHRPara"/>
        <w:rPr>
          <w:lang w:val="uk-UA"/>
        </w:rPr>
      </w:pPr>
      <w:r w:rsidRPr="00E93710">
        <w:rPr>
          <w:lang w:val="uk-UA"/>
        </w:rPr>
        <w:t>(</w:t>
      </w:r>
      <w:proofErr w:type="spellStart"/>
      <w:r w:rsidRPr="00E93710">
        <w:rPr>
          <w:lang w:val="uk-UA"/>
        </w:rPr>
        <w:t>iii</w:t>
      </w:r>
      <w:proofErr w:type="spellEnd"/>
      <w:r w:rsidRPr="00E93710">
        <w:rPr>
          <w:lang w:val="uk-UA"/>
        </w:rPr>
        <w:t>)</w:t>
      </w:r>
      <w:r w:rsidR="00334477" w:rsidRPr="000A38E5">
        <w:rPr>
          <w:lang w:val="uk-UA"/>
        </w:rPr>
        <w:t xml:space="preserve"> </w:t>
      </w:r>
      <w:r w:rsidR="00E4255C" w:rsidRPr="000A38E5">
        <w:rPr>
          <w:lang w:val="uk-UA"/>
        </w:rPr>
        <w:t xml:space="preserve">щодо </w:t>
      </w:r>
      <w:r w:rsidR="002B531F" w:rsidRPr="000A38E5">
        <w:rPr>
          <w:lang w:val="uk-UA"/>
        </w:rPr>
        <w:t>перш</w:t>
      </w:r>
      <w:r w:rsidR="00E4255C" w:rsidRPr="000A38E5">
        <w:rPr>
          <w:lang w:val="uk-UA"/>
        </w:rPr>
        <w:t>ого</w:t>
      </w:r>
      <w:r w:rsidR="002B531F" w:rsidRPr="000A38E5">
        <w:rPr>
          <w:lang w:val="uk-UA"/>
        </w:rPr>
        <w:t xml:space="preserve"> та друг</w:t>
      </w:r>
      <w:r w:rsidR="00E4255C" w:rsidRPr="000A38E5">
        <w:rPr>
          <w:lang w:val="uk-UA"/>
        </w:rPr>
        <w:t>ого</w:t>
      </w:r>
      <w:r w:rsidR="002B531F" w:rsidRPr="000A38E5">
        <w:rPr>
          <w:lang w:val="uk-UA"/>
        </w:rPr>
        <w:t xml:space="preserve"> заявник</w:t>
      </w:r>
      <w:r w:rsidR="00E4255C" w:rsidRPr="000A38E5">
        <w:rPr>
          <w:lang w:val="uk-UA"/>
        </w:rPr>
        <w:t>ів</w:t>
      </w:r>
      <w:r w:rsidRPr="00E93710">
        <w:rPr>
          <w:lang w:val="uk-UA"/>
        </w:rPr>
        <w:t xml:space="preserve">: </w:t>
      </w:r>
      <w:r w:rsidR="002B531F" w:rsidRPr="000A38E5">
        <w:rPr>
          <w:lang w:val="uk-UA"/>
        </w:rPr>
        <w:t xml:space="preserve">чи </w:t>
      </w:r>
      <w:r w:rsidR="00E4255C" w:rsidRPr="000A38E5">
        <w:rPr>
          <w:lang w:val="uk-UA"/>
        </w:rPr>
        <w:t xml:space="preserve">були згадані розгляди </w:t>
      </w:r>
      <w:r w:rsidR="002B531F" w:rsidRPr="000A38E5">
        <w:rPr>
          <w:lang w:val="uk-UA"/>
        </w:rPr>
        <w:t>стосовно невиконання наказів міліції</w:t>
      </w:r>
      <w:r w:rsidRPr="00E93710">
        <w:rPr>
          <w:lang w:val="uk-UA"/>
        </w:rPr>
        <w:t xml:space="preserve"> </w:t>
      </w:r>
      <w:r w:rsidR="002B531F" w:rsidRPr="000A38E5">
        <w:rPr>
          <w:lang w:val="uk-UA"/>
        </w:rPr>
        <w:t>залишити місце проведення робіт</w:t>
      </w:r>
      <w:r w:rsidRPr="00E93710">
        <w:rPr>
          <w:lang w:val="uk-UA"/>
        </w:rPr>
        <w:t xml:space="preserve"> </w:t>
      </w:r>
      <w:r w:rsidR="002B531F" w:rsidRPr="000A38E5">
        <w:rPr>
          <w:lang w:val="uk-UA"/>
        </w:rPr>
        <w:t>справедливими, беручи до уваги відсутність заявників на слуханнях за апеляціями</w:t>
      </w:r>
      <w:r w:rsidRPr="00E93710">
        <w:rPr>
          <w:lang w:val="uk-UA"/>
        </w:rPr>
        <w:t>;</w:t>
      </w:r>
    </w:p>
    <w:p w:rsidR="00D83351" w:rsidRPr="00E93710" w:rsidRDefault="00D83351" w:rsidP="00852217">
      <w:pPr>
        <w:pStyle w:val="ECHRPara"/>
        <w:rPr>
          <w:b/>
          <w:lang w:val="uk-UA"/>
        </w:rPr>
      </w:pPr>
      <w:r w:rsidRPr="00E93710">
        <w:rPr>
          <w:lang w:val="uk-UA"/>
        </w:rPr>
        <w:t>(</w:t>
      </w:r>
      <w:proofErr w:type="spellStart"/>
      <w:r w:rsidRPr="00E93710">
        <w:rPr>
          <w:lang w:val="uk-UA"/>
        </w:rPr>
        <w:t>iv</w:t>
      </w:r>
      <w:proofErr w:type="spellEnd"/>
      <w:r w:rsidRPr="00E93710">
        <w:rPr>
          <w:lang w:val="uk-UA"/>
        </w:rPr>
        <w:t>)</w:t>
      </w:r>
      <w:r w:rsidR="00334477" w:rsidRPr="000A38E5">
        <w:rPr>
          <w:lang w:val="uk-UA"/>
        </w:rPr>
        <w:t xml:space="preserve"> </w:t>
      </w:r>
      <w:r w:rsidR="00E4255C" w:rsidRPr="000A38E5">
        <w:rPr>
          <w:lang w:val="uk-UA"/>
        </w:rPr>
        <w:t xml:space="preserve">щодо </w:t>
      </w:r>
      <w:r w:rsidR="00C67D2D" w:rsidRPr="000A38E5">
        <w:rPr>
          <w:lang w:val="uk-UA"/>
        </w:rPr>
        <w:t>трет</w:t>
      </w:r>
      <w:r w:rsidR="00E4255C" w:rsidRPr="000A38E5">
        <w:rPr>
          <w:lang w:val="uk-UA"/>
        </w:rPr>
        <w:t>ього</w:t>
      </w:r>
      <w:r w:rsidR="00C67D2D" w:rsidRPr="000A38E5">
        <w:rPr>
          <w:lang w:val="uk-UA"/>
        </w:rPr>
        <w:t>, сьом</w:t>
      </w:r>
      <w:r w:rsidR="00E4255C" w:rsidRPr="000A38E5">
        <w:rPr>
          <w:lang w:val="uk-UA"/>
        </w:rPr>
        <w:t>ого</w:t>
      </w:r>
      <w:r w:rsidR="00C67D2D" w:rsidRPr="000A38E5">
        <w:rPr>
          <w:lang w:val="uk-UA"/>
        </w:rPr>
        <w:t xml:space="preserve"> та дев’ят</w:t>
      </w:r>
      <w:r w:rsidR="00E4255C" w:rsidRPr="000A38E5">
        <w:rPr>
          <w:lang w:val="uk-UA"/>
        </w:rPr>
        <w:t>ого</w:t>
      </w:r>
      <w:r w:rsidR="00C67D2D" w:rsidRPr="000A38E5">
        <w:rPr>
          <w:lang w:val="uk-UA"/>
        </w:rPr>
        <w:t xml:space="preserve"> заявник</w:t>
      </w:r>
      <w:r w:rsidR="00E4255C" w:rsidRPr="000A38E5">
        <w:rPr>
          <w:lang w:val="uk-UA"/>
        </w:rPr>
        <w:t>ів</w:t>
      </w:r>
      <w:r w:rsidRPr="00E93710">
        <w:rPr>
          <w:lang w:val="uk-UA"/>
        </w:rPr>
        <w:t xml:space="preserve">: </w:t>
      </w:r>
      <w:r w:rsidR="00C67D2D" w:rsidRPr="000A38E5">
        <w:rPr>
          <w:lang w:val="uk-UA"/>
        </w:rPr>
        <w:t xml:space="preserve">чи </w:t>
      </w:r>
      <w:r w:rsidR="00E4255C" w:rsidRPr="000A38E5">
        <w:rPr>
          <w:lang w:val="uk-UA"/>
        </w:rPr>
        <w:t xml:space="preserve">зазнали </w:t>
      </w:r>
      <w:r w:rsidR="00C67D2D" w:rsidRPr="000A38E5">
        <w:rPr>
          <w:lang w:val="uk-UA"/>
        </w:rPr>
        <w:t>ці заявники нелюдського або принижуючого поводження</w:t>
      </w:r>
      <w:r w:rsidRPr="00E93710">
        <w:rPr>
          <w:lang w:val="uk-UA"/>
        </w:rPr>
        <w:t xml:space="preserve"> </w:t>
      </w:r>
      <w:r w:rsidR="00C67D2D" w:rsidRPr="000A38E5">
        <w:rPr>
          <w:lang w:val="uk-UA"/>
        </w:rPr>
        <w:t>з боку працівників, залучених до проекту, і якщо так</w:t>
      </w:r>
      <w:r w:rsidRPr="00E93710">
        <w:rPr>
          <w:lang w:val="uk-UA"/>
        </w:rPr>
        <w:t xml:space="preserve">, </w:t>
      </w:r>
      <w:r w:rsidR="00C67D2D" w:rsidRPr="000A38E5">
        <w:rPr>
          <w:lang w:val="uk-UA"/>
        </w:rPr>
        <w:t>чи мала місце нездатність захистити їх від такого поводження та провести</w:t>
      </w:r>
      <w:r w:rsidR="00334477" w:rsidRPr="000A38E5">
        <w:rPr>
          <w:lang w:val="uk-UA"/>
        </w:rPr>
        <w:t xml:space="preserve"> </w:t>
      </w:r>
      <w:r w:rsidR="00C67D2D" w:rsidRPr="000A38E5">
        <w:rPr>
          <w:lang w:val="uk-UA"/>
        </w:rPr>
        <w:t>ефективне розслідування</w:t>
      </w:r>
      <w:r w:rsidRPr="00E93710">
        <w:rPr>
          <w:lang w:val="uk-UA"/>
        </w:rPr>
        <w:t>.</w:t>
      </w:r>
    </w:p>
    <w:p w:rsidR="00D83351" w:rsidRPr="000A38E5" w:rsidRDefault="00D83351" w:rsidP="00852217">
      <w:pPr>
        <w:pStyle w:val="ECHRHeading2"/>
        <w:rPr>
          <w:lang w:val="uk-UA"/>
        </w:rPr>
      </w:pPr>
      <w:r w:rsidRPr="00E93710">
        <w:rPr>
          <w:lang w:val="uk-UA"/>
        </w:rPr>
        <w:t>A.</w:t>
      </w:r>
      <w:r w:rsidR="00334477" w:rsidRPr="000A38E5">
        <w:rPr>
          <w:lang w:val="uk-UA"/>
        </w:rPr>
        <w:t xml:space="preserve"> </w:t>
      </w:r>
      <w:r w:rsidR="008747CD" w:rsidRPr="000A38E5">
        <w:rPr>
          <w:lang w:val="uk-UA"/>
        </w:rPr>
        <w:t xml:space="preserve">Ухвалення проекту </w:t>
      </w:r>
      <w:r w:rsidR="00E4255C" w:rsidRPr="000A38E5">
        <w:rPr>
          <w:lang w:val="uk-UA"/>
        </w:rPr>
        <w:t xml:space="preserve">будівництва дороги </w:t>
      </w:r>
      <w:r w:rsidR="008747CD" w:rsidRPr="000A38E5">
        <w:rPr>
          <w:lang w:val="uk-UA"/>
        </w:rPr>
        <w:t xml:space="preserve">у парку </w:t>
      </w:r>
      <w:r w:rsidR="0085000B" w:rsidRPr="000A38E5">
        <w:rPr>
          <w:lang w:val="uk-UA"/>
        </w:rPr>
        <w:t>ім.</w:t>
      </w:r>
      <w:r w:rsidR="008747CD" w:rsidRPr="000A38E5">
        <w:rPr>
          <w:lang w:val="uk-UA"/>
        </w:rPr>
        <w:t xml:space="preserve"> Горького</w:t>
      </w:r>
      <w:r w:rsidRPr="00E93710">
        <w:rPr>
          <w:lang w:val="uk-UA"/>
        </w:rPr>
        <w:t xml:space="preserve">, </w:t>
      </w:r>
      <w:r w:rsidR="008747CD" w:rsidRPr="000A38E5">
        <w:rPr>
          <w:lang w:val="uk-UA"/>
        </w:rPr>
        <w:t>громадські консультації та підготовка до його здійснення</w:t>
      </w:r>
    </w:p>
    <w:bookmarkStart w:id="2" w:name="Urban_Development_Plan_2004"/>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10</w:t>
      </w:r>
      <w:r w:rsidRPr="00E93710">
        <w:rPr>
          <w:lang w:val="uk-UA"/>
        </w:rPr>
        <w:fldChar w:fldCharType="end"/>
      </w:r>
      <w:bookmarkEnd w:id="2"/>
      <w:r w:rsidR="00D83351" w:rsidRPr="00E93710">
        <w:rPr>
          <w:lang w:val="uk-UA"/>
        </w:rPr>
        <w:t>.</w:t>
      </w:r>
      <w:r w:rsidR="00334477" w:rsidRPr="000A38E5">
        <w:rPr>
          <w:lang w:val="uk-UA"/>
        </w:rPr>
        <w:t xml:space="preserve"> </w:t>
      </w:r>
      <w:r w:rsidR="000D1AE5" w:rsidRPr="000A38E5">
        <w:rPr>
          <w:lang w:val="uk-UA"/>
        </w:rPr>
        <w:t>23 червня</w:t>
      </w:r>
      <w:r w:rsidR="00D83351" w:rsidRPr="00E93710">
        <w:rPr>
          <w:lang w:val="uk-UA"/>
        </w:rPr>
        <w:t xml:space="preserve"> 2004 </w:t>
      </w:r>
      <w:r w:rsidR="000D1AE5" w:rsidRPr="000A38E5">
        <w:rPr>
          <w:lang w:val="uk-UA"/>
        </w:rPr>
        <w:t>р</w:t>
      </w:r>
      <w:r w:rsidR="00E4255C" w:rsidRPr="000A38E5">
        <w:rPr>
          <w:lang w:val="uk-UA"/>
        </w:rPr>
        <w:t>оку</w:t>
      </w:r>
      <w:r w:rsidR="000D1AE5" w:rsidRPr="000A38E5">
        <w:rPr>
          <w:lang w:val="uk-UA"/>
        </w:rPr>
        <w:t xml:space="preserve"> Харківська міська рада (надалі – «міська рада»)</w:t>
      </w:r>
      <w:r w:rsidR="00D83351" w:rsidRPr="00E93710">
        <w:rPr>
          <w:lang w:val="uk-UA"/>
        </w:rPr>
        <w:t xml:space="preserve"> </w:t>
      </w:r>
      <w:r w:rsidR="00321D17" w:rsidRPr="000A38E5">
        <w:rPr>
          <w:lang w:val="uk-UA"/>
        </w:rPr>
        <w:t>прийняла документ під назвою</w:t>
      </w:r>
      <w:r w:rsidR="00D83351" w:rsidRPr="00E93710">
        <w:rPr>
          <w:lang w:val="uk-UA"/>
        </w:rPr>
        <w:t xml:space="preserve"> </w:t>
      </w:r>
      <w:r w:rsidR="00321D17" w:rsidRPr="000A38E5">
        <w:rPr>
          <w:lang w:val="uk-UA"/>
        </w:rPr>
        <w:t>«Загальний план міського розвитку до 2026 р</w:t>
      </w:r>
      <w:r w:rsidR="00E4255C" w:rsidRPr="000A38E5">
        <w:rPr>
          <w:lang w:val="uk-UA"/>
        </w:rPr>
        <w:t>оку</w:t>
      </w:r>
      <w:r w:rsidR="00321D17" w:rsidRPr="000A38E5">
        <w:rPr>
          <w:lang w:val="uk-UA"/>
        </w:rPr>
        <w:t>»</w:t>
      </w:r>
      <w:r w:rsidR="00D83351" w:rsidRPr="00E93710">
        <w:rPr>
          <w:lang w:val="uk-UA"/>
        </w:rPr>
        <w:t xml:space="preserve">, </w:t>
      </w:r>
      <w:r w:rsidR="00321D17" w:rsidRPr="000A38E5">
        <w:rPr>
          <w:lang w:val="uk-UA"/>
        </w:rPr>
        <w:t>який був складений Державним академічним інститутом</w:t>
      </w:r>
      <w:r w:rsidR="00D83351" w:rsidRPr="00E93710">
        <w:rPr>
          <w:lang w:val="uk-UA"/>
        </w:rPr>
        <w:t xml:space="preserve"> </w:t>
      </w:r>
      <w:r w:rsidR="00321D17" w:rsidRPr="000A38E5">
        <w:rPr>
          <w:lang w:val="uk-UA"/>
        </w:rPr>
        <w:t>міського планування</w:t>
      </w:r>
      <w:r w:rsidR="00D83351" w:rsidRPr="00E93710">
        <w:rPr>
          <w:lang w:val="uk-UA"/>
        </w:rPr>
        <w:t xml:space="preserve"> </w:t>
      </w:r>
      <w:proofErr w:type="spellStart"/>
      <w:r w:rsidR="00D83351" w:rsidRPr="00E93710">
        <w:rPr>
          <w:lang w:val="uk-UA"/>
        </w:rPr>
        <w:t>“</w:t>
      </w:r>
      <w:r w:rsidR="00321D17" w:rsidRPr="000A38E5">
        <w:rPr>
          <w:i/>
          <w:lang w:val="uk-UA"/>
        </w:rPr>
        <w:t>Діпромісто</w:t>
      </w:r>
      <w:r w:rsidR="00D83351" w:rsidRPr="00E93710">
        <w:rPr>
          <w:i/>
          <w:lang w:val="uk-UA"/>
        </w:rPr>
        <w:t>”</w:t>
      </w:r>
      <w:proofErr w:type="spellEnd"/>
      <w:r w:rsidR="00D83351" w:rsidRPr="00E93710">
        <w:rPr>
          <w:lang w:val="uk-UA"/>
        </w:rPr>
        <w:t xml:space="preserve"> </w:t>
      </w:r>
      <w:r w:rsidR="00321D17" w:rsidRPr="00E93710">
        <w:rPr>
          <w:lang w:val="uk-UA"/>
        </w:rPr>
        <w:t>(</w:t>
      </w:r>
      <w:r w:rsidR="00321D17" w:rsidRPr="000A38E5">
        <w:rPr>
          <w:lang w:val="uk-UA"/>
        </w:rPr>
        <w:t>надалі – «Інститут міського планування»</w:t>
      </w:r>
      <w:r w:rsidR="00D83351" w:rsidRPr="000A38E5">
        <w:rPr>
          <w:lang w:val="uk-UA"/>
        </w:rPr>
        <w:t>).</w:t>
      </w:r>
      <w:r w:rsidR="00D83351" w:rsidRPr="00E93710">
        <w:rPr>
          <w:lang w:val="uk-UA"/>
        </w:rPr>
        <w:t xml:space="preserve"> </w:t>
      </w:r>
      <w:r w:rsidR="00992F52" w:rsidRPr="000A38E5">
        <w:rPr>
          <w:lang w:val="uk-UA"/>
        </w:rPr>
        <w:t>Громадські консультації щодо план</w:t>
      </w:r>
      <w:r w:rsidR="000764D1" w:rsidRPr="000A38E5">
        <w:rPr>
          <w:lang w:val="uk-UA"/>
        </w:rPr>
        <w:t>у</w:t>
      </w:r>
      <w:r w:rsidR="00992F52" w:rsidRPr="000A38E5">
        <w:rPr>
          <w:lang w:val="uk-UA"/>
        </w:rPr>
        <w:t xml:space="preserve"> проводилися у</w:t>
      </w:r>
      <w:r w:rsidR="00D83351" w:rsidRPr="00E93710">
        <w:rPr>
          <w:lang w:val="uk-UA"/>
        </w:rPr>
        <w:t xml:space="preserve"> 2003</w:t>
      </w:r>
      <w:r w:rsidR="00992F52" w:rsidRPr="000A38E5">
        <w:rPr>
          <w:lang w:val="uk-UA"/>
        </w:rPr>
        <w:t xml:space="preserve"> р</w:t>
      </w:r>
      <w:r w:rsidR="00E4255C" w:rsidRPr="000A38E5">
        <w:rPr>
          <w:lang w:val="uk-UA"/>
        </w:rPr>
        <w:t>оку</w:t>
      </w:r>
      <w:r w:rsidR="00D83351" w:rsidRPr="00E93710">
        <w:rPr>
          <w:lang w:val="uk-UA"/>
        </w:rPr>
        <w:t>.</w:t>
      </w:r>
    </w:p>
    <w:bookmarkStart w:id="3" w:name="publication_2007"/>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11</w:t>
      </w:r>
      <w:r w:rsidRPr="00E93710">
        <w:rPr>
          <w:lang w:val="uk-UA"/>
        </w:rPr>
        <w:fldChar w:fldCharType="end"/>
      </w:r>
      <w:bookmarkEnd w:id="3"/>
      <w:r w:rsidR="00D83351" w:rsidRPr="00E93710">
        <w:rPr>
          <w:lang w:val="uk-UA"/>
        </w:rPr>
        <w:t>.</w:t>
      </w:r>
      <w:r w:rsidR="00334477" w:rsidRPr="000A38E5">
        <w:rPr>
          <w:lang w:val="uk-UA"/>
        </w:rPr>
        <w:t xml:space="preserve"> </w:t>
      </w:r>
      <w:r w:rsidR="002F36E2" w:rsidRPr="000A38E5">
        <w:rPr>
          <w:lang w:val="uk-UA"/>
        </w:rPr>
        <w:t>20 вересня</w:t>
      </w:r>
      <w:r w:rsidR="00D83351" w:rsidRPr="00E93710">
        <w:rPr>
          <w:lang w:val="uk-UA"/>
        </w:rPr>
        <w:t xml:space="preserve"> 2007 </w:t>
      </w:r>
      <w:r w:rsidR="002F36E2" w:rsidRPr="000A38E5">
        <w:rPr>
          <w:lang w:val="uk-UA"/>
        </w:rPr>
        <w:t>р</w:t>
      </w:r>
      <w:r w:rsidR="00E4255C" w:rsidRPr="000A38E5">
        <w:rPr>
          <w:lang w:val="uk-UA"/>
        </w:rPr>
        <w:t>оку</w:t>
      </w:r>
      <w:r w:rsidR="002F36E2" w:rsidRPr="000A38E5">
        <w:rPr>
          <w:lang w:val="uk-UA"/>
        </w:rPr>
        <w:t xml:space="preserve"> </w:t>
      </w:r>
      <w:r w:rsidR="00D83351" w:rsidRPr="000A38E5">
        <w:rPr>
          <w:lang w:val="uk-UA"/>
        </w:rPr>
        <w:t>Департамент будівництва та шляхового господарства Харківської міської ради</w:t>
      </w:r>
      <w:r w:rsidR="00D83351" w:rsidRPr="00E93710">
        <w:rPr>
          <w:lang w:val="uk-UA"/>
        </w:rPr>
        <w:t xml:space="preserve"> </w:t>
      </w:r>
      <w:r w:rsidR="002F36E2" w:rsidRPr="000A38E5">
        <w:rPr>
          <w:lang w:val="uk-UA"/>
        </w:rPr>
        <w:t>опублікував у газеті «Харківський Кур’єр»</w:t>
      </w:r>
      <w:r w:rsidR="00D83351" w:rsidRPr="00E93710">
        <w:rPr>
          <w:lang w:val="uk-UA"/>
        </w:rPr>
        <w:t xml:space="preserve"> </w:t>
      </w:r>
      <w:r w:rsidR="002F36E2" w:rsidRPr="000A38E5">
        <w:rPr>
          <w:lang w:val="uk-UA"/>
        </w:rPr>
        <w:t xml:space="preserve">інформацію </w:t>
      </w:r>
      <w:r w:rsidR="00E4255C" w:rsidRPr="000A38E5">
        <w:rPr>
          <w:lang w:val="uk-UA"/>
        </w:rPr>
        <w:t xml:space="preserve">про свій </w:t>
      </w:r>
      <w:r w:rsidR="002F36E2" w:rsidRPr="000A38E5">
        <w:rPr>
          <w:lang w:val="uk-UA"/>
        </w:rPr>
        <w:t>плану</w:t>
      </w:r>
      <w:r w:rsidR="00D83351" w:rsidRPr="00E93710">
        <w:rPr>
          <w:lang w:val="uk-UA"/>
        </w:rPr>
        <w:t xml:space="preserve"> </w:t>
      </w:r>
      <w:r w:rsidR="00873445" w:rsidRPr="000A38E5">
        <w:rPr>
          <w:lang w:val="uk-UA"/>
        </w:rPr>
        <w:t>збудувати дорогу від Сумської до Новгородської вулиці</w:t>
      </w:r>
      <w:r w:rsidR="00D83351" w:rsidRPr="00E93710">
        <w:rPr>
          <w:lang w:val="uk-UA"/>
        </w:rPr>
        <w:t xml:space="preserve">, </w:t>
      </w:r>
      <w:r w:rsidR="00873445" w:rsidRPr="000A38E5">
        <w:rPr>
          <w:lang w:val="uk-UA"/>
        </w:rPr>
        <w:t>а саме скрізь вищезгаданий парк</w:t>
      </w:r>
      <w:r w:rsidR="00D83351" w:rsidRPr="00E93710">
        <w:rPr>
          <w:lang w:val="uk-UA"/>
        </w:rPr>
        <w:t xml:space="preserve">, </w:t>
      </w:r>
      <w:r w:rsidR="00873445" w:rsidRPr="000A38E5">
        <w:rPr>
          <w:lang w:val="uk-UA"/>
        </w:rPr>
        <w:t>та запросив надати коментарі</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12</w:t>
      </w:r>
      <w:r w:rsidRPr="00E93710">
        <w:rPr>
          <w:noProof/>
          <w:lang w:val="uk-UA"/>
        </w:rPr>
        <w:fldChar w:fldCharType="end"/>
      </w:r>
      <w:r w:rsidR="00D83351" w:rsidRPr="00E93710">
        <w:rPr>
          <w:lang w:val="uk-UA"/>
        </w:rPr>
        <w:t>.</w:t>
      </w:r>
      <w:r w:rsidR="00334477" w:rsidRPr="000A38E5">
        <w:rPr>
          <w:lang w:val="uk-UA"/>
        </w:rPr>
        <w:t xml:space="preserve"> </w:t>
      </w:r>
      <w:r w:rsidR="009B1376" w:rsidRPr="000A38E5">
        <w:rPr>
          <w:lang w:val="uk-UA"/>
        </w:rPr>
        <w:t>10 вересня</w:t>
      </w:r>
      <w:r w:rsidR="00D83351" w:rsidRPr="00E93710">
        <w:rPr>
          <w:lang w:val="uk-UA"/>
        </w:rPr>
        <w:t xml:space="preserve"> 2008 </w:t>
      </w:r>
      <w:r w:rsidR="009B1376" w:rsidRPr="000A38E5">
        <w:rPr>
          <w:lang w:val="uk-UA"/>
        </w:rPr>
        <w:t>р</w:t>
      </w:r>
      <w:r w:rsidR="00E4255C" w:rsidRPr="000A38E5">
        <w:rPr>
          <w:lang w:val="uk-UA"/>
        </w:rPr>
        <w:t>оку</w:t>
      </w:r>
      <w:r w:rsidR="009B1376" w:rsidRPr="000A38E5">
        <w:rPr>
          <w:lang w:val="uk-UA"/>
        </w:rPr>
        <w:t xml:space="preserve"> міська рада виділила землю</w:t>
      </w:r>
      <w:r w:rsidR="00D83351" w:rsidRPr="00E93710">
        <w:rPr>
          <w:lang w:val="uk-UA"/>
        </w:rPr>
        <w:t xml:space="preserve"> </w:t>
      </w:r>
      <w:r w:rsidR="009B1376" w:rsidRPr="000A38E5">
        <w:rPr>
          <w:lang w:val="uk-UA"/>
        </w:rPr>
        <w:t>для дорожнього будівництва</w:t>
      </w:r>
      <w:r w:rsidR="00D83351" w:rsidRPr="00E93710">
        <w:rPr>
          <w:lang w:val="uk-UA"/>
        </w:rPr>
        <w:t xml:space="preserve"> </w:t>
      </w:r>
      <w:r w:rsidR="009B1376" w:rsidRPr="000A38E5">
        <w:rPr>
          <w:lang w:val="uk-UA"/>
        </w:rPr>
        <w:t>Департаменту муніципального будівництва</w:t>
      </w:r>
      <w:r w:rsidR="00D83351" w:rsidRPr="00E93710">
        <w:rPr>
          <w:lang w:val="uk-UA"/>
        </w:rPr>
        <w:t>.</w:t>
      </w:r>
    </w:p>
    <w:bookmarkStart w:id="4" w:name="Urban_Development_Plan_modified"/>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13</w:t>
      </w:r>
      <w:r w:rsidRPr="00E93710">
        <w:rPr>
          <w:lang w:val="uk-UA"/>
        </w:rPr>
        <w:fldChar w:fldCharType="end"/>
      </w:r>
      <w:bookmarkEnd w:id="4"/>
      <w:r w:rsidR="00D83351" w:rsidRPr="00E93710">
        <w:rPr>
          <w:lang w:val="uk-UA"/>
        </w:rPr>
        <w:t>.</w:t>
      </w:r>
      <w:r w:rsidR="00334477" w:rsidRPr="000A38E5">
        <w:rPr>
          <w:lang w:val="uk-UA"/>
        </w:rPr>
        <w:t xml:space="preserve"> </w:t>
      </w:r>
      <w:r w:rsidR="009B1376" w:rsidRPr="000A38E5">
        <w:rPr>
          <w:lang w:val="uk-UA"/>
        </w:rPr>
        <w:t>14 березня</w:t>
      </w:r>
      <w:r w:rsidR="00D83351" w:rsidRPr="00E93710">
        <w:rPr>
          <w:lang w:val="uk-UA"/>
        </w:rPr>
        <w:t xml:space="preserve"> 2008 </w:t>
      </w:r>
      <w:r w:rsidR="00DB1D73" w:rsidRPr="000A38E5">
        <w:rPr>
          <w:lang w:val="uk-UA"/>
        </w:rPr>
        <w:t>р</w:t>
      </w:r>
      <w:r w:rsidR="00E4255C" w:rsidRPr="000A38E5">
        <w:rPr>
          <w:lang w:val="uk-UA"/>
        </w:rPr>
        <w:t>оку</w:t>
      </w:r>
      <w:r w:rsidR="00DB1D73" w:rsidRPr="000A38E5">
        <w:rPr>
          <w:lang w:val="uk-UA"/>
        </w:rPr>
        <w:t xml:space="preserve"> Інститут міського планування ухвалив план, наданий Харківським </w:t>
      </w:r>
      <w:r w:rsidR="00E4255C" w:rsidRPr="000A38E5">
        <w:rPr>
          <w:lang w:val="uk-UA"/>
        </w:rPr>
        <w:t>департаментом</w:t>
      </w:r>
      <w:r w:rsidR="00E4255C" w:rsidRPr="00E93710">
        <w:rPr>
          <w:lang w:val="uk-UA"/>
        </w:rPr>
        <w:t xml:space="preserve"> </w:t>
      </w:r>
      <w:r w:rsidR="00D83351" w:rsidRPr="000A38E5">
        <w:rPr>
          <w:lang w:val="uk-UA"/>
        </w:rPr>
        <w:t>містобудування, архітектури та земельних відносин</w:t>
      </w:r>
      <w:r w:rsidR="00DB1D73" w:rsidRPr="000A38E5">
        <w:rPr>
          <w:lang w:val="uk-UA"/>
        </w:rPr>
        <w:t>,</w:t>
      </w:r>
      <w:r w:rsidR="00D83351" w:rsidRPr="00E93710">
        <w:rPr>
          <w:lang w:val="uk-UA"/>
        </w:rPr>
        <w:t xml:space="preserve"> </w:t>
      </w:r>
      <w:r w:rsidR="00E0011C" w:rsidRPr="000A38E5">
        <w:rPr>
          <w:lang w:val="uk-UA"/>
        </w:rPr>
        <w:t>який передбачав будівництво дороги скрізь парк</w:t>
      </w:r>
      <w:r w:rsidR="00D83351" w:rsidRPr="00E93710">
        <w:rPr>
          <w:lang w:val="uk-UA"/>
        </w:rPr>
        <w:t xml:space="preserve"> </w:t>
      </w:r>
      <w:r w:rsidR="00E0011C" w:rsidRPr="000A38E5">
        <w:rPr>
          <w:lang w:val="uk-UA"/>
        </w:rPr>
        <w:t>та модифікацію Плану міського розвитку у цьому відношенні</w:t>
      </w:r>
      <w:r w:rsidR="00D83351" w:rsidRPr="00E93710">
        <w:rPr>
          <w:lang w:val="uk-UA"/>
        </w:rPr>
        <w:t>.</w:t>
      </w:r>
    </w:p>
    <w:bookmarkStart w:id="5" w:name="decision_25feb09"/>
    <w:p w:rsidR="00D83351" w:rsidRPr="00E93710" w:rsidRDefault="004E7608" w:rsidP="00852217">
      <w:pPr>
        <w:pStyle w:val="ECHRPara"/>
        <w:rPr>
          <w:lang w:val="uk-UA"/>
        </w:rPr>
      </w:pPr>
      <w:r w:rsidRPr="00E93710">
        <w:rPr>
          <w:lang w:val="uk-UA"/>
        </w:rPr>
        <w:lastRenderedPageBreak/>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14</w:t>
      </w:r>
      <w:r w:rsidRPr="00E93710">
        <w:rPr>
          <w:lang w:val="uk-UA"/>
        </w:rPr>
        <w:fldChar w:fldCharType="end"/>
      </w:r>
      <w:bookmarkEnd w:id="5"/>
      <w:r w:rsidR="00D83351" w:rsidRPr="00E93710">
        <w:rPr>
          <w:lang w:val="uk-UA"/>
        </w:rPr>
        <w:t>.</w:t>
      </w:r>
      <w:r w:rsidR="00334477" w:rsidRPr="000A38E5">
        <w:rPr>
          <w:lang w:val="uk-UA"/>
        </w:rPr>
        <w:t xml:space="preserve"> </w:t>
      </w:r>
      <w:r w:rsidR="00E0011C" w:rsidRPr="000A38E5">
        <w:rPr>
          <w:lang w:val="uk-UA"/>
        </w:rPr>
        <w:t>25 січня або лютого</w:t>
      </w:r>
      <w:r w:rsidR="00D83351" w:rsidRPr="00E93710">
        <w:rPr>
          <w:lang w:val="uk-UA"/>
        </w:rPr>
        <w:t xml:space="preserve"> 2009 </w:t>
      </w:r>
      <w:r w:rsidR="00E0011C" w:rsidRPr="000A38E5">
        <w:rPr>
          <w:lang w:val="uk-UA"/>
        </w:rPr>
        <w:t>р</w:t>
      </w:r>
      <w:r w:rsidR="00E4255C" w:rsidRPr="000A38E5">
        <w:rPr>
          <w:lang w:val="uk-UA"/>
        </w:rPr>
        <w:t>оку</w:t>
      </w:r>
      <w:r w:rsidR="00E0011C" w:rsidRPr="000A38E5">
        <w:rPr>
          <w:lang w:val="uk-UA"/>
        </w:rPr>
        <w:t xml:space="preserve"> міська рада ухвалила загальний план</w:t>
      </w:r>
      <w:r w:rsidR="00D83351" w:rsidRPr="00E93710">
        <w:rPr>
          <w:lang w:val="uk-UA"/>
        </w:rPr>
        <w:t xml:space="preserve"> </w:t>
      </w:r>
      <w:r w:rsidR="00E0011C" w:rsidRPr="000A38E5">
        <w:rPr>
          <w:lang w:val="uk-UA"/>
        </w:rPr>
        <w:t>будівництва дороги</w:t>
      </w:r>
      <w:r w:rsidR="00D83351" w:rsidRPr="00E93710">
        <w:rPr>
          <w:lang w:val="uk-UA"/>
        </w:rPr>
        <w:t xml:space="preserve">, </w:t>
      </w:r>
      <w:r w:rsidR="00E0011C" w:rsidRPr="000A38E5">
        <w:rPr>
          <w:lang w:val="uk-UA"/>
        </w:rPr>
        <w:t>у тому числі – дороги скрізь парк</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15</w:t>
      </w:r>
      <w:r w:rsidRPr="00E93710">
        <w:rPr>
          <w:noProof/>
          <w:lang w:val="uk-UA"/>
        </w:rPr>
        <w:fldChar w:fldCharType="end"/>
      </w:r>
      <w:r w:rsidR="00D83351" w:rsidRPr="00E93710">
        <w:rPr>
          <w:lang w:val="uk-UA"/>
        </w:rPr>
        <w:t>.</w:t>
      </w:r>
      <w:r w:rsidR="00334477" w:rsidRPr="000A38E5">
        <w:rPr>
          <w:lang w:val="uk-UA"/>
        </w:rPr>
        <w:t xml:space="preserve"> </w:t>
      </w:r>
      <w:r w:rsidR="00BD0E0D" w:rsidRPr="000A38E5">
        <w:rPr>
          <w:lang w:val="uk-UA"/>
        </w:rPr>
        <w:t>27 квітня</w:t>
      </w:r>
      <w:r w:rsidR="00D83351" w:rsidRPr="00E93710">
        <w:rPr>
          <w:lang w:val="uk-UA"/>
        </w:rPr>
        <w:t xml:space="preserve"> 2010 </w:t>
      </w:r>
      <w:r w:rsidR="00BD0E0D" w:rsidRPr="000A38E5">
        <w:rPr>
          <w:lang w:val="uk-UA"/>
        </w:rPr>
        <w:t>р</w:t>
      </w:r>
      <w:r w:rsidR="00E4255C" w:rsidRPr="000A38E5">
        <w:rPr>
          <w:lang w:val="uk-UA"/>
        </w:rPr>
        <w:t>оку</w:t>
      </w:r>
      <w:r w:rsidR="00BD0E0D" w:rsidRPr="000A38E5">
        <w:rPr>
          <w:lang w:val="uk-UA"/>
        </w:rPr>
        <w:t xml:space="preserve"> комісія з муніципальних посадових осіб оглянула дерева,</w:t>
      </w:r>
      <w:r w:rsidR="00D83351" w:rsidRPr="00E93710">
        <w:rPr>
          <w:lang w:val="uk-UA"/>
        </w:rPr>
        <w:t xml:space="preserve"> </w:t>
      </w:r>
      <w:r w:rsidR="00BD0E0D" w:rsidRPr="000A38E5">
        <w:rPr>
          <w:lang w:val="uk-UA"/>
        </w:rPr>
        <w:t>які необхідно було вирубувати для будівництва дороги,</w:t>
      </w:r>
      <w:r w:rsidR="00D83351" w:rsidRPr="00E93710">
        <w:rPr>
          <w:lang w:val="uk-UA"/>
        </w:rPr>
        <w:t xml:space="preserve"> </w:t>
      </w:r>
      <w:r w:rsidR="002D1EAD" w:rsidRPr="000A38E5">
        <w:rPr>
          <w:lang w:val="uk-UA"/>
        </w:rPr>
        <w:t>і склала подобний перелік дерев</w:t>
      </w:r>
      <w:r w:rsidR="00D83351" w:rsidRPr="00E93710">
        <w:rPr>
          <w:lang w:val="uk-UA"/>
        </w:rPr>
        <w:t xml:space="preserve">, </w:t>
      </w:r>
      <w:r w:rsidR="002D1EAD" w:rsidRPr="000A38E5">
        <w:rPr>
          <w:lang w:val="uk-UA"/>
        </w:rPr>
        <w:t>зазначивши їх різновиди, вік</w:t>
      </w:r>
      <w:r w:rsidR="00D83351" w:rsidRPr="00E93710">
        <w:rPr>
          <w:lang w:val="uk-UA"/>
        </w:rPr>
        <w:t xml:space="preserve">, </w:t>
      </w:r>
      <w:r w:rsidR="002D1EAD" w:rsidRPr="000A38E5">
        <w:rPr>
          <w:lang w:val="uk-UA"/>
        </w:rPr>
        <w:t>діаметр та стан</w:t>
      </w:r>
      <w:r w:rsidR="00D83351" w:rsidRPr="00E93710">
        <w:rPr>
          <w:lang w:val="uk-UA"/>
        </w:rPr>
        <w:t xml:space="preserve">. </w:t>
      </w:r>
      <w:r w:rsidR="002D1EAD" w:rsidRPr="000A38E5">
        <w:rPr>
          <w:lang w:val="uk-UA"/>
        </w:rPr>
        <w:t>18 травня</w:t>
      </w:r>
      <w:r w:rsidR="00D83351" w:rsidRPr="00E93710">
        <w:rPr>
          <w:lang w:val="uk-UA"/>
        </w:rPr>
        <w:t xml:space="preserve"> 2010 </w:t>
      </w:r>
      <w:r w:rsidR="002D1EAD" w:rsidRPr="000A38E5">
        <w:rPr>
          <w:lang w:val="uk-UA"/>
        </w:rPr>
        <w:t>р</w:t>
      </w:r>
      <w:r w:rsidR="00E4255C" w:rsidRPr="000A38E5">
        <w:rPr>
          <w:lang w:val="uk-UA"/>
        </w:rPr>
        <w:t>оку</w:t>
      </w:r>
      <w:r w:rsidR="002D1EAD" w:rsidRPr="000A38E5">
        <w:rPr>
          <w:lang w:val="uk-UA"/>
        </w:rPr>
        <w:t xml:space="preserve"> Харківський обласний департамент охорони оточуючого середовища ухвалив цей перелік</w:t>
      </w:r>
      <w:r w:rsidR="00D83351" w:rsidRPr="00E93710">
        <w:rPr>
          <w:lang w:val="uk-UA"/>
        </w:rPr>
        <w:t>.</w:t>
      </w:r>
    </w:p>
    <w:bookmarkStart w:id="6" w:name="publication_2010"/>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16</w:t>
      </w:r>
      <w:r w:rsidRPr="00E93710">
        <w:rPr>
          <w:lang w:val="uk-UA"/>
        </w:rPr>
        <w:fldChar w:fldCharType="end"/>
      </w:r>
      <w:bookmarkEnd w:id="6"/>
      <w:r w:rsidR="00D83351" w:rsidRPr="00E93710">
        <w:rPr>
          <w:lang w:val="uk-UA"/>
        </w:rPr>
        <w:t>.</w:t>
      </w:r>
      <w:r w:rsidR="00334477" w:rsidRPr="000A38E5">
        <w:rPr>
          <w:lang w:val="uk-UA"/>
        </w:rPr>
        <w:t xml:space="preserve"> </w:t>
      </w:r>
      <w:r w:rsidR="002D1EAD" w:rsidRPr="000A38E5">
        <w:rPr>
          <w:lang w:val="uk-UA"/>
        </w:rPr>
        <w:t>7 травня</w:t>
      </w:r>
      <w:r w:rsidR="00D83351" w:rsidRPr="00E93710">
        <w:rPr>
          <w:lang w:val="uk-UA"/>
        </w:rPr>
        <w:t xml:space="preserve"> 2010 </w:t>
      </w:r>
      <w:r w:rsidR="002D1EAD" w:rsidRPr="000A38E5">
        <w:rPr>
          <w:lang w:val="uk-UA"/>
        </w:rPr>
        <w:t>р</w:t>
      </w:r>
      <w:r w:rsidR="00E4255C" w:rsidRPr="000A38E5">
        <w:rPr>
          <w:lang w:val="uk-UA"/>
        </w:rPr>
        <w:t>оку</w:t>
      </w:r>
      <w:r w:rsidR="002D1EAD" w:rsidRPr="000A38E5">
        <w:rPr>
          <w:lang w:val="uk-UA"/>
        </w:rPr>
        <w:t xml:space="preserve"> </w:t>
      </w:r>
      <w:r w:rsidR="002038FF" w:rsidRPr="000A38E5">
        <w:rPr>
          <w:lang w:val="uk-UA"/>
        </w:rPr>
        <w:t>Департамент муніципального будівництва</w:t>
      </w:r>
      <w:r w:rsidR="00D83351" w:rsidRPr="00E93710">
        <w:rPr>
          <w:lang w:val="uk-UA"/>
        </w:rPr>
        <w:t xml:space="preserve"> </w:t>
      </w:r>
      <w:r w:rsidR="00E4255C" w:rsidRPr="000A38E5">
        <w:rPr>
          <w:lang w:val="uk-UA"/>
        </w:rPr>
        <w:t xml:space="preserve">оприлюднив </w:t>
      </w:r>
      <w:r w:rsidR="002038FF" w:rsidRPr="000A38E5">
        <w:rPr>
          <w:lang w:val="uk-UA"/>
        </w:rPr>
        <w:t>повідомлення стосовно запланованого будівництва</w:t>
      </w:r>
      <w:r w:rsidR="00D83351" w:rsidRPr="00E93710">
        <w:rPr>
          <w:lang w:val="uk-UA"/>
        </w:rPr>
        <w:t xml:space="preserve"> </w:t>
      </w:r>
      <w:r w:rsidR="002038FF" w:rsidRPr="000A38E5">
        <w:rPr>
          <w:lang w:val="uk-UA"/>
        </w:rPr>
        <w:t>дороги в газеті «Екологія сьогодні»</w:t>
      </w:r>
      <w:r w:rsidR="00D83351" w:rsidRPr="00E93710">
        <w:rPr>
          <w:lang w:val="uk-UA"/>
        </w:rPr>
        <w:t xml:space="preserve">, </w:t>
      </w:r>
      <w:r w:rsidR="002038FF" w:rsidRPr="000A38E5">
        <w:rPr>
          <w:lang w:val="uk-UA"/>
        </w:rPr>
        <w:t>яку видавала Харківська обласна екологічна інспекція</w:t>
      </w:r>
      <w:r w:rsidR="00D83351" w:rsidRPr="00E93710">
        <w:rPr>
          <w:lang w:val="uk-UA"/>
        </w:rPr>
        <w:t xml:space="preserve">. </w:t>
      </w:r>
      <w:r w:rsidR="002038FF" w:rsidRPr="000A38E5">
        <w:rPr>
          <w:lang w:val="uk-UA"/>
        </w:rPr>
        <w:t>Повідомлення містило зазначення того, де пролягатиме дорога</w:t>
      </w:r>
      <w:r w:rsidR="00D83351" w:rsidRPr="00E93710">
        <w:rPr>
          <w:lang w:val="uk-UA"/>
        </w:rPr>
        <w:t xml:space="preserve">, </w:t>
      </w:r>
      <w:r w:rsidR="002038FF" w:rsidRPr="000A38E5">
        <w:rPr>
          <w:lang w:val="uk-UA"/>
        </w:rPr>
        <w:t>і в ньому стверджувалося, що дорога буде довжиною у</w:t>
      </w:r>
      <w:r w:rsidR="00D83351" w:rsidRPr="00E93710">
        <w:rPr>
          <w:lang w:val="uk-UA"/>
        </w:rPr>
        <w:t xml:space="preserve"> 1,283 </w:t>
      </w:r>
      <w:r w:rsidR="002038FF" w:rsidRPr="000A38E5">
        <w:rPr>
          <w:lang w:val="uk-UA"/>
        </w:rPr>
        <w:t xml:space="preserve">метри та </w:t>
      </w:r>
      <w:r w:rsidR="00E4255C" w:rsidRPr="000A38E5">
        <w:rPr>
          <w:lang w:val="uk-UA"/>
        </w:rPr>
        <w:t xml:space="preserve">шириною у </w:t>
      </w:r>
      <w:r w:rsidR="002038FF" w:rsidRPr="000A38E5">
        <w:rPr>
          <w:lang w:val="uk-UA"/>
        </w:rPr>
        <w:t>16 метрів</w:t>
      </w:r>
      <w:r w:rsidR="00D83351" w:rsidRPr="00E93710">
        <w:rPr>
          <w:lang w:val="uk-UA"/>
        </w:rPr>
        <w:t xml:space="preserve">, </w:t>
      </w:r>
      <w:r w:rsidR="002038FF" w:rsidRPr="000A38E5">
        <w:rPr>
          <w:lang w:val="uk-UA"/>
        </w:rPr>
        <w:t>з тротуаром та велосипедною доріжкою</w:t>
      </w:r>
      <w:r w:rsidR="00D83351" w:rsidRPr="00E93710">
        <w:rPr>
          <w:lang w:val="uk-UA"/>
        </w:rPr>
        <w:t xml:space="preserve">. </w:t>
      </w:r>
      <w:r w:rsidR="002038FF" w:rsidRPr="000A38E5">
        <w:rPr>
          <w:lang w:val="uk-UA"/>
        </w:rPr>
        <w:t>У повідомленні стверджувалося, що у процесі</w:t>
      </w:r>
      <w:r w:rsidR="00D83351" w:rsidRPr="00E93710">
        <w:rPr>
          <w:lang w:val="uk-UA"/>
        </w:rPr>
        <w:t xml:space="preserve"> </w:t>
      </w:r>
      <w:r w:rsidR="002038FF" w:rsidRPr="000A38E5">
        <w:rPr>
          <w:lang w:val="uk-UA"/>
        </w:rPr>
        <w:t>будуть знищені 503 дерева,</w:t>
      </w:r>
      <w:r w:rsidR="00D83351" w:rsidRPr="00E93710">
        <w:rPr>
          <w:lang w:val="uk-UA"/>
        </w:rPr>
        <w:t xml:space="preserve"> </w:t>
      </w:r>
      <w:r w:rsidR="002038FF" w:rsidRPr="000A38E5">
        <w:rPr>
          <w:lang w:val="uk-UA"/>
        </w:rPr>
        <w:t>але 75 дерев та 35 кущів будуть посаджені уздовж дороги</w:t>
      </w:r>
      <w:r w:rsidR="00D83351" w:rsidRPr="00E93710">
        <w:rPr>
          <w:lang w:val="uk-UA"/>
        </w:rPr>
        <w:t xml:space="preserve">. </w:t>
      </w:r>
      <w:r w:rsidR="002038FF" w:rsidRPr="000A38E5">
        <w:rPr>
          <w:lang w:val="uk-UA"/>
        </w:rPr>
        <w:t>Було запрошено надсилати коментарі, і для цього була надана поштова адреса Департаменту</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17</w:t>
      </w:r>
      <w:r w:rsidRPr="00E93710">
        <w:rPr>
          <w:noProof/>
          <w:lang w:val="uk-UA"/>
        </w:rPr>
        <w:fldChar w:fldCharType="end"/>
      </w:r>
      <w:r w:rsidR="00D83351" w:rsidRPr="00E93710">
        <w:rPr>
          <w:lang w:val="uk-UA"/>
        </w:rPr>
        <w:t>.</w:t>
      </w:r>
      <w:r w:rsidR="00334477" w:rsidRPr="000A38E5">
        <w:rPr>
          <w:lang w:val="uk-UA"/>
        </w:rPr>
        <w:t xml:space="preserve"> </w:t>
      </w:r>
      <w:r w:rsidR="00B802A7" w:rsidRPr="000A38E5">
        <w:rPr>
          <w:lang w:val="uk-UA"/>
        </w:rPr>
        <w:t>17 травня</w:t>
      </w:r>
      <w:r w:rsidR="00D83351" w:rsidRPr="00E93710">
        <w:rPr>
          <w:lang w:val="uk-UA"/>
        </w:rPr>
        <w:t xml:space="preserve"> 2010 </w:t>
      </w:r>
      <w:r w:rsidR="00B802A7" w:rsidRPr="000A38E5">
        <w:rPr>
          <w:lang w:val="uk-UA"/>
        </w:rPr>
        <w:t>р</w:t>
      </w:r>
      <w:r w:rsidR="00E4255C" w:rsidRPr="000A38E5">
        <w:rPr>
          <w:lang w:val="uk-UA"/>
        </w:rPr>
        <w:t>оку</w:t>
      </w:r>
      <w:r w:rsidR="00B802A7" w:rsidRPr="000A38E5">
        <w:rPr>
          <w:lang w:val="uk-UA"/>
        </w:rPr>
        <w:t xml:space="preserve"> Департамент муніципального будівництва</w:t>
      </w:r>
      <w:r w:rsidR="00D83351" w:rsidRPr="00E93710">
        <w:rPr>
          <w:lang w:val="uk-UA"/>
        </w:rPr>
        <w:t xml:space="preserve"> </w:t>
      </w:r>
      <w:r w:rsidR="00B802A7" w:rsidRPr="000A38E5">
        <w:rPr>
          <w:lang w:val="uk-UA"/>
        </w:rPr>
        <w:t>надіслав обласним</w:t>
      </w:r>
      <w:r w:rsidR="00D83351" w:rsidRPr="00E93710">
        <w:rPr>
          <w:lang w:val="uk-UA"/>
        </w:rPr>
        <w:t xml:space="preserve"> </w:t>
      </w:r>
      <w:r w:rsidR="00B802A7" w:rsidRPr="000A38E5">
        <w:rPr>
          <w:lang w:val="uk-UA"/>
        </w:rPr>
        <w:t>органам з охорони оточуючого середовища</w:t>
      </w:r>
      <w:r w:rsidR="00D83351" w:rsidRPr="00E93710">
        <w:rPr>
          <w:lang w:val="uk-UA"/>
        </w:rPr>
        <w:t xml:space="preserve"> </w:t>
      </w:r>
      <w:r w:rsidR="00E4255C" w:rsidRPr="000A38E5">
        <w:rPr>
          <w:lang w:val="uk-UA"/>
        </w:rPr>
        <w:t xml:space="preserve">листи </w:t>
      </w:r>
      <w:r w:rsidR="00B802A7" w:rsidRPr="000A38E5">
        <w:rPr>
          <w:lang w:val="uk-UA"/>
        </w:rPr>
        <w:t>з поясненням того, що мета будівництва дороги полягала у</w:t>
      </w:r>
      <w:r w:rsidR="00D83351" w:rsidRPr="00E93710">
        <w:rPr>
          <w:lang w:val="uk-UA"/>
        </w:rPr>
        <w:t xml:space="preserve"> </w:t>
      </w:r>
      <w:r w:rsidR="00B802A7" w:rsidRPr="000A38E5">
        <w:rPr>
          <w:lang w:val="uk-UA"/>
        </w:rPr>
        <w:t xml:space="preserve">полегшенні проблеми </w:t>
      </w:r>
      <w:r w:rsidR="00E4255C" w:rsidRPr="000A38E5">
        <w:rPr>
          <w:lang w:val="uk-UA"/>
        </w:rPr>
        <w:t xml:space="preserve">збільшення </w:t>
      </w:r>
      <w:r w:rsidR="00B802A7" w:rsidRPr="000A38E5">
        <w:rPr>
          <w:lang w:val="uk-UA"/>
        </w:rPr>
        <w:t>дорожнього руху</w:t>
      </w:r>
      <w:r w:rsidR="00D83351" w:rsidRPr="00E93710">
        <w:rPr>
          <w:lang w:val="uk-UA"/>
        </w:rPr>
        <w:t xml:space="preserve"> </w:t>
      </w:r>
      <w:r w:rsidR="00B802A7" w:rsidRPr="000A38E5">
        <w:rPr>
          <w:lang w:val="uk-UA"/>
        </w:rPr>
        <w:t>в центрі Харкова шляхом</w:t>
      </w:r>
      <w:r w:rsidR="00D83351" w:rsidRPr="00E93710">
        <w:rPr>
          <w:lang w:val="uk-UA"/>
        </w:rPr>
        <w:t xml:space="preserve"> </w:t>
      </w:r>
      <w:r w:rsidR="00E4255C" w:rsidRPr="00E93710">
        <w:rPr>
          <w:lang w:val="uk-UA"/>
        </w:rPr>
        <w:t xml:space="preserve">з'єднання </w:t>
      </w:r>
      <w:r w:rsidR="00B802A7" w:rsidRPr="000A38E5">
        <w:rPr>
          <w:lang w:val="uk-UA"/>
        </w:rPr>
        <w:t>дорог</w:t>
      </w:r>
      <w:r w:rsidR="00E4255C" w:rsidRPr="000A38E5">
        <w:rPr>
          <w:lang w:val="uk-UA"/>
        </w:rPr>
        <w:t>ою поза центром міста двох</w:t>
      </w:r>
      <w:r w:rsidR="00A809CF" w:rsidRPr="000A38E5">
        <w:rPr>
          <w:lang w:val="uk-UA"/>
        </w:rPr>
        <w:t xml:space="preserve"> радіальн</w:t>
      </w:r>
      <w:r w:rsidR="00E4255C" w:rsidRPr="000A38E5">
        <w:rPr>
          <w:lang w:val="uk-UA"/>
        </w:rPr>
        <w:t>их</w:t>
      </w:r>
      <w:r w:rsidR="00A809CF" w:rsidRPr="000A38E5">
        <w:rPr>
          <w:lang w:val="uk-UA"/>
        </w:rPr>
        <w:t xml:space="preserve"> дор</w:t>
      </w:r>
      <w:r w:rsidR="00E4255C" w:rsidRPr="000A38E5">
        <w:rPr>
          <w:lang w:val="uk-UA"/>
        </w:rPr>
        <w:t>іг</w:t>
      </w:r>
      <w:r w:rsidR="00D83351" w:rsidRPr="00E93710">
        <w:rPr>
          <w:lang w:val="uk-UA"/>
        </w:rPr>
        <w:t>.</w:t>
      </w:r>
    </w:p>
    <w:bookmarkStart w:id="7" w:name="decision_19_May"/>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18</w:t>
      </w:r>
      <w:r w:rsidRPr="00E93710">
        <w:rPr>
          <w:lang w:val="uk-UA"/>
        </w:rPr>
        <w:fldChar w:fldCharType="end"/>
      </w:r>
      <w:bookmarkEnd w:id="7"/>
      <w:r w:rsidR="00D83351" w:rsidRPr="00E93710">
        <w:rPr>
          <w:lang w:val="uk-UA"/>
        </w:rPr>
        <w:t>.</w:t>
      </w:r>
      <w:r w:rsidR="00334477" w:rsidRPr="000A38E5">
        <w:rPr>
          <w:lang w:val="uk-UA"/>
        </w:rPr>
        <w:t xml:space="preserve"> </w:t>
      </w:r>
      <w:r w:rsidR="00A809CF" w:rsidRPr="000A38E5">
        <w:rPr>
          <w:lang w:val="uk-UA"/>
        </w:rPr>
        <w:t>19 травня</w:t>
      </w:r>
      <w:r w:rsidR="00D83351" w:rsidRPr="00E93710">
        <w:rPr>
          <w:lang w:val="uk-UA"/>
        </w:rPr>
        <w:t xml:space="preserve"> 2010 </w:t>
      </w:r>
      <w:r w:rsidR="00A809CF" w:rsidRPr="000A38E5">
        <w:rPr>
          <w:lang w:val="uk-UA"/>
        </w:rPr>
        <w:t>р</w:t>
      </w:r>
      <w:r w:rsidR="00E4255C" w:rsidRPr="000A38E5">
        <w:rPr>
          <w:lang w:val="uk-UA"/>
        </w:rPr>
        <w:t>оку</w:t>
      </w:r>
      <w:r w:rsidR="00A809CF" w:rsidRPr="000A38E5">
        <w:rPr>
          <w:lang w:val="uk-UA"/>
        </w:rPr>
        <w:t xml:space="preserve"> Виконавчий комітет Харківської міської ради</w:t>
      </w:r>
      <w:r w:rsidR="00D83351" w:rsidRPr="00E93710">
        <w:rPr>
          <w:lang w:val="uk-UA"/>
        </w:rPr>
        <w:t xml:space="preserve"> (</w:t>
      </w:r>
      <w:r w:rsidR="00A809CF" w:rsidRPr="000A38E5">
        <w:rPr>
          <w:lang w:val="uk-UA"/>
        </w:rPr>
        <w:t>надалі «виконавчий комітет»</w:t>
      </w:r>
      <w:r w:rsidR="00D83351" w:rsidRPr="00E93710">
        <w:rPr>
          <w:lang w:val="uk-UA"/>
        </w:rPr>
        <w:t xml:space="preserve">) </w:t>
      </w:r>
      <w:r w:rsidR="00A809CF" w:rsidRPr="000A38E5">
        <w:rPr>
          <w:lang w:val="uk-UA"/>
        </w:rPr>
        <w:t xml:space="preserve">ухвалив повалення 503 дерев у парку </w:t>
      </w:r>
      <w:r w:rsidR="0085000B" w:rsidRPr="000A38E5">
        <w:rPr>
          <w:lang w:val="uk-UA"/>
        </w:rPr>
        <w:t>ім.</w:t>
      </w:r>
      <w:r w:rsidR="00A809CF" w:rsidRPr="000A38E5">
        <w:rPr>
          <w:lang w:val="uk-UA"/>
        </w:rPr>
        <w:t xml:space="preserve"> Горького</w:t>
      </w:r>
      <w:r w:rsidR="00D83351" w:rsidRPr="00E93710">
        <w:rPr>
          <w:lang w:val="uk-UA"/>
        </w:rPr>
        <w:t>.</w:t>
      </w:r>
    </w:p>
    <w:bookmarkStart w:id="8" w:name="contractor"/>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19</w:t>
      </w:r>
      <w:r w:rsidRPr="00E93710">
        <w:rPr>
          <w:lang w:val="uk-UA"/>
        </w:rPr>
        <w:fldChar w:fldCharType="end"/>
      </w:r>
      <w:bookmarkEnd w:id="8"/>
      <w:r w:rsidR="00D83351" w:rsidRPr="00E93710">
        <w:rPr>
          <w:lang w:val="uk-UA"/>
        </w:rPr>
        <w:t>.</w:t>
      </w:r>
      <w:r w:rsidR="00334477" w:rsidRPr="000A38E5">
        <w:rPr>
          <w:lang w:val="uk-UA"/>
        </w:rPr>
        <w:t xml:space="preserve"> </w:t>
      </w:r>
      <w:r w:rsidR="000135E5" w:rsidRPr="000A38E5">
        <w:rPr>
          <w:lang w:val="uk-UA"/>
        </w:rPr>
        <w:t>11 або 19 травня</w:t>
      </w:r>
      <w:r w:rsidR="00D83351" w:rsidRPr="00E93710">
        <w:rPr>
          <w:lang w:val="uk-UA"/>
        </w:rPr>
        <w:t xml:space="preserve"> 2010 </w:t>
      </w:r>
      <w:r w:rsidR="000135E5" w:rsidRPr="000A38E5">
        <w:rPr>
          <w:lang w:val="uk-UA"/>
        </w:rPr>
        <w:t>р</w:t>
      </w:r>
      <w:r w:rsidR="000764D1" w:rsidRPr="000A38E5">
        <w:rPr>
          <w:lang w:val="uk-UA"/>
        </w:rPr>
        <w:t>оку</w:t>
      </w:r>
      <w:r w:rsidR="000135E5" w:rsidRPr="000A38E5">
        <w:rPr>
          <w:lang w:val="uk-UA"/>
        </w:rPr>
        <w:t xml:space="preserve"> Департамент будівництва уклав контракт</w:t>
      </w:r>
      <w:r w:rsidR="00D83351" w:rsidRPr="00E93710">
        <w:rPr>
          <w:lang w:val="uk-UA"/>
        </w:rPr>
        <w:t xml:space="preserve"> </w:t>
      </w:r>
      <w:r w:rsidR="000135E5" w:rsidRPr="000A38E5">
        <w:rPr>
          <w:lang w:val="uk-UA"/>
        </w:rPr>
        <w:t>з приватною компанією П</w:t>
      </w:r>
      <w:r w:rsidR="00D83351" w:rsidRPr="00E93710">
        <w:rPr>
          <w:lang w:val="uk-UA"/>
        </w:rPr>
        <w:t xml:space="preserve">., </w:t>
      </w:r>
      <w:r w:rsidR="00644541" w:rsidRPr="000A38E5">
        <w:rPr>
          <w:lang w:val="uk-UA"/>
        </w:rPr>
        <w:t>залучивши її в якості основного підряд</w:t>
      </w:r>
      <w:r w:rsidR="0085355E" w:rsidRPr="000A38E5">
        <w:rPr>
          <w:lang w:val="uk-UA"/>
        </w:rPr>
        <w:t>н</w:t>
      </w:r>
      <w:r w:rsidR="00644541" w:rsidRPr="000A38E5">
        <w:rPr>
          <w:lang w:val="uk-UA"/>
        </w:rPr>
        <w:t>ика</w:t>
      </w:r>
      <w:r w:rsidR="00D83351" w:rsidRPr="00E93710">
        <w:rPr>
          <w:lang w:val="uk-UA"/>
        </w:rPr>
        <w:t xml:space="preserve"> </w:t>
      </w:r>
      <w:r w:rsidR="00644541" w:rsidRPr="000A38E5">
        <w:rPr>
          <w:lang w:val="uk-UA"/>
        </w:rPr>
        <w:t>до проекту будівництва дороги</w:t>
      </w:r>
      <w:r w:rsidR="00D83351" w:rsidRPr="00E93710">
        <w:rPr>
          <w:lang w:val="uk-UA"/>
        </w:rPr>
        <w:t xml:space="preserve"> </w:t>
      </w:r>
      <w:r w:rsidR="00644541" w:rsidRPr="00E93710">
        <w:rPr>
          <w:lang w:val="uk-UA"/>
        </w:rPr>
        <w:t>(</w:t>
      </w:r>
      <w:r w:rsidR="00644541" w:rsidRPr="000A38E5">
        <w:rPr>
          <w:lang w:val="uk-UA"/>
        </w:rPr>
        <w:t>надалі – «головний підряд</w:t>
      </w:r>
      <w:r w:rsidR="0085355E" w:rsidRPr="000A38E5">
        <w:rPr>
          <w:lang w:val="uk-UA"/>
        </w:rPr>
        <w:t>н</w:t>
      </w:r>
      <w:r w:rsidR="00644541" w:rsidRPr="000A38E5">
        <w:rPr>
          <w:lang w:val="uk-UA"/>
        </w:rPr>
        <w:t>ик</w:t>
      </w:r>
      <w:r w:rsidR="00644541" w:rsidRPr="00E93710">
        <w:rPr>
          <w:lang w:val="uk-UA"/>
        </w:rPr>
        <w:t>»</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20</w:t>
      </w:r>
      <w:r w:rsidRPr="00E93710">
        <w:rPr>
          <w:noProof/>
          <w:lang w:val="uk-UA"/>
        </w:rPr>
        <w:fldChar w:fldCharType="end"/>
      </w:r>
      <w:r w:rsidR="00D83351" w:rsidRPr="00E93710">
        <w:rPr>
          <w:lang w:val="uk-UA"/>
        </w:rPr>
        <w:t>.</w:t>
      </w:r>
      <w:r w:rsidR="00334477" w:rsidRPr="000A38E5">
        <w:rPr>
          <w:lang w:val="uk-UA"/>
        </w:rPr>
        <w:t xml:space="preserve"> </w:t>
      </w:r>
      <w:r w:rsidR="00264378" w:rsidRPr="000A38E5">
        <w:rPr>
          <w:lang w:val="uk-UA"/>
        </w:rPr>
        <w:t>19 травня</w:t>
      </w:r>
      <w:r w:rsidR="00D83351" w:rsidRPr="00E93710">
        <w:rPr>
          <w:lang w:val="uk-UA"/>
        </w:rPr>
        <w:t xml:space="preserve"> 2010 </w:t>
      </w:r>
      <w:r w:rsidR="00E4255C" w:rsidRPr="000A38E5">
        <w:rPr>
          <w:lang w:val="uk-UA"/>
        </w:rPr>
        <w:t xml:space="preserve">року </w:t>
      </w:r>
      <w:r w:rsidR="00264378" w:rsidRPr="000A38E5">
        <w:rPr>
          <w:lang w:val="uk-UA"/>
        </w:rPr>
        <w:t>головний підряд</w:t>
      </w:r>
      <w:r w:rsidR="0085355E" w:rsidRPr="000A38E5">
        <w:rPr>
          <w:lang w:val="uk-UA"/>
        </w:rPr>
        <w:t>н</w:t>
      </w:r>
      <w:r w:rsidR="00264378" w:rsidRPr="000A38E5">
        <w:rPr>
          <w:lang w:val="uk-UA"/>
        </w:rPr>
        <w:t>ик підписав з приватною компанією угоду</w:t>
      </w:r>
      <w:r w:rsidR="00D83351" w:rsidRPr="00E93710">
        <w:rPr>
          <w:lang w:val="uk-UA"/>
        </w:rPr>
        <w:t xml:space="preserve"> </w:t>
      </w:r>
      <w:r w:rsidR="00264378" w:rsidRPr="000A38E5">
        <w:rPr>
          <w:lang w:val="uk-UA"/>
        </w:rPr>
        <w:t>щодо здійснення «підготовчих робіт»</w:t>
      </w:r>
      <w:r w:rsidR="00D83351" w:rsidRPr="00E93710">
        <w:rPr>
          <w:lang w:val="uk-UA"/>
        </w:rPr>
        <w:t xml:space="preserve"> </w:t>
      </w:r>
      <w:r w:rsidR="00264378" w:rsidRPr="000A38E5">
        <w:rPr>
          <w:lang w:val="uk-UA"/>
        </w:rPr>
        <w:t>для будівництва дороги</w:t>
      </w:r>
      <w:r w:rsidR="00D83351" w:rsidRPr="00E93710">
        <w:rPr>
          <w:lang w:val="uk-UA"/>
        </w:rPr>
        <w:t xml:space="preserve">. </w:t>
      </w:r>
      <w:r w:rsidR="0085355E" w:rsidRPr="000A38E5">
        <w:rPr>
          <w:lang w:val="uk-UA"/>
        </w:rPr>
        <w:t>Того ж дня головний підрядник також домовився з комунальною компанією</w:t>
      </w:r>
      <w:r w:rsidR="00D83351" w:rsidRPr="00E93710">
        <w:rPr>
          <w:lang w:val="uk-UA"/>
        </w:rPr>
        <w:t xml:space="preserve"> K. </w:t>
      </w:r>
      <w:r w:rsidR="0085355E" w:rsidRPr="000A38E5">
        <w:rPr>
          <w:lang w:val="uk-UA"/>
        </w:rPr>
        <w:t>щодо повалення дерев на місці будівництва</w:t>
      </w:r>
      <w:r w:rsidR="00D83351" w:rsidRPr="00E93710">
        <w:rPr>
          <w:lang w:val="uk-UA"/>
        </w:rPr>
        <w:t xml:space="preserve">. </w:t>
      </w:r>
      <w:r w:rsidR="0085355E" w:rsidRPr="000A38E5">
        <w:rPr>
          <w:lang w:val="uk-UA"/>
        </w:rPr>
        <w:t>Компанія К. у свою чергу залучила іншу комунальну компанію</w:t>
      </w:r>
      <w:r w:rsidR="00D83351" w:rsidRPr="00E93710">
        <w:rPr>
          <w:lang w:val="uk-UA"/>
        </w:rPr>
        <w:t xml:space="preserve"> </w:t>
      </w:r>
      <w:r w:rsidR="0085355E" w:rsidRPr="000A38E5">
        <w:rPr>
          <w:lang w:val="uk-UA"/>
        </w:rPr>
        <w:t>в якості власного субпідрядника</w:t>
      </w:r>
      <w:r w:rsidR="00D83351" w:rsidRPr="00E93710">
        <w:rPr>
          <w:lang w:val="uk-UA"/>
        </w:rPr>
        <w:t xml:space="preserve"> (</w:t>
      </w:r>
      <w:r w:rsidR="0085355E" w:rsidRPr="000A38E5">
        <w:rPr>
          <w:lang w:val="uk-UA"/>
        </w:rPr>
        <w:t>надалі – «субпідрядники»</w:t>
      </w:r>
      <w:r w:rsidR="00D83351" w:rsidRPr="00E93710">
        <w:rPr>
          <w:lang w:val="uk-UA"/>
        </w:rPr>
        <w:t>).</w:t>
      </w:r>
    </w:p>
    <w:bookmarkStart w:id="9" w:name="preparatory_works_permit_26_May"/>
    <w:p w:rsidR="00D83351" w:rsidRPr="00E93710" w:rsidRDefault="004E7608" w:rsidP="00852217">
      <w:pPr>
        <w:pStyle w:val="ECHRPara"/>
        <w:tabs>
          <w:tab w:val="left" w:pos="426"/>
        </w:tabs>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21</w:t>
      </w:r>
      <w:r w:rsidRPr="00E93710">
        <w:rPr>
          <w:lang w:val="uk-UA"/>
        </w:rPr>
        <w:fldChar w:fldCharType="end"/>
      </w:r>
      <w:bookmarkEnd w:id="9"/>
      <w:r w:rsidR="00D83351" w:rsidRPr="00E93710">
        <w:rPr>
          <w:lang w:val="uk-UA"/>
        </w:rPr>
        <w:t>.</w:t>
      </w:r>
      <w:r w:rsidR="00334477" w:rsidRPr="000A38E5">
        <w:rPr>
          <w:lang w:val="uk-UA"/>
        </w:rPr>
        <w:t xml:space="preserve"> </w:t>
      </w:r>
      <w:r w:rsidR="0085355E" w:rsidRPr="000A38E5">
        <w:rPr>
          <w:lang w:val="uk-UA"/>
        </w:rPr>
        <w:t>26 травня</w:t>
      </w:r>
      <w:r w:rsidR="00D83351" w:rsidRPr="00E93710">
        <w:rPr>
          <w:lang w:val="uk-UA"/>
        </w:rPr>
        <w:t xml:space="preserve"> 2010 </w:t>
      </w:r>
      <w:r w:rsidR="00E4255C" w:rsidRPr="000A38E5">
        <w:rPr>
          <w:lang w:val="uk-UA"/>
        </w:rPr>
        <w:t>року</w:t>
      </w:r>
      <w:r w:rsidR="0085355E" w:rsidRPr="000A38E5">
        <w:rPr>
          <w:lang w:val="uk-UA"/>
        </w:rPr>
        <w:t xml:space="preserve"> </w:t>
      </w:r>
      <w:r w:rsidR="00D83351" w:rsidRPr="000A38E5">
        <w:rPr>
          <w:lang w:val="uk-UA"/>
        </w:rPr>
        <w:t>Інспекція державного архітектурно-будівельного контролю у Харківській області</w:t>
      </w:r>
      <w:r w:rsidR="00D83351" w:rsidRPr="00E93710">
        <w:rPr>
          <w:lang w:val="uk-UA"/>
        </w:rPr>
        <w:t xml:space="preserve"> </w:t>
      </w:r>
      <w:r w:rsidR="0085355E" w:rsidRPr="000A38E5">
        <w:rPr>
          <w:lang w:val="uk-UA"/>
        </w:rPr>
        <w:t>видала Департаменту муніципального будівництва</w:t>
      </w:r>
      <w:r w:rsidR="00D83351" w:rsidRPr="00E93710">
        <w:rPr>
          <w:lang w:val="uk-UA"/>
        </w:rPr>
        <w:t xml:space="preserve"> </w:t>
      </w:r>
      <w:r w:rsidR="0085355E" w:rsidRPr="000A38E5">
        <w:rPr>
          <w:lang w:val="uk-UA"/>
        </w:rPr>
        <w:t>дозвіл проводити підготовчу роботу для будівництва дороги</w:t>
      </w:r>
      <w:r w:rsidR="00D83351" w:rsidRPr="00E93710">
        <w:rPr>
          <w:lang w:val="uk-UA"/>
        </w:rPr>
        <w:t>.</w:t>
      </w:r>
    </w:p>
    <w:p w:rsidR="00D83351" w:rsidRPr="000A38E5" w:rsidRDefault="00D83351" w:rsidP="00852217">
      <w:pPr>
        <w:pStyle w:val="ECHRHeading2"/>
        <w:rPr>
          <w:lang w:val="uk-UA"/>
        </w:rPr>
      </w:pPr>
      <w:r w:rsidRPr="00E93710">
        <w:rPr>
          <w:lang w:val="uk-UA"/>
        </w:rPr>
        <w:t>B.</w:t>
      </w:r>
      <w:r w:rsidR="00334477" w:rsidRPr="000A38E5">
        <w:rPr>
          <w:lang w:val="uk-UA"/>
        </w:rPr>
        <w:t xml:space="preserve"> </w:t>
      </w:r>
      <w:r w:rsidR="0002235F" w:rsidRPr="000A38E5">
        <w:rPr>
          <w:lang w:val="uk-UA"/>
        </w:rPr>
        <w:t>Заходи приватного забезпечення безпеки та правоохоронного планування</w:t>
      </w:r>
    </w:p>
    <w:bookmarkStart w:id="10" w:name="MG_background"/>
    <w:p w:rsidR="00D83351" w:rsidRPr="00E93710" w:rsidRDefault="004E7608" w:rsidP="00852217">
      <w:pPr>
        <w:pStyle w:val="ECHRPara"/>
        <w:tabs>
          <w:tab w:val="left" w:pos="426"/>
        </w:tabs>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22</w:t>
      </w:r>
      <w:r w:rsidRPr="00E93710">
        <w:rPr>
          <w:lang w:val="uk-UA"/>
        </w:rPr>
        <w:fldChar w:fldCharType="end"/>
      </w:r>
      <w:bookmarkEnd w:id="10"/>
      <w:r w:rsidR="00D83351" w:rsidRPr="00E93710">
        <w:rPr>
          <w:lang w:val="uk-UA"/>
        </w:rPr>
        <w:t>.</w:t>
      </w:r>
      <w:r w:rsidR="00334477" w:rsidRPr="000A38E5">
        <w:rPr>
          <w:lang w:val="uk-UA"/>
        </w:rPr>
        <w:t xml:space="preserve"> </w:t>
      </w:r>
      <w:r w:rsidR="0002235F" w:rsidRPr="000A38E5">
        <w:rPr>
          <w:lang w:val="uk-UA"/>
        </w:rPr>
        <w:t>13 або 19 травня</w:t>
      </w:r>
      <w:r w:rsidR="00D83351" w:rsidRPr="00E93710">
        <w:rPr>
          <w:lang w:val="uk-UA"/>
        </w:rPr>
        <w:t xml:space="preserve"> 2010 </w:t>
      </w:r>
      <w:r w:rsidR="0002235F" w:rsidRPr="000A38E5">
        <w:rPr>
          <w:lang w:val="uk-UA"/>
        </w:rPr>
        <w:t>р</w:t>
      </w:r>
      <w:r w:rsidR="00E4255C" w:rsidRPr="000A38E5">
        <w:rPr>
          <w:lang w:val="uk-UA"/>
        </w:rPr>
        <w:t>оку</w:t>
      </w:r>
      <w:r w:rsidR="0002235F" w:rsidRPr="000A38E5">
        <w:rPr>
          <w:lang w:val="uk-UA"/>
        </w:rPr>
        <w:t xml:space="preserve"> головний підрядник підписав угоду</w:t>
      </w:r>
      <w:r w:rsidR="00D83351" w:rsidRPr="00E93710">
        <w:rPr>
          <w:lang w:val="uk-UA"/>
        </w:rPr>
        <w:t xml:space="preserve"> </w:t>
      </w:r>
      <w:r w:rsidR="0002235F" w:rsidRPr="000A38E5">
        <w:rPr>
          <w:lang w:val="uk-UA"/>
        </w:rPr>
        <w:t>про надання послуг охорони</w:t>
      </w:r>
      <w:r w:rsidR="00D83351" w:rsidRPr="00E93710">
        <w:rPr>
          <w:lang w:val="uk-UA"/>
        </w:rPr>
        <w:t xml:space="preserve"> </w:t>
      </w:r>
      <w:r w:rsidR="0002235F" w:rsidRPr="000A38E5">
        <w:rPr>
          <w:lang w:val="uk-UA"/>
        </w:rPr>
        <w:t>з комунальним підприємством «Муніципальна охорона» (надалі –</w:t>
      </w:r>
      <w:r w:rsidR="00D83351" w:rsidRPr="00E93710">
        <w:rPr>
          <w:lang w:val="uk-UA"/>
        </w:rPr>
        <w:t xml:space="preserve"> </w:t>
      </w:r>
      <w:r w:rsidR="0002235F" w:rsidRPr="00E93710">
        <w:rPr>
          <w:lang w:val="uk-UA"/>
        </w:rPr>
        <w:t>«</w:t>
      </w:r>
      <w:proofErr w:type="spellStart"/>
      <w:r w:rsidR="0002235F" w:rsidRPr="00E93710">
        <w:rPr>
          <w:lang w:val="uk-UA"/>
        </w:rPr>
        <w:t>МО</w:t>
      </w:r>
      <w:proofErr w:type="spellEnd"/>
      <w:r w:rsidR="0002235F" w:rsidRPr="00E93710">
        <w:rPr>
          <w:lang w:val="uk-UA"/>
        </w:rPr>
        <w:t>»</w:t>
      </w:r>
      <w:r w:rsidR="00D83351" w:rsidRPr="00E93710">
        <w:rPr>
          <w:lang w:val="uk-UA"/>
        </w:rPr>
        <w:t xml:space="preserve">). </w:t>
      </w:r>
      <w:r w:rsidR="0002235F" w:rsidRPr="000A38E5">
        <w:rPr>
          <w:lang w:val="uk-UA"/>
        </w:rPr>
        <w:t xml:space="preserve">Відповідно до угоди, </w:t>
      </w:r>
      <w:proofErr w:type="spellStart"/>
      <w:r w:rsidR="0002235F" w:rsidRPr="000A38E5">
        <w:rPr>
          <w:lang w:val="uk-UA"/>
        </w:rPr>
        <w:t>МО</w:t>
      </w:r>
      <w:proofErr w:type="spellEnd"/>
      <w:r w:rsidR="0002235F" w:rsidRPr="000A38E5">
        <w:rPr>
          <w:lang w:val="uk-UA"/>
        </w:rPr>
        <w:t xml:space="preserve"> зобов’язувалася</w:t>
      </w:r>
      <w:r w:rsidR="00D83351" w:rsidRPr="00E93710">
        <w:rPr>
          <w:lang w:val="uk-UA"/>
        </w:rPr>
        <w:t xml:space="preserve"> </w:t>
      </w:r>
      <w:r w:rsidR="00512248" w:rsidRPr="000A38E5">
        <w:rPr>
          <w:lang w:val="uk-UA"/>
        </w:rPr>
        <w:t>надавати послуги, які полягали в охороні вищезгаданого місця будівництва</w:t>
      </w:r>
      <w:r w:rsidR="00D83351" w:rsidRPr="00E93710">
        <w:rPr>
          <w:lang w:val="uk-UA"/>
        </w:rPr>
        <w:t xml:space="preserve">. </w:t>
      </w:r>
      <w:proofErr w:type="spellStart"/>
      <w:r w:rsidR="00512248" w:rsidRPr="000A38E5">
        <w:rPr>
          <w:lang w:val="uk-UA"/>
        </w:rPr>
        <w:t>МО</w:t>
      </w:r>
      <w:proofErr w:type="spellEnd"/>
      <w:r w:rsidR="00512248" w:rsidRPr="000A38E5">
        <w:rPr>
          <w:lang w:val="uk-UA"/>
        </w:rPr>
        <w:t xml:space="preserve"> мала ліцензію, яка дозволяла їй</w:t>
      </w:r>
      <w:r w:rsidR="00D83351" w:rsidRPr="00E93710">
        <w:rPr>
          <w:lang w:val="uk-UA"/>
        </w:rPr>
        <w:t xml:space="preserve"> </w:t>
      </w:r>
      <w:r w:rsidR="00512248" w:rsidRPr="000A38E5">
        <w:rPr>
          <w:lang w:val="uk-UA"/>
        </w:rPr>
        <w:t>надавати комерційні послуги охорони</w:t>
      </w:r>
      <w:r w:rsidR="00D83351" w:rsidRPr="00E93710">
        <w:rPr>
          <w:lang w:val="uk-UA"/>
        </w:rPr>
        <w:t xml:space="preserve"> </w:t>
      </w:r>
      <w:r w:rsidR="00512248" w:rsidRPr="000A38E5">
        <w:rPr>
          <w:lang w:val="uk-UA"/>
        </w:rPr>
        <w:t>та була видана 2 лютого</w:t>
      </w:r>
      <w:r w:rsidR="00D83351" w:rsidRPr="00E93710">
        <w:rPr>
          <w:lang w:val="uk-UA"/>
        </w:rPr>
        <w:t xml:space="preserve"> 2010 </w:t>
      </w:r>
      <w:r w:rsidR="00512248" w:rsidRPr="000A38E5">
        <w:rPr>
          <w:lang w:val="uk-UA"/>
        </w:rPr>
        <w:t>р</w:t>
      </w:r>
      <w:r w:rsidR="00E4255C" w:rsidRPr="000A38E5">
        <w:rPr>
          <w:lang w:val="uk-UA"/>
        </w:rPr>
        <w:t>оку</w:t>
      </w:r>
      <w:r w:rsidR="00512248" w:rsidRPr="000A38E5">
        <w:rPr>
          <w:lang w:val="uk-UA"/>
        </w:rPr>
        <w:t xml:space="preserve"> Міністерством внутрішніх справ</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23</w:t>
      </w:r>
      <w:r w:rsidRPr="00E93710">
        <w:rPr>
          <w:noProof/>
          <w:lang w:val="uk-UA"/>
        </w:rPr>
        <w:fldChar w:fldCharType="end"/>
      </w:r>
      <w:r w:rsidR="00D83351" w:rsidRPr="00E93710">
        <w:rPr>
          <w:lang w:val="uk-UA"/>
        </w:rPr>
        <w:t>.</w:t>
      </w:r>
      <w:r w:rsidR="00334477" w:rsidRPr="000A38E5">
        <w:rPr>
          <w:lang w:val="uk-UA"/>
        </w:rPr>
        <w:t xml:space="preserve"> </w:t>
      </w:r>
      <w:r w:rsidR="00512248" w:rsidRPr="000A38E5">
        <w:rPr>
          <w:lang w:val="uk-UA"/>
        </w:rPr>
        <w:t>19 травня</w:t>
      </w:r>
      <w:r w:rsidR="00D83351" w:rsidRPr="00E93710">
        <w:rPr>
          <w:lang w:val="uk-UA"/>
        </w:rPr>
        <w:t xml:space="preserve"> 2010 </w:t>
      </w:r>
      <w:r w:rsidR="00512248" w:rsidRPr="000A38E5">
        <w:rPr>
          <w:lang w:val="uk-UA"/>
        </w:rPr>
        <w:t>р</w:t>
      </w:r>
      <w:r w:rsidR="00E4255C" w:rsidRPr="000A38E5">
        <w:rPr>
          <w:lang w:val="uk-UA"/>
        </w:rPr>
        <w:t>оку</w:t>
      </w:r>
      <w:r w:rsidR="00512248" w:rsidRPr="000A38E5">
        <w:rPr>
          <w:lang w:val="uk-UA"/>
        </w:rPr>
        <w:t xml:space="preserve"> </w:t>
      </w:r>
      <w:r w:rsidR="005C1686" w:rsidRPr="000A38E5">
        <w:rPr>
          <w:lang w:val="uk-UA"/>
        </w:rPr>
        <w:t xml:space="preserve">Виконавчий комітет надіслав лист </w:t>
      </w:r>
      <w:r w:rsidR="00E4255C" w:rsidRPr="000A38E5">
        <w:rPr>
          <w:lang w:val="uk-UA"/>
        </w:rPr>
        <w:t xml:space="preserve">керівнику </w:t>
      </w:r>
      <w:r w:rsidR="005C1686" w:rsidRPr="000A38E5">
        <w:rPr>
          <w:lang w:val="uk-UA"/>
        </w:rPr>
        <w:t>Харківської міської міліції</w:t>
      </w:r>
      <w:r w:rsidR="00D83351" w:rsidRPr="00E93710">
        <w:rPr>
          <w:lang w:val="uk-UA"/>
        </w:rPr>
        <w:t xml:space="preserve">. </w:t>
      </w:r>
      <w:r w:rsidR="005C1686" w:rsidRPr="000A38E5">
        <w:rPr>
          <w:lang w:val="uk-UA"/>
        </w:rPr>
        <w:t>Посилаючись на своє рішення від того ж дня,</w:t>
      </w:r>
      <w:r w:rsidR="00D83351" w:rsidRPr="00E93710">
        <w:rPr>
          <w:lang w:val="uk-UA"/>
        </w:rPr>
        <w:t xml:space="preserve"> </w:t>
      </w:r>
      <w:r w:rsidR="005C1686" w:rsidRPr="000A38E5">
        <w:rPr>
          <w:lang w:val="uk-UA"/>
        </w:rPr>
        <w:t>яке дозволяло повалення дерев</w:t>
      </w:r>
      <w:r w:rsidR="00D83351" w:rsidRPr="00E93710">
        <w:rPr>
          <w:lang w:val="uk-UA"/>
        </w:rPr>
        <w:t xml:space="preserve"> (</w:t>
      </w:r>
      <w:r w:rsidR="005C1686" w:rsidRPr="000A38E5">
        <w:rPr>
          <w:lang w:val="uk-UA"/>
        </w:rPr>
        <w:t>див. пункт</w:t>
      </w:r>
      <w:r w:rsidR="00D83351" w:rsidRPr="00E93710">
        <w:rPr>
          <w:lang w:val="uk-UA"/>
        </w:rPr>
        <w:t xml:space="preserve"> </w:t>
      </w:r>
      <w:fldSimple w:instr=" REF decision_19_May \h  \* MERGEFORMAT ">
        <w:r w:rsidR="0075299E" w:rsidRPr="00E93710">
          <w:rPr>
            <w:noProof/>
            <w:lang w:val="uk-UA"/>
          </w:rPr>
          <w:t>18</w:t>
        </w:r>
      </w:fldSimple>
      <w:r w:rsidR="00D83351" w:rsidRPr="00E93710">
        <w:rPr>
          <w:lang w:val="uk-UA"/>
        </w:rPr>
        <w:t xml:space="preserve"> </w:t>
      </w:r>
      <w:r w:rsidR="005C1686" w:rsidRPr="000A38E5">
        <w:rPr>
          <w:lang w:val="uk-UA"/>
        </w:rPr>
        <w:t>вище</w:t>
      </w:r>
      <w:r w:rsidR="00D83351" w:rsidRPr="00E93710">
        <w:rPr>
          <w:lang w:val="uk-UA"/>
        </w:rPr>
        <w:t xml:space="preserve">), </w:t>
      </w:r>
      <w:r w:rsidR="00DB2C7E" w:rsidRPr="000A38E5">
        <w:rPr>
          <w:lang w:val="uk-UA"/>
        </w:rPr>
        <w:t xml:space="preserve">він просив </w:t>
      </w:r>
      <w:r w:rsidR="00E4255C" w:rsidRPr="000A38E5">
        <w:rPr>
          <w:lang w:val="uk-UA"/>
        </w:rPr>
        <w:t>керівника</w:t>
      </w:r>
      <w:r w:rsidR="00E4255C" w:rsidRPr="000A38E5" w:rsidDel="00E4255C">
        <w:rPr>
          <w:lang w:val="uk-UA"/>
        </w:rPr>
        <w:t xml:space="preserve"> </w:t>
      </w:r>
      <w:r w:rsidR="00DB2C7E" w:rsidRPr="000A38E5">
        <w:rPr>
          <w:lang w:val="uk-UA"/>
        </w:rPr>
        <w:t>міліції відправити міліціонерів</w:t>
      </w:r>
      <w:r w:rsidR="00D83351" w:rsidRPr="00E93710">
        <w:rPr>
          <w:lang w:val="uk-UA"/>
        </w:rPr>
        <w:t xml:space="preserve"> </w:t>
      </w:r>
      <w:r w:rsidR="00DB2C7E" w:rsidRPr="000A38E5">
        <w:rPr>
          <w:lang w:val="uk-UA"/>
        </w:rPr>
        <w:t>на місце будівництва з</w:t>
      </w:r>
      <w:r w:rsidR="00D83351" w:rsidRPr="00E93710">
        <w:rPr>
          <w:lang w:val="uk-UA"/>
        </w:rPr>
        <w:t xml:space="preserve"> 20 </w:t>
      </w:r>
      <w:r w:rsidR="00DB2C7E" w:rsidRPr="000A38E5">
        <w:rPr>
          <w:lang w:val="uk-UA"/>
        </w:rPr>
        <w:t>травня</w:t>
      </w:r>
      <w:r w:rsidR="00D83351" w:rsidRPr="00E93710">
        <w:rPr>
          <w:lang w:val="uk-UA"/>
        </w:rPr>
        <w:t xml:space="preserve"> 2010 </w:t>
      </w:r>
      <w:r w:rsidR="00DB2C7E" w:rsidRPr="000A38E5">
        <w:rPr>
          <w:lang w:val="uk-UA"/>
        </w:rPr>
        <w:t>р</w:t>
      </w:r>
      <w:r w:rsidR="00E4255C" w:rsidRPr="000A38E5">
        <w:rPr>
          <w:lang w:val="uk-UA"/>
        </w:rPr>
        <w:t>оку</w:t>
      </w:r>
      <w:r w:rsidR="00DB2C7E" w:rsidRPr="000A38E5">
        <w:rPr>
          <w:lang w:val="uk-UA"/>
        </w:rPr>
        <w:t xml:space="preserve"> для забезпечення громадського порядку</w:t>
      </w:r>
      <w:r w:rsidR="00D83351" w:rsidRPr="00E93710">
        <w:rPr>
          <w:lang w:val="uk-UA"/>
        </w:rPr>
        <w:t>.</w:t>
      </w:r>
    </w:p>
    <w:bookmarkStart w:id="11" w:name="Law_Enforcement_Plan"/>
    <w:p w:rsidR="00D83351" w:rsidRPr="00E93710" w:rsidRDefault="004E7608" w:rsidP="00852217">
      <w:pPr>
        <w:pStyle w:val="ECHRPara"/>
        <w:tabs>
          <w:tab w:val="left" w:pos="426"/>
        </w:tabs>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24</w:t>
      </w:r>
      <w:r w:rsidRPr="00E93710">
        <w:rPr>
          <w:lang w:val="uk-UA"/>
        </w:rPr>
        <w:fldChar w:fldCharType="end"/>
      </w:r>
      <w:bookmarkEnd w:id="11"/>
      <w:r w:rsidR="00D83351" w:rsidRPr="00E93710">
        <w:rPr>
          <w:lang w:val="uk-UA"/>
        </w:rPr>
        <w:t>.</w:t>
      </w:r>
      <w:r w:rsidR="00334477" w:rsidRPr="000A38E5">
        <w:rPr>
          <w:lang w:val="uk-UA"/>
        </w:rPr>
        <w:t xml:space="preserve"> </w:t>
      </w:r>
      <w:r w:rsidR="005F6B3F" w:rsidRPr="000A38E5">
        <w:rPr>
          <w:lang w:val="uk-UA"/>
        </w:rPr>
        <w:t>19 травня</w:t>
      </w:r>
      <w:r w:rsidR="00D83351" w:rsidRPr="00E93710">
        <w:rPr>
          <w:lang w:val="uk-UA"/>
        </w:rPr>
        <w:t xml:space="preserve"> 2010</w:t>
      </w:r>
      <w:r w:rsidR="005F6B3F" w:rsidRPr="000A38E5">
        <w:rPr>
          <w:lang w:val="uk-UA"/>
        </w:rPr>
        <w:t xml:space="preserve"> р</w:t>
      </w:r>
      <w:r w:rsidR="00E4255C" w:rsidRPr="000A38E5">
        <w:rPr>
          <w:lang w:val="uk-UA"/>
        </w:rPr>
        <w:t>оку</w:t>
      </w:r>
      <w:r w:rsidR="00D83351" w:rsidRPr="00E93710">
        <w:rPr>
          <w:lang w:val="uk-UA"/>
        </w:rPr>
        <w:t xml:space="preserve"> </w:t>
      </w:r>
      <w:r w:rsidR="005F6B3F" w:rsidRPr="000A38E5">
        <w:rPr>
          <w:lang w:val="uk-UA"/>
        </w:rPr>
        <w:t>Харківська міліція ухвалила план дій</w:t>
      </w:r>
      <w:r w:rsidR="00D83351" w:rsidRPr="00E93710">
        <w:rPr>
          <w:lang w:val="uk-UA"/>
        </w:rPr>
        <w:t xml:space="preserve"> </w:t>
      </w:r>
      <w:r w:rsidR="005F6B3F" w:rsidRPr="000A38E5">
        <w:rPr>
          <w:lang w:val="uk-UA"/>
        </w:rPr>
        <w:t>для забезпечення громадської безпеки</w:t>
      </w:r>
      <w:r w:rsidR="00D83351" w:rsidRPr="00E93710">
        <w:rPr>
          <w:lang w:val="uk-UA"/>
        </w:rPr>
        <w:t xml:space="preserve"> </w:t>
      </w:r>
      <w:r w:rsidR="005F6B3F" w:rsidRPr="000A38E5">
        <w:rPr>
          <w:lang w:val="uk-UA"/>
        </w:rPr>
        <w:t>протягом робіт з повалення дерев</w:t>
      </w:r>
      <w:r w:rsidR="00D83351" w:rsidRPr="00E93710">
        <w:rPr>
          <w:lang w:val="uk-UA"/>
        </w:rPr>
        <w:t xml:space="preserve">. </w:t>
      </w:r>
      <w:r w:rsidR="005F6B3F" w:rsidRPr="000A38E5">
        <w:rPr>
          <w:lang w:val="uk-UA"/>
        </w:rPr>
        <w:t xml:space="preserve">Згідно </w:t>
      </w:r>
      <w:r w:rsidR="000764D1" w:rsidRPr="000A38E5">
        <w:rPr>
          <w:lang w:val="uk-UA"/>
        </w:rPr>
        <w:t xml:space="preserve">з </w:t>
      </w:r>
      <w:r w:rsidR="005F6B3F" w:rsidRPr="000A38E5">
        <w:rPr>
          <w:lang w:val="uk-UA"/>
        </w:rPr>
        <w:t>план</w:t>
      </w:r>
      <w:r w:rsidR="000764D1" w:rsidRPr="000A38E5">
        <w:rPr>
          <w:lang w:val="uk-UA"/>
        </w:rPr>
        <w:t>ом</w:t>
      </w:r>
      <w:r w:rsidR="005F6B3F" w:rsidRPr="000A38E5">
        <w:rPr>
          <w:lang w:val="uk-UA"/>
        </w:rPr>
        <w:t xml:space="preserve">, двадцять сім </w:t>
      </w:r>
      <w:r w:rsidR="00E4255C" w:rsidRPr="000A38E5">
        <w:rPr>
          <w:lang w:val="uk-UA"/>
        </w:rPr>
        <w:t xml:space="preserve">діючих </w:t>
      </w:r>
      <w:r w:rsidR="005F6B3F" w:rsidRPr="000A38E5">
        <w:rPr>
          <w:lang w:val="uk-UA"/>
        </w:rPr>
        <w:t>міліціонерів</w:t>
      </w:r>
      <w:r w:rsidR="00D83351" w:rsidRPr="00E93710">
        <w:rPr>
          <w:lang w:val="uk-UA"/>
        </w:rPr>
        <w:t xml:space="preserve"> </w:t>
      </w:r>
      <w:r w:rsidR="00E4255C" w:rsidRPr="000A38E5">
        <w:rPr>
          <w:lang w:val="uk-UA"/>
        </w:rPr>
        <w:t xml:space="preserve">були </w:t>
      </w:r>
      <w:r w:rsidR="005F6B3F" w:rsidRPr="000A38E5">
        <w:rPr>
          <w:lang w:val="uk-UA"/>
        </w:rPr>
        <w:t>призначені для забезпечення громадського порядку</w:t>
      </w:r>
      <w:r w:rsidR="00D83351" w:rsidRPr="00E93710">
        <w:rPr>
          <w:lang w:val="uk-UA"/>
        </w:rPr>
        <w:t xml:space="preserve"> </w:t>
      </w:r>
      <w:r w:rsidR="005F6B3F" w:rsidRPr="000A38E5">
        <w:rPr>
          <w:lang w:val="uk-UA"/>
        </w:rPr>
        <w:t>та безпеки на місці подій щоденно</w:t>
      </w:r>
      <w:r w:rsidR="00D83351" w:rsidRPr="00E93710">
        <w:rPr>
          <w:lang w:val="uk-UA"/>
        </w:rPr>
        <w:t xml:space="preserve"> </w:t>
      </w:r>
      <w:r w:rsidR="005F6B3F" w:rsidRPr="000A38E5">
        <w:rPr>
          <w:lang w:val="uk-UA"/>
        </w:rPr>
        <w:t>з 20 травня,</w:t>
      </w:r>
      <w:r w:rsidR="00D83351" w:rsidRPr="00E93710">
        <w:rPr>
          <w:lang w:val="uk-UA"/>
        </w:rPr>
        <w:t xml:space="preserve"> </w:t>
      </w:r>
      <w:r w:rsidR="005F6B3F" w:rsidRPr="000A38E5">
        <w:rPr>
          <w:lang w:val="uk-UA"/>
        </w:rPr>
        <w:t xml:space="preserve">і декілька офіцерів </w:t>
      </w:r>
      <w:r w:rsidR="00E4255C" w:rsidRPr="000A38E5">
        <w:rPr>
          <w:lang w:val="uk-UA"/>
        </w:rPr>
        <w:t xml:space="preserve">мали </w:t>
      </w:r>
      <w:r w:rsidR="005F6B3F" w:rsidRPr="000A38E5">
        <w:rPr>
          <w:lang w:val="uk-UA"/>
        </w:rPr>
        <w:t>знаходитися у резерві</w:t>
      </w:r>
      <w:r w:rsidR="00D83351" w:rsidRPr="00E93710">
        <w:rPr>
          <w:lang w:val="uk-UA"/>
        </w:rPr>
        <w:t xml:space="preserve"> </w:t>
      </w:r>
      <w:r w:rsidR="005F6B3F" w:rsidRPr="000A38E5">
        <w:rPr>
          <w:lang w:val="uk-UA"/>
        </w:rPr>
        <w:t>у місцевому відділенні міліції</w:t>
      </w:r>
      <w:r w:rsidR="00D83351" w:rsidRPr="00E93710">
        <w:rPr>
          <w:lang w:val="uk-UA"/>
        </w:rPr>
        <w:t xml:space="preserve"> </w:t>
      </w:r>
      <w:r w:rsidR="005F6B3F" w:rsidRPr="000A38E5">
        <w:rPr>
          <w:lang w:val="uk-UA"/>
        </w:rPr>
        <w:t>у випадку необхідності</w:t>
      </w:r>
      <w:r w:rsidR="00D83351" w:rsidRPr="00E93710">
        <w:rPr>
          <w:lang w:val="uk-UA"/>
        </w:rPr>
        <w:t xml:space="preserve">. </w:t>
      </w:r>
      <w:r w:rsidR="005F6B3F" w:rsidRPr="000A38E5">
        <w:rPr>
          <w:lang w:val="uk-UA"/>
        </w:rPr>
        <w:t>У плані було зазначено, що повалення дерев</w:t>
      </w:r>
      <w:r w:rsidR="00D83351" w:rsidRPr="00E93710">
        <w:rPr>
          <w:lang w:val="uk-UA"/>
        </w:rPr>
        <w:t xml:space="preserve"> </w:t>
      </w:r>
      <w:r w:rsidR="005F6B3F" w:rsidRPr="000A38E5">
        <w:rPr>
          <w:lang w:val="uk-UA"/>
        </w:rPr>
        <w:t>може привести до пікетування</w:t>
      </w:r>
      <w:r w:rsidR="00D83351" w:rsidRPr="00E93710">
        <w:rPr>
          <w:lang w:val="uk-UA"/>
        </w:rPr>
        <w:t xml:space="preserve">, </w:t>
      </w:r>
      <w:r w:rsidR="005F6B3F" w:rsidRPr="000A38E5">
        <w:rPr>
          <w:lang w:val="uk-UA"/>
        </w:rPr>
        <w:t>демонстрацій та інших неочікуваних дій</w:t>
      </w:r>
      <w:r w:rsidR="00D83351" w:rsidRPr="00E93710">
        <w:rPr>
          <w:lang w:val="uk-UA"/>
        </w:rPr>
        <w:t xml:space="preserve"> </w:t>
      </w:r>
      <w:r w:rsidR="005F6B3F" w:rsidRPr="000A38E5">
        <w:rPr>
          <w:lang w:val="uk-UA"/>
        </w:rPr>
        <w:t>з боку опонентів будівництва дороги</w:t>
      </w:r>
      <w:r w:rsidR="00D83351" w:rsidRPr="00E93710">
        <w:rPr>
          <w:lang w:val="uk-UA"/>
        </w:rPr>
        <w:t>.</w:t>
      </w:r>
    </w:p>
    <w:bookmarkStart w:id="12" w:name="private_security_company"/>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25</w:t>
      </w:r>
      <w:r w:rsidRPr="00E93710">
        <w:rPr>
          <w:lang w:val="uk-UA"/>
        </w:rPr>
        <w:fldChar w:fldCharType="end"/>
      </w:r>
      <w:bookmarkEnd w:id="12"/>
      <w:r w:rsidR="00D83351" w:rsidRPr="00E93710">
        <w:rPr>
          <w:lang w:val="uk-UA"/>
        </w:rPr>
        <w:t>.</w:t>
      </w:r>
      <w:r w:rsidR="00334477" w:rsidRPr="000A38E5">
        <w:rPr>
          <w:lang w:val="uk-UA"/>
        </w:rPr>
        <w:t xml:space="preserve"> </w:t>
      </w:r>
      <w:r w:rsidR="00F350F5" w:rsidRPr="000A38E5">
        <w:rPr>
          <w:lang w:val="uk-UA"/>
        </w:rPr>
        <w:t>21 травня</w:t>
      </w:r>
      <w:r w:rsidR="00D83351" w:rsidRPr="00E93710">
        <w:rPr>
          <w:lang w:val="uk-UA"/>
        </w:rPr>
        <w:t xml:space="preserve"> 2010 </w:t>
      </w:r>
      <w:r w:rsidR="00F350F5" w:rsidRPr="000A38E5">
        <w:rPr>
          <w:lang w:val="uk-UA"/>
        </w:rPr>
        <w:t>р</w:t>
      </w:r>
      <w:r w:rsidR="00E4255C" w:rsidRPr="000A38E5">
        <w:rPr>
          <w:lang w:val="uk-UA"/>
        </w:rPr>
        <w:t>оку</w:t>
      </w:r>
      <w:r w:rsidR="00F350F5" w:rsidRPr="000A38E5">
        <w:rPr>
          <w:lang w:val="uk-UA"/>
        </w:rPr>
        <w:t xml:space="preserve"> головний підрядник підписав угоду</w:t>
      </w:r>
      <w:r w:rsidR="00D83351" w:rsidRPr="00E93710">
        <w:rPr>
          <w:lang w:val="uk-UA"/>
        </w:rPr>
        <w:t xml:space="preserve"> </w:t>
      </w:r>
      <w:r w:rsidR="00F350F5" w:rsidRPr="000A38E5">
        <w:rPr>
          <w:lang w:val="uk-UA"/>
        </w:rPr>
        <w:t>про надання послуг охорони</w:t>
      </w:r>
      <w:r w:rsidR="00D83351" w:rsidRPr="00E93710">
        <w:rPr>
          <w:lang w:val="uk-UA"/>
        </w:rPr>
        <w:t xml:space="preserve"> </w:t>
      </w:r>
      <w:r w:rsidR="00F350F5" w:rsidRPr="000A38E5">
        <w:rPr>
          <w:lang w:val="uk-UA"/>
        </w:rPr>
        <w:t>з приватним підприємством</w:t>
      </w:r>
      <w:r w:rsidR="00D83351" w:rsidRPr="000A38E5">
        <w:rPr>
          <w:i/>
          <w:lang w:val="uk-UA"/>
        </w:rPr>
        <w:t xml:space="preserve"> </w:t>
      </w:r>
      <w:r w:rsidR="00D83351" w:rsidRPr="000A38E5">
        <w:rPr>
          <w:lang w:val="uk-UA"/>
        </w:rPr>
        <w:t>«Охоронне агентство «Р-4»</w:t>
      </w:r>
      <w:r w:rsidR="00D83351" w:rsidRPr="00E93710">
        <w:rPr>
          <w:lang w:val="uk-UA"/>
        </w:rPr>
        <w:t xml:space="preserve"> (</w:t>
      </w:r>
      <w:r w:rsidR="00F350F5" w:rsidRPr="000A38E5">
        <w:rPr>
          <w:lang w:val="uk-UA"/>
        </w:rPr>
        <w:t>надалі – «ПО»</w:t>
      </w:r>
      <w:r w:rsidR="00D83351" w:rsidRPr="00E93710">
        <w:rPr>
          <w:lang w:val="uk-UA"/>
        </w:rPr>
        <w:t xml:space="preserve">). </w:t>
      </w:r>
      <w:r w:rsidR="00E4255C" w:rsidRPr="000A38E5">
        <w:rPr>
          <w:lang w:val="uk-UA"/>
        </w:rPr>
        <w:t xml:space="preserve">Предметом </w:t>
      </w:r>
      <w:r w:rsidR="00F350F5" w:rsidRPr="000A38E5">
        <w:rPr>
          <w:lang w:val="uk-UA"/>
        </w:rPr>
        <w:t xml:space="preserve">угоди було </w:t>
      </w:r>
      <w:r w:rsidR="00F350F5" w:rsidRPr="000A38E5">
        <w:rPr>
          <w:lang w:val="uk-UA"/>
        </w:rPr>
        <w:lastRenderedPageBreak/>
        <w:t>надання охоронних послуг</w:t>
      </w:r>
      <w:r w:rsidR="00D83351" w:rsidRPr="00E93710">
        <w:rPr>
          <w:lang w:val="uk-UA"/>
        </w:rPr>
        <w:t xml:space="preserve"> </w:t>
      </w:r>
      <w:r w:rsidR="00F350F5" w:rsidRPr="000A38E5">
        <w:rPr>
          <w:lang w:val="uk-UA"/>
        </w:rPr>
        <w:t xml:space="preserve">для запобігання потраплянню </w:t>
      </w:r>
      <w:r w:rsidR="00E4255C" w:rsidRPr="000A38E5">
        <w:rPr>
          <w:lang w:val="uk-UA"/>
        </w:rPr>
        <w:t xml:space="preserve">сторонніх осіб </w:t>
      </w:r>
      <w:r w:rsidR="00F350F5" w:rsidRPr="000A38E5">
        <w:rPr>
          <w:lang w:val="uk-UA"/>
        </w:rPr>
        <w:t>на місце будівництва дороги</w:t>
      </w:r>
      <w:r w:rsidR="00D83351" w:rsidRPr="00E93710">
        <w:rPr>
          <w:lang w:val="uk-UA"/>
        </w:rPr>
        <w:t xml:space="preserve">, </w:t>
      </w:r>
      <w:r w:rsidR="00F350F5" w:rsidRPr="000A38E5">
        <w:rPr>
          <w:lang w:val="uk-UA"/>
        </w:rPr>
        <w:t>і послуги повинні були надаватися з 28 травня</w:t>
      </w:r>
      <w:r w:rsidR="00D83351" w:rsidRPr="00E93710">
        <w:rPr>
          <w:lang w:val="uk-UA"/>
        </w:rPr>
        <w:t xml:space="preserve"> 2010</w:t>
      </w:r>
      <w:r w:rsidR="00EB2F21" w:rsidRPr="00E93710">
        <w:rPr>
          <w:lang w:val="uk-UA"/>
        </w:rPr>
        <w:t xml:space="preserve"> р</w:t>
      </w:r>
      <w:r w:rsidR="00E4255C" w:rsidRPr="00E93710">
        <w:rPr>
          <w:lang w:val="uk-UA"/>
        </w:rPr>
        <w:t>оку</w:t>
      </w:r>
      <w:r w:rsidR="00D83351" w:rsidRPr="00E93710">
        <w:rPr>
          <w:lang w:val="uk-UA"/>
        </w:rPr>
        <w:t xml:space="preserve">. </w:t>
      </w:r>
      <w:r w:rsidR="00EB2F21" w:rsidRPr="000A38E5">
        <w:rPr>
          <w:lang w:val="uk-UA"/>
        </w:rPr>
        <w:t>ПО мало ліцензію, яка дозволяла надавати</w:t>
      </w:r>
      <w:r w:rsidR="00D83351" w:rsidRPr="00E93710">
        <w:rPr>
          <w:lang w:val="uk-UA"/>
        </w:rPr>
        <w:t xml:space="preserve"> </w:t>
      </w:r>
      <w:r w:rsidR="00EB2F21" w:rsidRPr="000A38E5">
        <w:rPr>
          <w:lang w:val="uk-UA"/>
        </w:rPr>
        <w:t>комерційні охоронні послуги</w:t>
      </w:r>
      <w:r w:rsidR="00D83351" w:rsidRPr="00E93710">
        <w:rPr>
          <w:lang w:val="uk-UA"/>
        </w:rPr>
        <w:t xml:space="preserve">, </w:t>
      </w:r>
      <w:r w:rsidR="00EB2F21" w:rsidRPr="000A38E5">
        <w:rPr>
          <w:lang w:val="uk-UA"/>
        </w:rPr>
        <w:t>видану 11 квітня</w:t>
      </w:r>
      <w:r w:rsidR="00D83351" w:rsidRPr="00E93710">
        <w:rPr>
          <w:lang w:val="uk-UA"/>
        </w:rPr>
        <w:t xml:space="preserve"> 2007 </w:t>
      </w:r>
      <w:r w:rsidR="00EB2F21" w:rsidRPr="00E93710">
        <w:rPr>
          <w:lang w:val="uk-UA"/>
        </w:rPr>
        <w:t>р</w:t>
      </w:r>
      <w:r w:rsidR="00E4255C" w:rsidRPr="00E93710">
        <w:rPr>
          <w:lang w:val="uk-UA"/>
        </w:rPr>
        <w:t>оку</w:t>
      </w:r>
      <w:r w:rsidR="00EB2F21" w:rsidRPr="00E93710">
        <w:rPr>
          <w:lang w:val="uk-UA"/>
        </w:rPr>
        <w:t xml:space="preserve"> </w:t>
      </w:r>
      <w:r w:rsidR="00EB2F21" w:rsidRPr="000A38E5">
        <w:rPr>
          <w:lang w:val="uk-UA"/>
        </w:rPr>
        <w:t>Міністерством внутрішніх справ</w:t>
      </w:r>
      <w:r w:rsidR="00D83351" w:rsidRPr="00E93710">
        <w:rPr>
          <w:lang w:val="uk-UA"/>
        </w:rPr>
        <w:t>.</w:t>
      </w:r>
    </w:p>
    <w:bookmarkStart w:id="13" w:name="contractors_letters_to_police"/>
    <w:p w:rsidR="00D83351" w:rsidRPr="000A38E5" w:rsidRDefault="004E7608" w:rsidP="00852217">
      <w:pPr>
        <w:pStyle w:val="ECHRPara"/>
        <w:tabs>
          <w:tab w:val="left" w:pos="426"/>
        </w:tabs>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26</w:t>
      </w:r>
      <w:r w:rsidRPr="00E93710">
        <w:rPr>
          <w:lang w:val="uk-UA"/>
        </w:rPr>
        <w:fldChar w:fldCharType="end"/>
      </w:r>
      <w:bookmarkEnd w:id="13"/>
      <w:r w:rsidR="00D83351" w:rsidRPr="00E93710">
        <w:rPr>
          <w:lang w:val="uk-UA"/>
        </w:rPr>
        <w:t>.</w:t>
      </w:r>
      <w:r w:rsidR="00334477" w:rsidRPr="000A38E5">
        <w:rPr>
          <w:lang w:val="uk-UA"/>
        </w:rPr>
        <w:t xml:space="preserve"> </w:t>
      </w:r>
      <w:r w:rsidR="00C24F3F" w:rsidRPr="000A38E5">
        <w:rPr>
          <w:lang w:val="uk-UA"/>
        </w:rPr>
        <w:t>25 травня</w:t>
      </w:r>
      <w:r w:rsidR="00D83351" w:rsidRPr="00E93710">
        <w:rPr>
          <w:lang w:val="uk-UA"/>
        </w:rPr>
        <w:t xml:space="preserve"> 2010 </w:t>
      </w:r>
      <w:r w:rsidR="00C24F3F" w:rsidRPr="000A38E5">
        <w:rPr>
          <w:lang w:val="uk-UA"/>
        </w:rPr>
        <w:t>р</w:t>
      </w:r>
      <w:r w:rsidR="00E4255C" w:rsidRPr="000A38E5">
        <w:rPr>
          <w:lang w:val="uk-UA"/>
        </w:rPr>
        <w:t>оку</w:t>
      </w:r>
      <w:r w:rsidR="00C24F3F" w:rsidRPr="000A38E5">
        <w:rPr>
          <w:lang w:val="uk-UA"/>
        </w:rPr>
        <w:t xml:space="preserve"> головний підрядник попросив </w:t>
      </w:r>
      <w:r w:rsidR="00E4255C" w:rsidRPr="000A38E5">
        <w:rPr>
          <w:lang w:val="uk-UA"/>
        </w:rPr>
        <w:t xml:space="preserve">керівника </w:t>
      </w:r>
      <w:r w:rsidR="00C24F3F" w:rsidRPr="000A38E5">
        <w:rPr>
          <w:lang w:val="uk-UA"/>
        </w:rPr>
        <w:t>міської міліції</w:t>
      </w:r>
      <w:r w:rsidR="00D83351" w:rsidRPr="00E93710">
        <w:rPr>
          <w:lang w:val="uk-UA"/>
        </w:rPr>
        <w:t xml:space="preserve"> </w:t>
      </w:r>
      <w:r w:rsidR="00C24F3F" w:rsidRPr="000A38E5">
        <w:rPr>
          <w:lang w:val="uk-UA"/>
        </w:rPr>
        <w:t>відправити міліціонерів на місце будівництва</w:t>
      </w:r>
      <w:r w:rsidR="00D83351" w:rsidRPr="00E93710">
        <w:rPr>
          <w:lang w:val="uk-UA"/>
        </w:rPr>
        <w:t xml:space="preserve"> </w:t>
      </w:r>
      <w:r w:rsidR="00E4255C" w:rsidRPr="000A38E5">
        <w:rPr>
          <w:lang w:val="uk-UA"/>
        </w:rPr>
        <w:t xml:space="preserve">о </w:t>
      </w:r>
      <w:r w:rsidR="00C24F3F" w:rsidRPr="000A38E5">
        <w:rPr>
          <w:lang w:val="uk-UA"/>
        </w:rPr>
        <w:t>7 годині ранку 26 травня</w:t>
      </w:r>
      <w:r w:rsidR="00D83351" w:rsidRPr="00E93710">
        <w:rPr>
          <w:lang w:val="uk-UA"/>
        </w:rPr>
        <w:t xml:space="preserve"> 2010 </w:t>
      </w:r>
      <w:r w:rsidR="00C24F3F" w:rsidRPr="000A38E5">
        <w:rPr>
          <w:lang w:val="uk-UA"/>
        </w:rPr>
        <w:t>р</w:t>
      </w:r>
      <w:r w:rsidR="00E4255C" w:rsidRPr="000A38E5">
        <w:rPr>
          <w:lang w:val="uk-UA"/>
        </w:rPr>
        <w:t>оку</w:t>
      </w:r>
      <w:r w:rsidR="00C24F3F" w:rsidRPr="000A38E5">
        <w:rPr>
          <w:lang w:val="uk-UA"/>
        </w:rPr>
        <w:t xml:space="preserve"> </w:t>
      </w:r>
      <w:r w:rsidR="00E679CF" w:rsidRPr="000A38E5">
        <w:rPr>
          <w:lang w:val="uk-UA"/>
        </w:rPr>
        <w:t xml:space="preserve">для запобігання потраплянню </w:t>
      </w:r>
      <w:r w:rsidR="00E4255C" w:rsidRPr="000A38E5">
        <w:rPr>
          <w:lang w:val="uk-UA"/>
        </w:rPr>
        <w:t xml:space="preserve">сторонніх осіб </w:t>
      </w:r>
      <w:r w:rsidR="00E679CF" w:rsidRPr="000A38E5">
        <w:rPr>
          <w:lang w:val="uk-UA"/>
        </w:rPr>
        <w:t>на місце будівництва</w:t>
      </w:r>
      <w:r w:rsidR="00D83351" w:rsidRPr="00E93710">
        <w:rPr>
          <w:lang w:val="uk-UA"/>
        </w:rPr>
        <w:t xml:space="preserve">. </w:t>
      </w:r>
      <w:r w:rsidR="00E679CF" w:rsidRPr="000A38E5">
        <w:rPr>
          <w:lang w:val="uk-UA"/>
        </w:rPr>
        <w:t xml:space="preserve">29 травня він попросив </w:t>
      </w:r>
      <w:r w:rsidR="00E4255C" w:rsidRPr="000A38E5">
        <w:rPr>
          <w:lang w:val="uk-UA"/>
        </w:rPr>
        <w:t xml:space="preserve">керівника </w:t>
      </w:r>
      <w:r w:rsidR="00E679CF" w:rsidRPr="000A38E5">
        <w:rPr>
          <w:lang w:val="uk-UA"/>
        </w:rPr>
        <w:t>міліції</w:t>
      </w:r>
      <w:r w:rsidR="00D83351" w:rsidRPr="00E93710">
        <w:rPr>
          <w:lang w:val="uk-UA"/>
        </w:rPr>
        <w:t xml:space="preserve"> </w:t>
      </w:r>
      <w:r w:rsidR="00E679CF" w:rsidRPr="000A38E5">
        <w:rPr>
          <w:lang w:val="uk-UA"/>
        </w:rPr>
        <w:t>на той час Дзержинського (зараз – Шевченківського) району</w:t>
      </w:r>
      <w:r w:rsidR="00D83351" w:rsidRPr="00E93710">
        <w:rPr>
          <w:lang w:val="uk-UA"/>
        </w:rPr>
        <w:t xml:space="preserve">, </w:t>
      </w:r>
      <w:r w:rsidR="00E679CF" w:rsidRPr="000A38E5">
        <w:rPr>
          <w:lang w:val="uk-UA"/>
        </w:rPr>
        <w:t xml:space="preserve">де знаходиться парк </w:t>
      </w:r>
      <w:r w:rsidR="0085000B" w:rsidRPr="000A38E5">
        <w:rPr>
          <w:lang w:val="uk-UA"/>
        </w:rPr>
        <w:t>ім.</w:t>
      </w:r>
      <w:r w:rsidR="00E679CF" w:rsidRPr="000A38E5">
        <w:rPr>
          <w:lang w:val="uk-UA"/>
        </w:rPr>
        <w:t xml:space="preserve"> Горького (надалі – «район»)</w:t>
      </w:r>
      <w:r w:rsidR="00D83351" w:rsidRPr="000A38E5">
        <w:rPr>
          <w:lang w:val="uk-UA"/>
        </w:rPr>
        <w:t xml:space="preserve">, </w:t>
      </w:r>
      <w:r w:rsidR="00E679CF" w:rsidRPr="000A38E5">
        <w:rPr>
          <w:lang w:val="uk-UA"/>
        </w:rPr>
        <w:t>забезпечити громадський порядок на місці будівництва</w:t>
      </w:r>
      <w:r w:rsidR="00D83351" w:rsidRPr="000A38E5">
        <w:rPr>
          <w:lang w:val="uk-UA"/>
        </w:rPr>
        <w:t xml:space="preserve">, </w:t>
      </w:r>
      <w:r w:rsidR="00B34DBE" w:rsidRPr="000A38E5">
        <w:rPr>
          <w:lang w:val="uk-UA"/>
        </w:rPr>
        <w:t>посилаючись на інцидент, який відбувся напередодні,</w:t>
      </w:r>
      <w:r w:rsidR="00D83351" w:rsidRPr="000A38E5">
        <w:rPr>
          <w:lang w:val="uk-UA"/>
        </w:rPr>
        <w:t xml:space="preserve"> </w:t>
      </w:r>
      <w:r w:rsidR="00B34DBE" w:rsidRPr="000A38E5">
        <w:rPr>
          <w:lang w:val="uk-UA"/>
        </w:rPr>
        <w:t xml:space="preserve">у якому, </w:t>
      </w:r>
      <w:r w:rsidR="00E4255C" w:rsidRPr="000A38E5">
        <w:rPr>
          <w:lang w:val="uk-UA"/>
        </w:rPr>
        <w:t xml:space="preserve">зі слів </w:t>
      </w:r>
      <w:r w:rsidR="00B34DBE" w:rsidRPr="000A38E5">
        <w:rPr>
          <w:lang w:val="uk-UA"/>
        </w:rPr>
        <w:t>компанії</w:t>
      </w:r>
      <w:r w:rsidR="00D83351" w:rsidRPr="000A38E5">
        <w:rPr>
          <w:lang w:val="uk-UA"/>
        </w:rPr>
        <w:t xml:space="preserve">, </w:t>
      </w:r>
      <w:r w:rsidR="00E4255C" w:rsidRPr="000A38E5">
        <w:rPr>
          <w:lang w:val="uk-UA"/>
        </w:rPr>
        <w:t xml:space="preserve">невідомі </w:t>
      </w:r>
      <w:r w:rsidR="00B34DBE" w:rsidRPr="000A38E5">
        <w:rPr>
          <w:lang w:val="uk-UA"/>
        </w:rPr>
        <w:t>особи втручалися у роботу будівельників</w:t>
      </w:r>
      <w:r w:rsidR="00D83351" w:rsidRPr="000A38E5">
        <w:rPr>
          <w:lang w:val="uk-UA"/>
        </w:rPr>
        <w:t xml:space="preserve">, </w:t>
      </w:r>
      <w:r w:rsidR="00B34DBE" w:rsidRPr="000A38E5">
        <w:rPr>
          <w:lang w:val="uk-UA"/>
        </w:rPr>
        <w:t>лаялися на робітників та намагалися спровокувати бійку</w:t>
      </w:r>
      <w:r w:rsidR="00D83351" w:rsidRPr="000A38E5">
        <w:rPr>
          <w:lang w:val="uk-UA"/>
        </w:rPr>
        <w:t>.</w:t>
      </w:r>
    </w:p>
    <w:p w:rsidR="00D83351" w:rsidRPr="000A38E5" w:rsidRDefault="00D83351" w:rsidP="00852217">
      <w:pPr>
        <w:pStyle w:val="ECHRHeading2"/>
        <w:rPr>
          <w:lang w:val="uk-UA"/>
        </w:rPr>
      </w:pPr>
      <w:r w:rsidRPr="00E93710">
        <w:rPr>
          <w:lang w:val="uk-UA"/>
        </w:rPr>
        <w:t>C.</w:t>
      </w:r>
      <w:r w:rsidR="002F5892" w:rsidRPr="00E93710">
        <w:rPr>
          <w:lang w:val="uk-UA"/>
        </w:rPr>
        <w:t> Загальний</w:t>
      </w:r>
      <w:r w:rsidR="00B34DBE" w:rsidRPr="000A38E5">
        <w:rPr>
          <w:lang w:val="uk-UA"/>
        </w:rPr>
        <w:t xml:space="preserve"> опис подій у парку </w:t>
      </w:r>
      <w:r w:rsidR="0085000B" w:rsidRPr="000A38E5">
        <w:rPr>
          <w:lang w:val="uk-UA"/>
        </w:rPr>
        <w:t>ім.</w:t>
      </w:r>
      <w:r w:rsidR="00B34DBE" w:rsidRPr="000A38E5">
        <w:rPr>
          <w:lang w:val="uk-UA"/>
        </w:rPr>
        <w:t xml:space="preserve"> Горького</w:t>
      </w:r>
    </w:p>
    <w:p w:rsidR="00D83351" w:rsidRPr="00E93710" w:rsidRDefault="004E7608" w:rsidP="00852217">
      <w:pPr>
        <w:pStyle w:val="ECHRPara"/>
        <w:tabs>
          <w:tab w:val="left" w:pos="426"/>
        </w:tabs>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27</w:t>
      </w:r>
      <w:r w:rsidRPr="00E93710">
        <w:rPr>
          <w:noProof/>
          <w:lang w:val="uk-UA"/>
        </w:rPr>
        <w:fldChar w:fldCharType="end"/>
      </w:r>
      <w:r w:rsidR="00D83351" w:rsidRPr="00E93710">
        <w:rPr>
          <w:lang w:val="uk-UA"/>
        </w:rPr>
        <w:t>.</w:t>
      </w:r>
      <w:r w:rsidR="00334477" w:rsidRPr="000A38E5">
        <w:rPr>
          <w:lang w:val="uk-UA"/>
        </w:rPr>
        <w:t xml:space="preserve"> </w:t>
      </w:r>
      <w:r w:rsidR="002F5892" w:rsidRPr="000A38E5">
        <w:rPr>
          <w:lang w:val="uk-UA"/>
        </w:rPr>
        <w:t>Повалення дерев почалося 20 травня</w:t>
      </w:r>
      <w:r w:rsidR="00D83351" w:rsidRPr="00E93710">
        <w:rPr>
          <w:lang w:val="uk-UA"/>
        </w:rPr>
        <w:t xml:space="preserve"> 2010</w:t>
      </w:r>
      <w:r w:rsidR="002F5892" w:rsidRPr="000A38E5">
        <w:rPr>
          <w:lang w:val="uk-UA"/>
        </w:rPr>
        <w:t xml:space="preserve"> р</w:t>
      </w:r>
      <w:r w:rsidR="00E4255C" w:rsidRPr="000A38E5">
        <w:rPr>
          <w:lang w:val="uk-UA"/>
        </w:rPr>
        <w:t>оку</w:t>
      </w:r>
      <w:r w:rsidR="00D83351" w:rsidRPr="00E93710">
        <w:rPr>
          <w:lang w:val="uk-UA"/>
        </w:rPr>
        <w:t xml:space="preserve">, </w:t>
      </w:r>
      <w:r w:rsidR="00E4255C" w:rsidRPr="000A38E5">
        <w:rPr>
          <w:lang w:val="uk-UA"/>
        </w:rPr>
        <w:t xml:space="preserve">привернуло </w:t>
      </w:r>
      <w:r w:rsidR="00BA3C3F" w:rsidRPr="000A38E5">
        <w:rPr>
          <w:lang w:val="uk-UA"/>
        </w:rPr>
        <w:t>увагу багатьох осіб</w:t>
      </w:r>
      <w:r w:rsidR="00D83351" w:rsidRPr="00E93710">
        <w:rPr>
          <w:lang w:val="uk-UA"/>
        </w:rPr>
        <w:t xml:space="preserve"> (</w:t>
      </w:r>
      <w:r w:rsidR="00BA3C3F" w:rsidRPr="000A38E5">
        <w:rPr>
          <w:lang w:val="uk-UA"/>
        </w:rPr>
        <w:t>у тому числі заявників, за їх власними словами</w:t>
      </w:r>
      <w:r w:rsidR="00D83351" w:rsidRPr="00E93710">
        <w:rPr>
          <w:lang w:val="uk-UA"/>
        </w:rPr>
        <w:t>)</w:t>
      </w:r>
      <w:r w:rsidR="00BA3C3F" w:rsidRPr="000A38E5">
        <w:rPr>
          <w:lang w:val="uk-UA"/>
        </w:rPr>
        <w:t>,</w:t>
      </w:r>
      <w:r w:rsidR="00D83351" w:rsidRPr="00E93710">
        <w:rPr>
          <w:lang w:val="uk-UA"/>
        </w:rPr>
        <w:t xml:space="preserve"> </w:t>
      </w:r>
      <w:r w:rsidR="00BA3C3F" w:rsidRPr="000A38E5">
        <w:rPr>
          <w:lang w:val="uk-UA"/>
        </w:rPr>
        <w:t>які заперечували проти нього</w:t>
      </w:r>
      <w:r w:rsidR="00D83351" w:rsidRPr="00E93710">
        <w:rPr>
          <w:lang w:val="uk-UA"/>
        </w:rPr>
        <w:t xml:space="preserve">. </w:t>
      </w:r>
      <w:r w:rsidR="00BA3C3F" w:rsidRPr="000A38E5">
        <w:rPr>
          <w:lang w:val="uk-UA"/>
        </w:rPr>
        <w:t>За словами заявників, були присутні «декілька сотень» протестуючих</w:t>
      </w:r>
      <w:r w:rsidR="00D83351" w:rsidRPr="00E93710">
        <w:rPr>
          <w:lang w:val="uk-UA"/>
        </w:rPr>
        <w:t xml:space="preserve">. </w:t>
      </w:r>
      <w:r w:rsidR="00BA3C3F" w:rsidRPr="000A38E5">
        <w:rPr>
          <w:lang w:val="uk-UA"/>
        </w:rPr>
        <w:t>Органам влади не було надіслане ніяке офіційне повідомлення</w:t>
      </w:r>
      <w:r w:rsidR="00D83351" w:rsidRPr="00E93710">
        <w:rPr>
          <w:lang w:val="uk-UA"/>
        </w:rPr>
        <w:t xml:space="preserve">. </w:t>
      </w:r>
      <w:r w:rsidR="00BA3C3F" w:rsidRPr="000A38E5">
        <w:rPr>
          <w:lang w:val="uk-UA"/>
        </w:rPr>
        <w:t>Протестуючі стверджували, зокрема</w:t>
      </w:r>
      <w:r w:rsidR="00D83351" w:rsidRPr="00E93710">
        <w:rPr>
          <w:lang w:val="uk-UA"/>
        </w:rPr>
        <w:t xml:space="preserve">, </w:t>
      </w:r>
      <w:r w:rsidR="00BA3C3F" w:rsidRPr="000A38E5">
        <w:rPr>
          <w:lang w:val="uk-UA"/>
        </w:rPr>
        <w:t>що повалення дерев було невиправданим</w:t>
      </w:r>
      <w:r w:rsidR="00D83351" w:rsidRPr="00E93710">
        <w:rPr>
          <w:lang w:val="uk-UA"/>
        </w:rPr>
        <w:t xml:space="preserve"> </w:t>
      </w:r>
      <w:r w:rsidR="00BA3C3F" w:rsidRPr="000A38E5">
        <w:rPr>
          <w:lang w:val="uk-UA"/>
        </w:rPr>
        <w:t xml:space="preserve">і не було </w:t>
      </w:r>
      <w:r w:rsidR="00E4255C" w:rsidRPr="000A38E5">
        <w:rPr>
          <w:lang w:val="uk-UA"/>
        </w:rPr>
        <w:t>с</w:t>
      </w:r>
      <w:r w:rsidR="00BA3C3F" w:rsidRPr="000A38E5">
        <w:rPr>
          <w:lang w:val="uk-UA"/>
        </w:rPr>
        <w:t>хваленим належним чином</w:t>
      </w:r>
      <w:r w:rsidR="00D83351" w:rsidRPr="00E93710">
        <w:rPr>
          <w:lang w:val="uk-UA"/>
        </w:rPr>
        <w:t xml:space="preserve">, </w:t>
      </w:r>
      <w:r w:rsidR="00BA3C3F" w:rsidRPr="000A38E5">
        <w:rPr>
          <w:lang w:val="uk-UA"/>
        </w:rPr>
        <w:t>і вимагали доведення його законності</w:t>
      </w:r>
      <w:r w:rsidR="00D83351" w:rsidRPr="00E93710">
        <w:rPr>
          <w:lang w:val="uk-UA"/>
        </w:rPr>
        <w:t xml:space="preserve">. </w:t>
      </w:r>
      <w:r w:rsidR="005032A3" w:rsidRPr="000A38E5">
        <w:rPr>
          <w:lang w:val="uk-UA"/>
        </w:rPr>
        <w:t>Деякі з протестуючих активно намагалися перешкоджати роботі</w:t>
      </w:r>
      <w:r w:rsidR="00D83351" w:rsidRPr="00E93710">
        <w:rPr>
          <w:lang w:val="uk-UA"/>
        </w:rPr>
        <w:t xml:space="preserve">. </w:t>
      </w:r>
      <w:r w:rsidR="005032A3" w:rsidRPr="000A38E5">
        <w:rPr>
          <w:lang w:val="uk-UA"/>
        </w:rPr>
        <w:t>Зокрема, вони збиралися на дерева за допомогою альпіністського спорядження та прикріплювалися до дерев, які повинні були бути повалені, або перешкоджали роботі машин,</w:t>
      </w:r>
      <w:r w:rsidR="00D83351" w:rsidRPr="00E93710">
        <w:rPr>
          <w:lang w:val="uk-UA"/>
        </w:rPr>
        <w:t xml:space="preserve"> </w:t>
      </w:r>
      <w:r w:rsidR="005032A3" w:rsidRPr="000A38E5">
        <w:rPr>
          <w:lang w:val="uk-UA"/>
        </w:rPr>
        <w:t>зупиняючись перед ними</w:t>
      </w:r>
      <w:r w:rsidR="00D83351" w:rsidRPr="00E93710">
        <w:rPr>
          <w:lang w:val="uk-UA"/>
        </w:rPr>
        <w:t>.</w:t>
      </w:r>
    </w:p>
    <w:bookmarkStart w:id="14" w:name="Govt_pushback"/>
    <w:p w:rsidR="00D83351" w:rsidRPr="00E93710" w:rsidRDefault="004E7608" w:rsidP="00852217">
      <w:pPr>
        <w:pStyle w:val="ECHRPara"/>
        <w:tabs>
          <w:tab w:val="left" w:pos="426"/>
        </w:tabs>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28</w:t>
      </w:r>
      <w:r w:rsidRPr="00E93710">
        <w:rPr>
          <w:lang w:val="uk-UA"/>
        </w:rPr>
        <w:fldChar w:fldCharType="end"/>
      </w:r>
      <w:bookmarkEnd w:id="14"/>
      <w:r w:rsidR="00D83351" w:rsidRPr="00E93710">
        <w:rPr>
          <w:lang w:val="uk-UA"/>
        </w:rPr>
        <w:t>.</w:t>
      </w:r>
      <w:r w:rsidR="00334477" w:rsidRPr="000A38E5">
        <w:rPr>
          <w:lang w:val="uk-UA"/>
        </w:rPr>
        <w:t xml:space="preserve"> </w:t>
      </w:r>
      <w:r w:rsidR="00C66C36" w:rsidRPr="000A38E5">
        <w:rPr>
          <w:lang w:val="uk-UA"/>
        </w:rPr>
        <w:t>Незважаючи на протести, робота продовжувалася</w:t>
      </w:r>
      <w:r w:rsidR="00D83351" w:rsidRPr="00E93710">
        <w:rPr>
          <w:lang w:val="uk-UA"/>
        </w:rPr>
        <w:t xml:space="preserve">. </w:t>
      </w:r>
      <w:r w:rsidR="00C66C36" w:rsidRPr="000A38E5">
        <w:rPr>
          <w:lang w:val="uk-UA"/>
        </w:rPr>
        <w:t>Відповідно до доводів Уряду</w:t>
      </w:r>
      <w:r w:rsidR="00D83351" w:rsidRPr="00E93710">
        <w:rPr>
          <w:lang w:val="uk-UA"/>
        </w:rPr>
        <w:t xml:space="preserve">, </w:t>
      </w:r>
      <w:r w:rsidR="00C66C36" w:rsidRPr="000A38E5">
        <w:rPr>
          <w:lang w:val="uk-UA"/>
        </w:rPr>
        <w:t>у відповідь на дії протестуючих</w:t>
      </w:r>
      <w:r w:rsidR="00D83351" w:rsidRPr="00E93710">
        <w:rPr>
          <w:lang w:val="uk-UA"/>
        </w:rPr>
        <w:t xml:space="preserve"> </w:t>
      </w:r>
      <w:r w:rsidR="00C66C36" w:rsidRPr="000A38E5">
        <w:rPr>
          <w:lang w:val="uk-UA"/>
        </w:rPr>
        <w:t>охоронці намагалися прогнати їх,</w:t>
      </w:r>
      <w:r w:rsidR="00D83351" w:rsidRPr="00E93710">
        <w:rPr>
          <w:lang w:val="uk-UA"/>
        </w:rPr>
        <w:t xml:space="preserve"> </w:t>
      </w:r>
      <w:r w:rsidR="00E4255C" w:rsidRPr="000A38E5">
        <w:rPr>
          <w:lang w:val="uk-UA"/>
        </w:rPr>
        <w:t xml:space="preserve">виштовхуючи </w:t>
      </w:r>
      <w:r w:rsidR="00C66C36" w:rsidRPr="000A38E5">
        <w:rPr>
          <w:lang w:val="uk-UA"/>
        </w:rPr>
        <w:t>їх за межі території будівництва</w:t>
      </w:r>
      <w:r w:rsidR="00D83351" w:rsidRPr="00E93710">
        <w:rPr>
          <w:lang w:val="uk-UA"/>
        </w:rPr>
        <w:t xml:space="preserve">. </w:t>
      </w:r>
      <w:r w:rsidR="00C822DA" w:rsidRPr="000A38E5">
        <w:rPr>
          <w:lang w:val="uk-UA"/>
        </w:rPr>
        <w:t>У деяких випадках мали місце сутички</w:t>
      </w:r>
      <w:r w:rsidR="00D83351" w:rsidRPr="00E93710">
        <w:rPr>
          <w:lang w:val="uk-UA"/>
        </w:rPr>
        <w:t xml:space="preserve">. </w:t>
      </w:r>
      <w:r w:rsidR="00E4255C" w:rsidRPr="000A38E5">
        <w:rPr>
          <w:lang w:val="uk-UA"/>
        </w:rPr>
        <w:t>Щонайменше</w:t>
      </w:r>
      <w:r w:rsidR="00C822DA" w:rsidRPr="000A38E5">
        <w:rPr>
          <w:lang w:val="uk-UA"/>
        </w:rPr>
        <w:t xml:space="preserve"> п’ятнадцять разів на місце будівництва була викликана швидка допомога</w:t>
      </w:r>
      <w:r w:rsidR="00D83351" w:rsidRPr="00E93710">
        <w:rPr>
          <w:lang w:val="uk-UA"/>
        </w:rPr>
        <w:t xml:space="preserve">. </w:t>
      </w:r>
      <w:r w:rsidR="00C822DA" w:rsidRPr="000A38E5">
        <w:rPr>
          <w:lang w:val="uk-UA"/>
        </w:rPr>
        <w:t>Міліціонери, які були присутні на місці будівництва, нібито вели себе пасивно по відношенню до сутичок</w:t>
      </w:r>
      <w:r w:rsidR="00D83351" w:rsidRPr="00E93710">
        <w:rPr>
          <w:lang w:val="uk-UA"/>
        </w:rPr>
        <w:t>.</w:t>
      </w:r>
    </w:p>
    <w:p w:rsidR="00FC5EF2"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29</w:t>
      </w:r>
      <w:r w:rsidRPr="00E93710">
        <w:rPr>
          <w:noProof/>
          <w:lang w:val="uk-UA"/>
        </w:rPr>
        <w:fldChar w:fldCharType="end"/>
      </w:r>
      <w:r w:rsidR="00D83351" w:rsidRPr="00E93710">
        <w:rPr>
          <w:lang w:val="uk-UA"/>
        </w:rPr>
        <w:t>.</w:t>
      </w:r>
      <w:r w:rsidR="00334477" w:rsidRPr="000A38E5">
        <w:rPr>
          <w:lang w:val="uk-UA"/>
        </w:rPr>
        <w:t xml:space="preserve"> </w:t>
      </w:r>
      <w:r w:rsidR="006D742D" w:rsidRPr="000A38E5">
        <w:rPr>
          <w:lang w:val="uk-UA"/>
        </w:rPr>
        <w:t xml:space="preserve">Видається, що головні протести закінчилися </w:t>
      </w:r>
      <w:r w:rsidR="00396847" w:rsidRPr="000A38E5">
        <w:rPr>
          <w:lang w:val="uk-UA"/>
        </w:rPr>
        <w:t>2</w:t>
      </w:r>
      <w:r w:rsidR="006D742D" w:rsidRPr="000A38E5">
        <w:rPr>
          <w:lang w:val="uk-UA"/>
        </w:rPr>
        <w:t xml:space="preserve"> червня</w:t>
      </w:r>
      <w:r w:rsidR="00D83351" w:rsidRPr="00E93710">
        <w:rPr>
          <w:lang w:val="uk-UA"/>
        </w:rPr>
        <w:t xml:space="preserve"> 2010 </w:t>
      </w:r>
      <w:r w:rsidR="00E4255C" w:rsidRPr="000A38E5">
        <w:rPr>
          <w:lang w:val="uk-UA"/>
        </w:rPr>
        <w:t xml:space="preserve">року, </w:t>
      </w:r>
      <w:r w:rsidR="006D742D" w:rsidRPr="000A38E5">
        <w:rPr>
          <w:lang w:val="uk-UA"/>
        </w:rPr>
        <w:t>й більшість протестуючих залишила місце будівництва того дня</w:t>
      </w:r>
      <w:r w:rsidR="00D83351" w:rsidRPr="00E93710">
        <w:rPr>
          <w:lang w:val="uk-UA"/>
        </w:rPr>
        <w:t xml:space="preserve"> (</w:t>
      </w:r>
      <w:r w:rsidR="00326ACA" w:rsidRPr="000A38E5">
        <w:rPr>
          <w:lang w:val="uk-UA"/>
        </w:rPr>
        <w:t>див. пункт</w:t>
      </w:r>
      <w:r w:rsidR="00D83351" w:rsidRPr="00E93710">
        <w:rPr>
          <w:lang w:val="uk-UA"/>
        </w:rPr>
        <w:t xml:space="preserve"> </w:t>
      </w:r>
      <w:fldSimple w:instr=" REF police_report_law_enforcement_measures \h  \* MERGEFORMAT ">
        <w:r w:rsidR="0075299E" w:rsidRPr="00E93710">
          <w:rPr>
            <w:noProof/>
            <w:lang w:val="uk-UA"/>
          </w:rPr>
          <w:t>76</w:t>
        </w:r>
      </w:fldSimple>
      <w:r w:rsidR="00D83351" w:rsidRPr="00E93710">
        <w:rPr>
          <w:lang w:val="uk-UA"/>
        </w:rPr>
        <w:t xml:space="preserve"> </w:t>
      </w:r>
      <w:r w:rsidR="00326ACA" w:rsidRPr="000A38E5">
        <w:rPr>
          <w:lang w:val="uk-UA"/>
        </w:rPr>
        <w:t>нижче стосовно відповідного звіту міліції</w:t>
      </w:r>
      <w:r w:rsidR="00D83351" w:rsidRPr="00E93710">
        <w:rPr>
          <w:lang w:val="uk-UA"/>
        </w:rPr>
        <w:t xml:space="preserve">). </w:t>
      </w:r>
      <w:r w:rsidR="004221D4" w:rsidRPr="000A38E5">
        <w:rPr>
          <w:lang w:val="uk-UA"/>
        </w:rPr>
        <w:t>Однак деякі з протестуючих продовжували пікетувати</w:t>
      </w:r>
      <w:r w:rsidR="00D83351" w:rsidRPr="00E93710">
        <w:rPr>
          <w:lang w:val="uk-UA"/>
        </w:rPr>
        <w:t xml:space="preserve"> </w:t>
      </w:r>
      <w:r w:rsidR="004221D4" w:rsidRPr="000A38E5">
        <w:rPr>
          <w:lang w:val="uk-UA"/>
        </w:rPr>
        <w:t>місце будівництва майже до середини серпня</w:t>
      </w:r>
      <w:r w:rsidR="00D83351" w:rsidRPr="00E93710">
        <w:rPr>
          <w:lang w:val="uk-UA"/>
        </w:rPr>
        <w:t xml:space="preserve"> 2010</w:t>
      </w:r>
      <w:r w:rsidR="002254F0" w:rsidRPr="000A38E5">
        <w:rPr>
          <w:lang w:val="uk-UA"/>
        </w:rPr>
        <w:t xml:space="preserve"> р</w:t>
      </w:r>
      <w:r w:rsidR="00E4255C" w:rsidRPr="000A38E5">
        <w:rPr>
          <w:lang w:val="uk-UA"/>
        </w:rPr>
        <w:t>оку</w:t>
      </w:r>
      <w:r w:rsidR="00D83351" w:rsidRPr="00E93710">
        <w:rPr>
          <w:lang w:val="uk-UA"/>
        </w:rPr>
        <w:t xml:space="preserve"> (</w:t>
      </w:r>
      <w:r w:rsidR="00B0398D" w:rsidRPr="000A38E5">
        <w:rPr>
          <w:lang w:val="uk-UA"/>
        </w:rPr>
        <w:t>див. також пункти</w:t>
      </w:r>
      <w:r w:rsidR="00D83351" w:rsidRPr="00E93710">
        <w:rPr>
          <w:lang w:val="uk-UA"/>
        </w:rPr>
        <w:t xml:space="preserve"> </w:t>
      </w:r>
      <w:fldSimple w:instr=" REF six_applicant_arrest \h  \* MERGEFORMAT ">
        <w:r w:rsidR="0075299E" w:rsidRPr="00E93710">
          <w:rPr>
            <w:noProof/>
            <w:lang w:val="uk-UA"/>
          </w:rPr>
          <w:t>64</w:t>
        </w:r>
      </w:fldSimple>
      <w:r w:rsidR="00D83351" w:rsidRPr="00E93710">
        <w:rPr>
          <w:lang w:val="uk-UA"/>
        </w:rPr>
        <w:t xml:space="preserve"> </w:t>
      </w:r>
      <w:r w:rsidR="00B0398D" w:rsidRPr="000A38E5">
        <w:rPr>
          <w:lang w:val="uk-UA"/>
        </w:rPr>
        <w:t>та</w:t>
      </w:r>
      <w:r w:rsidR="00D83351" w:rsidRPr="00E93710">
        <w:rPr>
          <w:lang w:val="uk-UA"/>
        </w:rPr>
        <w:t xml:space="preserve"> </w:t>
      </w:r>
      <w:fldSimple w:instr=" REF sixth_app_trial \h  \* MERGEFORMAT ">
        <w:r w:rsidR="0075299E" w:rsidRPr="00E93710">
          <w:rPr>
            <w:noProof/>
            <w:lang w:val="uk-UA"/>
          </w:rPr>
          <w:t>65</w:t>
        </w:r>
      </w:fldSimple>
      <w:r w:rsidR="00D83351" w:rsidRPr="00E93710">
        <w:rPr>
          <w:lang w:val="uk-UA"/>
        </w:rPr>
        <w:t xml:space="preserve"> </w:t>
      </w:r>
      <w:r w:rsidR="00B0398D" w:rsidRPr="000A38E5">
        <w:rPr>
          <w:lang w:val="uk-UA"/>
        </w:rPr>
        <w:t>нижче стосовно арешту шостого заявника</w:t>
      </w:r>
      <w:r w:rsidR="00D83351" w:rsidRPr="00E93710">
        <w:rPr>
          <w:lang w:val="uk-UA"/>
        </w:rPr>
        <w:t xml:space="preserve"> </w:t>
      </w:r>
      <w:r w:rsidR="00B0398D" w:rsidRPr="000A38E5">
        <w:rPr>
          <w:lang w:val="uk-UA"/>
        </w:rPr>
        <w:t>6 липня</w:t>
      </w:r>
      <w:r w:rsidR="00D83351" w:rsidRPr="00E93710">
        <w:rPr>
          <w:lang w:val="uk-UA"/>
        </w:rPr>
        <w:t xml:space="preserve"> 2010</w:t>
      </w:r>
      <w:r w:rsidR="00617FA9" w:rsidRPr="00E93710">
        <w:rPr>
          <w:lang w:val="uk-UA"/>
        </w:rPr>
        <w:t xml:space="preserve"> р.</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30</w:t>
      </w:r>
      <w:r w:rsidRPr="00E93710">
        <w:rPr>
          <w:noProof/>
          <w:lang w:val="uk-UA"/>
        </w:rPr>
        <w:fldChar w:fldCharType="end"/>
      </w:r>
      <w:r w:rsidR="00D83351" w:rsidRPr="00E93710">
        <w:rPr>
          <w:lang w:val="uk-UA"/>
        </w:rPr>
        <w:t>.</w:t>
      </w:r>
      <w:r w:rsidR="00334477" w:rsidRPr="000A38E5">
        <w:rPr>
          <w:lang w:val="uk-UA"/>
        </w:rPr>
        <w:t xml:space="preserve"> </w:t>
      </w:r>
      <w:proofErr w:type="spellStart"/>
      <w:r w:rsidR="00902697" w:rsidRPr="000A38E5">
        <w:rPr>
          <w:lang w:val="uk-UA"/>
        </w:rPr>
        <w:t>Фото-</w:t>
      </w:r>
      <w:proofErr w:type="spellEnd"/>
      <w:r w:rsidR="00902697" w:rsidRPr="000A38E5">
        <w:rPr>
          <w:lang w:val="uk-UA"/>
        </w:rPr>
        <w:t xml:space="preserve"> та </w:t>
      </w:r>
      <w:proofErr w:type="spellStart"/>
      <w:r w:rsidR="00902697" w:rsidRPr="000A38E5">
        <w:rPr>
          <w:lang w:val="uk-UA"/>
        </w:rPr>
        <w:t>відеодокази</w:t>
      </w:r>
      <w:proofErr w:type="spellEnd"/>
      <w:r w:rsidR="00902697" w:rsidRPr="000A38E5">
        <w:rPr>
          <w:lang w:val="uk-UA"/>
        </w:rPr>
        <w:t xml:space="preserve"> подій 29 травня</w:t>
      </w:r>
      <w:r w:rsidR="00D83351" w:rsidRPr="00E93710">
        <w:rPr>
          <w:lang w:val="uk-UA"/>
        </w:rPr>
        <w:t xml:space="preserve"> </w:t>
      </w:r>
      <w:r w:rsidR="00E4255C" w:rsidRPr="000A38E5">
        <w:rPr>
          <w:lang w:val="uk-UA"/>
        </w:rPr>
        <w:t>–</w:t>
      </w:r>
      <w:r w:rsidR="00C83F88" w:rsidRPr="000A38E5">
        <w:rPr>
          <w:lang w:val="uk-UA"/>
        </w:rPr>
        <w:t xml:space="preserve"> </w:t>
      </w:r>
      <w:r w:rsidR="00902697" w:rsidRPr="000A38E5">
        <w:rPr>
          <w:lang w:val="uk-UA"/>
        </w:rPr>
        <w:t>2</w:t>
      </w:r>
      <w:r w:rsidR="00E4255C" w:rsidRPr="000A38E5">
        <w:rPr>
          <w:lang w:val="uk-UA"/>
        </w:rPr>
        <w:t xml:space="preserve"> </w:t>
      </w:r>
      <w:r w:rsidR="00902697" w:rsidRPr="000A38E5">
        <w:rPr>
          <w:lang w:val="uk-UA"/>
        </w:rPr>
        <w:t>червня</w:t>
      </w:r>
      <w:r w:rsidR="00D83351" w:rsidRPr="00E93710">
        <w:rPr>
          <w:lang w:val="uk-UA"/>
        </w:rPr>
        <w:t xml:space="preserve"> 2010</w:t>
      </w:r>
      <w:r w:rsidR="00902697" w:rsidRPr="000A38E5">
        <w:rPr>
          <w:lang w:val="uk-UA"/>
        </w:rPr>
        <w:t xml:space="preserve"> р</w:t>
      </w:r>
      <w:r w:rsidR="00E4255C" w:rsidRPr="000A38E5">
        <w:rPr>
          <w:lang w:val="uk-UA"/>
        </w:rPr>
        <w:t>оку</w:t>
      </w:r>
      <w:r w:rsidR="00D83351" w:rsidRPr="00E93710">
        <w:rPr>
          <w:lang w:val="uk-UA"/>
        </w:rPr>
        <w:t xml:space="preserve">, </w:t>
      </w:r>
      <w:r w:rsidR="0086287B" w:rsidRPr="000A38E5">
        <w:rPr>
          <w:lang w:val="uk-UA"/>
        </w:rPr>
        <w:t>описаних у пунктах</w:t>
      </w:r>
      <w:r w:rsidR="00D83351" w:rsidRPr="00E93710">
        <w:rPr>
          <w:lang w:val="uk-UA"/>
        </w:rPr>
        <w:t xml:space="preserve"> </w:t>
      </w:r>
      <w:fldSimple w:instr=" REF video_20_May \h  \* MERGEFORMAT ">
        <w:r w:rsidR="0075299E" w:rsidRPr="00E93710">
          <w:rPr>
            <w:noProof/>
            <w:lang w:val="uk-UA"/>
          </w:rPr>
          <w:t>31</w:t>
        </w:r>
      </w:fldSimple>
      <w:r w:rsidR="0086287B" w:rsidRPr="000A38E5">
        <w:rPr>
          <w:lang w:val="uk-UA"/>
        </w:rPr>
        <w:t>-</w:t>
      </w:r>
      <w:fldSimple w:instr=" REF video_25_May \h  \* MERGEFORMAT ">
        <w:r w:rsidR="0075299E" w:rsidRPr="00E93710">
          <w:rPr>
            <w:noProof/>
            <w:lang w:val="uk-UA"/>
          </w:rPr>
          <w:t>35</w:t>
        </w:r>
      </w:fldSimple>
      <w:r w:rsidR="00D83351" w:rsidRPr="00E93710">
        <w:rPr>
          <w:lang w:val="uk-UA"/>
        </w:rPr>
        <w:t xml:space="preserve">, </w:t>
      </w:r>
      <w:fldSimple w:instr=" REF video_27_May \h  \* MERGEFORMAT ">
        <w:r w:rsidR="0075299E" w:rsidRPr="00E93710">
          <w:rPr>
            <w:noProof/>
            <w:lang w:val="uk-UA"/>
          </w:rPr>
          <w:t>38</w:t>
        </w:r>
      </w:fldSimple>
      <w:r w:rsidR="00D83351" w:rsidRPr="00E93710">
        <w:rPr>
          <w:lang w:val="uk-UA"/>
        </w:rPr>
        <w:t xml:space="preserve">, </w:t>
      </w:r>
      <w:fldSimple w:instr=" REF video_31_May \h  \* MERGEFORMAT ">
        <w:r w:rsidR="0075299E" w:rsidRPr="00E93710">
          <w:rPr>
            <w:noProof/>
            <w:lang w:val="uk-UA"/>
          </w:rPr>
          <w:t>40</w:t>
        </w:r>
      </w:fldSimple>
      <w:r w:rsidR="00634C05" w:rsidRPr="00E93710">
        <w:rPr>
          <w:lang w:val="uk-UA"/>
        </w:rPr>
        <w:t xml:space="preserve">, </w:t>
      </w:r>
      <w:fldSimple w:instr=" REF video_2_June \h  \* MERGEFORMAT ">
        <w:r w:rsidR="0075299E" w:rsidRPr="00E93710">
          <w:rPr>
            <w:noProof/>
            <w:lang w:val="uk-UA"/>
          </w:rPr>
          <w:t>42</w:t>
        </w:r>
      </w:fldSimple>
      <w:r w:rsidR="00D83351" w:rsidRPr="00E93710">
        <w:rPr>
          <w:lang w:val="uk-UA"/>
        </w:rPr>
        <w:t xml:space="preserve"> </w:t>
      </w:r>
      <w:r w:rsidR="0086287B" w:rsidRPr="000A38E5">
        <w:rPr>
          <w:lang w:val="uk-UA"/>
        </w:rPr>
        <w:t>та</w:t>
      </w:r>
      <w:r w:rsidR="00D83351" w:rsidRPr="00E93710">
        <w:rPr>
          <w:lang w:val="uk-UA"/>
        </w:rPr>
        <w:t xml:space="preserve"> </w:t>
      </w:r>
      <w:fldSimple w:instr=" REF video_28_May \h  \* MERGEFORMAT ">
        <w:r w:rsidR="0075299E" w:rsidRPr="00E93710">
          <w:rPr>
            <w:noProof/>
            <w:lang w:val="uk-UA"/>
          </w:rPr>
          <w:t>45</w:t>
        </w:r>
      </w:fldSimple>
      <w:r w:rsidR="00D83351" w:rsidRPr="00E93710">
        <w:rPr>
          <w:lang w:val="uk-UA"/>
        </w:rPr>
        <w:t xml:space="preserve"> </w:t>
      </w:r>
      <w:r w:rsidR="0086287B" w:rsidRPr="000A38E5">
        <w:rPr>
          <w:lang w:val="uk-UA"/>
        </w:rPr>
        <w:t>нижче</w:t>
      </w:r>
      <w:r w:rsidR="00D83351" w:rsidRPr="00E93710">
        <w:rPr>
          <w:lang w:val="uk-UA"/>
        </w:rPr>
        <w:t xml:space="preserve">, </w:t>
      </w:r>
      <w:r w:rsidR="00087418" w:rsidRPr="000A38E5">
        <w:rPr>
          <w:lang w:val="uk-UA"/>
        </w:rPr>
        <w:t>були надані заявниками</w:t>
      </w:r>
      <w:r w:rsidR="00D83351" w:rsidRPr="00E93710">
        <w:rPr>
          <w:lang w:val="uk-UA"/>
        </w:rPr>
        <w:t xml:space="preserve">. </w:t>
      </w:r>
      <w:r w:rsidR="00087418" w:rsidRPr="000A38E5">
        <w:rPr>
          <w:lang w:val="uk-UA"/>
        </w:rPr>
        <w:t>На момент розгляду справи цим Судом</w:t>
      </w:r>
      <w:r w:rsidR="00D83351" w:rsidRPr="00E93710">
        <w:rPr>
          <w:lang w:val="uk-UA"/>
        </w:rPr>
        <w:t xml:space="preserve"> </w:t>
      </w:r>
      <w:r w:rsidR="00087418" w:rsidRPr="000A38E5">
        <w:rPr>
          <w:lang w:val="uk-UA"/>
        </w:rPr>
        <w:t xml:space="preserve">аналогічні відеозаписи були </w:t>
      </w:r>
      <w:r w:rsidR="00E4255C" w:rsidRPr="000A38E5">
        <w:rPr>
          <w:lang w:val="uk-UA"/>
        </w:rPr>
        <w:t xml:space="preserve">публічно </w:t>
      </w:r>
      <w:r w:rsidR="00087418" w:rsidRPr="000A38E5">
        <w:rPr>
          <w:lang w:val="uk-UA"/>
        </w:rPr>
        <w:t xml:space="preserve">доступні </w:t>
      </w:r>
      <w:proofErr w:type="spellStart"/>
      <w:r w:rsidR="00087418" w:rsidRPr="000A38E5">
        <w:rPr>
          <w:lang w:val="uk-UA"/>
        </w:rPr>
        <w:t>онлайн</w:t>
      </w:r>
      <w:proofErr w:type="spellEnd"/>
      <w:r w:rsidR="00D83351" w:rsidRPr="00E93710">
        <w:rPr>
          <w:lang w:val="uk-UA"/>
        </w:rPr>
        <w:t xml:space="preserve"> (</w:t>
      </w:r>
      <w:r w:rsidR="00087418" w:rsidRPr="000A38E5">
        <w:rPr>
          <w:lang w:val="uk-UA"/>
        </w:rPr>
        <w:t>див. пункт</w:t>
      </w:r>
      <w:r w:rsidR="00D83351" w:rsidRPr="00E93710">
        <w:rPr>
          <w:lang w:val="uk-UA"/>
        </w:rPr>
        <w:t> </w:t>
      </w:r>
      <w:fldSimple w:instr=" REF video_28_May \h  \* MERGEFORMAT ">
        <w:r w:rsidR="0075299E" w:rsidRPr="00E93710">
          <w:rPr>
            <w:noProof/>
            <w:lang w:val="uk-UA"/>
          </w:rPr>
          <w:t>45</w:t>
        </w:r>
      </w:fldSimple>
      <w:r w:rsidR="00D83351" w:rsidRPr="00E93710">
        <w:rPr>
          <w:lang w:val="uk-UA"/>
        </w:rPr>
        <w:t xml:space="preserve"> </w:t>
      </w:r>
      <w:r w:rsidR="00087418" w:rsidRPr="000A38E5">
        <w:rPr>
          <w:lang w:val="uk-UA"/>
        </w:rPr>
        <w:t>нижче</w:t>
      </w:r>
      <w:r w:rsidR="00D83351" w:rsidRPr="00E93710">
        <w:rPr>
          <w:lang w:val="uk-UA"/>
        </w:rPr>
        <w:t xml:space="preserve"> </w:t>
      </w:r>
      <w:r w:rsidR="00087418" w:rsidRPr="000A38E5">
        <w:rPr>
          <w:lang w:val="uk-UA"/>
        </w:rPr>
        <w:t>стосовно доказів, які стосувалися</w:t>
      </w:r>
      <w:r w:rsidR="000764D1" w:rsidRPr="000A38E5">
        <w:rPr>
          <w:lang w:val="uk-UA"/>
        </w:rPr>
        <w:t>, наприклад,</w:t>
      </w:r>
      <w:r w:rsidR="00087418" w:rsidRPr="000A38E5">
        <w:rPr>
          <w:lang w:val="uk-UA"/>
        </w:rPr>
        <w:t xml:space="preserve"> подій 28 травня</w:t>
      </w:r>
      <w:r w:rsidR="00D83351" w:rsidRPr="00E93710">
        <w:rPr>
          <w:lang w:val="uk-UA"/>
        </w:rPr>
        <w:t>).</w:t>
      </w:r>
      <w:r w:rsidR="00D83351" w:rsidRPr="00E93710">
        <w:rPr>
          <w:rStyle w:val="af4"/>
          <w:lang w:val="uk-UA"/>
        </w:rPr>
        <w:footnoteReference w:id="2"/>
      </w:r>
      <w:r w:rsidR="00D83351" w:rsidRPr="00E93710">
        <w:rPr>
          <w:lang w:val="uk-UA"/>
        </w:rPr>
        <w:t xml:space="preserve"> </w:t>
      </w:r>
      <w:r w:rsidR="00FA0EEB" w:rsidRPr="000A38E5">
        <w:rPr>
          <w:lang w:val="uk-UA"/>
        </w:rPr>
        <w:t>Певні відеоматеріали були також розглянуті в ході</w:t>
      </w:r>
      <w:r w:rsidR="00D83351" w:rsidRPr="00E93710">
        <w:rPr>
          <w:lang w:val="uk-UA"/>
        </w:rPr>
        <w:t xml:space="preserve"> </w:t>
      </w:r>
      <w:r w:rsidR="00FA0EEB" w:rsidRPr="000A38E5">
        <w:rPr>
          <w:lang w:val="uk-UA"/>
        </w:rPr>
        <w:t>національних проваджень</w:t>
      </w:r>
      <w:r w:rsidR="00D83351" w:rsidRPr="00E93710">
        <w:rPr>
          <w:lang w:val="uk-UA"/>
        </w:rPr>
        <w:t xml:space="preserve"> (</w:t>
      </w:r>
      <w:r w:rsidR="00FA0EEB" w:rsidRPr="000A38E5">
        <w:rPr>
          <w:lang w:val="uk-UA"/>
        </w:rPr>
        <w:t>див., наприклад, пункти</w:t>
      </w:r>
      <w:r w:rsidR="00D83351" w:rsidRPr="00E93710">
        <w:rPr>
          <w:lang w:val="uk-UA"/>
        </w:rPr>
        <w:t xml:space="preserve"> </w:t>
      </w:r>
      <w:fldSimple w:instr=" REF court_examined_video \h  \* MERGEFORMAT ">
        <w:r w:rsidR="0075299E" w:rsidRPr="00E93710">
          <w:rPr>
            <w:noProof/>
            <w:lang w:val="uk-UA"/>
          </w:rPr>
          <w:t>51</w:t>
        </w:r>
      </w:fldSimple>
      <w:r w:rsidR="00D83351" w:rsidRPr="00E93710">
        <w:rPr>
          <w:lang w:val="uk-UA"/>
        </w:rPr>
        <w:t xml:space="preserve"> </w:t>
      </w:r>
      <w:r w:rsidR="00FA0EEB" w:rsidRPr="000A38E5">
        <w:rPr>
          <w:lang w:val="uk-UA"/>
        </w:rPr>
        <w:t>та</w:t>
      </w:r>
      <w:r w:rsidR="00D83351" w:rsidRPr="00E93710">
        <w:rPr>
          <w:lang w:val="uk-UA"/>
        </w:rPr>
        <w:t xml:space="preserve"> </w:t>
      </w:r>
      <w:fldSimple w:instr=" REF investigation_decision_wits_and_video \h  \* MERGEFORMAT ">
        <w:r w:rsidR="0075299E" w:rsidRPr="00E93710">
          <w:rPr>
            <w:noProof/>
            <w:lang w:val="uk-UA"/>
          </w:rPr>
          <w:t>82</w:t>
        </w:r>
      </w:fldSimple>
      <w:r w:rsidR="00D83351" w:rsidRPr="00E93710">
        <w:rPr>
          <w:lang w:val="uk-UA"/>
        </w:rPr>
        <w:t xml:space="preserve"> </w:t>
      </w:r>
      <w:r w:rsidR="00FA0EEB" w:rsidRPr="000A38E5">
        <w:rPr>
          <w:lang w:val="uk-UA"/>
        </w:rPr>
        <w:t>нижче</w:t>
      </w:r>
      <w:r w:rsidR="00D83351" w:rsidRPr="00E93710">
        <w:rPr>
          <w:lang w:val="uk-UA"/>
        </w:rPr>
        <w:t>)</w:t>
      </w:r>
      <w:r w:rsidR="00045440" w:rsidRPr="00E93710">
        <w:rPr>
          <w:lang w:val="uk-UA"/>
        </w:rPr>
        <w:t>,</w:t>
      </w:r>
      <w:r w:rsidR="00D83351" w:rsidRPr="00E93710">
        <w:rPr>
          <w:lang w:val="uk-UA"/>
        </w:rPr>
        <w:t xml:space="preserve"> </w:t>
      </w:r>
      <w:r w:rsidR="00045440" w:rsidRPr="000A38E5">
        <w:rPr>
          <w:lang w:val="uk-UA"/>
        </w:rPr>
        <w:t>але вони не були надані до Суду</w:t>
      </w:r>
      <w:r w:rsidR="00D83351" w:rsidRPr="00E93710">
        <w:rPr>
          <w:lang w:val="uk-UA"/>
        </w:rPr>
        <w:t xml:space="preserve">. </w:t>
      </w:r>
      <w:r w:rsidR="009824F7" w:rsidRPr="000A38E5">
        <w:rPr>
          <w:lang w:val="uk-UA"/>
        </w:rPr>
        <w:t>Суд спиратиметься на наведені нижче докази</w:t>
      </w:r>
      <w:r w:rsidR="00D83351" w:rsidRPr="00E93710">
        <w:rPr>
          <w:lang w:val="uk-UA"/>
        </w:rPr>
        <w:t xml:space="preserve"> </w:t>
      </w:r>
      <w:r w:rsidR="00E4255C" w:rsidRPr="00E93710">
        <w:rPr>
          <w:lang w:val="uk-UA"/>
        </w:rPr>
        <w:t>тією мірою</w:t>
      </w:r>
      <w:r w:rsidR="009824F7" w:rsidRPr="000A38E5">
        <w:rPr>
          <w:lang w:val="uk-UA"/>
        </w:rPr>
        <w:t>, в якій вони не будуть суперечити</w:t>
      </w:r>
      <w:r w:rsidR="00D83351" w:rsidRPr="00E93710">
        <w:rPr>
          <w:lang w:val="uk-UA"/>
        </w:rPr>
        <w:t xml:space="preserve"> </w:t>
      </w:r>
      <w:r w:rsidR="009824F7" w:rsidRPr="000A38E5">
        <w:rPr>
          <w:lang w:val="uk-UA"/>
        </w:rPr>
        <w:t>висновкам національних органів влади</w:t>
      </w:r>
      <w:r w:rsidR="00D83351" w:rsidRPr="00E93710">
        <w:rPr>
          <w:lang w:val="uk-UA"/>
        </w:rPr>
        <w:t xml:space="preserve"> (</w:t>
      </w:r>
      <w:r w:rsidR="009824F7" w:rsidRPr="000A38E5">
        <w:rPr>
          <w:lang w:val="uk-UA"/>
        </w:rPr>
        <w:t>див. у цьому відношенні пункт</w:t>
      </w:r>
      <w:r w:rsidR="00D83351" w:rsidRPr="00E93710">
        <w:rPr>
          <w:lang w:val="uk-UA"/>
        </w:rPr>
        <w:t xml:space="preserve"> </w:t>
      </w:r>
      <w:fldSimple w:instr=" REF no_contradiction \h  \* MERGEFORMAT ">
        <w:r w:rsidR="0075299E" w:rsidRPr="00E93710">
          <w:rPr>
            <w:noProof/>
            <w:lang w:val="uk-UA"/>
          </w:rPr>
          <w:t>248</w:t>
        </w:r>
      </w:fldSimple>
      <w:r w:rsidR="00D83351" w:rsidRPr="00E93710">
        <w:rPr>
          <w:lang w:val="uk-UA"/>
        </w:rPr>
        <w:t xml:space="preserve"> </w:t>
      </w:r>
      <w:r w:rsidR="009824F7" w:rsidRPr="000A38E5">
        <w:rPr>
          <w:lang w:val="uk-UA"/>
        </w:rPr>
        <w:t>нижче</w:t>
      </w:r>
      <w:r w:rsidR="00D83351" w:rsidRPr="00E93710">
        <w:rPr>
          <w:lang w:val="uk-UA"/>
        </w:rPr>
        <w:t xml:space="preserve">) </w:t>
      </w:r>
      <w:r w:rsidR="004061F8" w:rsidRPr="000A38E5">
        <w:rPr>
          <w:lang w:val="uk-UA"/>
        </w:rPr>
        <w:t>і</w:t>
      </w:r>
      <w:r w:rsidR="00E4255C" w:rsidRPr="000A38E5">
        <w:rPr>
          <w:lang w:val="uk-UA"/>
        </w:rPr>
        <w:t>,</w:t>
      </w:r>
      <w:r w:rsidR="004061F8" w:rsidRPr="000A38E5">
        <w:rPr>
          <w:lang w:val="uk-UA"/>
        </w:rPr>
        <w:t xml:space="preserve"> зокрема, </w:t>
      </w:r>
      <w:r w:rsidR="00E4255C" w:rsidRPr="00E93710">
        <w:rPr>
          <w:lang w:val="uk-UA"/>
        </w:rPr>
        <w:t>тією мірою</w:t>
      </w:r>
      <w:r w:rsidR="004061F8" w:rsidRPr="000A38E5">
        <w:rPr>
          <w:lang w:val="uk-UA"/>
        </w:rPr>
        <w:t>, в якій вони спростовують</w:t>
      </w:r>
      <w:r w:rsidR="00D83351" w:rsidRPr="00E93710">
        <w:rPr>
          <w:lang w:val="uk-UA"/>
        </w:rPr>
        <w:t xml:space="preserve"> </w:t>
      </w:r>
      <w:r w:rsidR="00E4255C" w:rsidRPr="00E93710">
        <w:rPr>
          <w:lang w:val="uk-UA"/>
        </w:rPr>
        <w:t xml:space="preserve">власні </w:t>
      </w:r>
      <w:r w:rsidR="004061F8" w:rsidRPr="000A38E5">
        <w:rPr>
          <w:lang w:val="uk-UA"/>
        </w:rPr>
        <w:t>твердження заявників</w:t>
      </w:r>
      <w:r w:rsidR="00D83351" w:rsidRPr="00E93710">
        <w:rPr>
          <w:lang w:val="uk-UA"/>
        </w:rPr>
        <w:t xml:space="preserve"> (</w:t>
      </w:r>
      <w:r w:rsidR="004061F8" w:rsidRPr="000A38E5">
        <w:rPr>
          <w:lang w:val="uk-UA"/>
        </w:rPr>
        <w:t>див., наприклад, пункти</w:t>
      </w:r>
      <w:r w:rsidR="00D83351" w:rsidRPr="00E93710">
        <w:rPr>
          <w:lang w:val="uk-UA"/>
        </w:rPr>
        <w:t xml:space="preserve"> </w:t>
      </w:r>
      <w:fldSimple w:instr=" REF conclusion_third_applicant_conduct \h  \* MERGEFORMAT ">
        <w:r w:rsidR="0075299E" w:rsidRPr="00E93710">
          <w:rPr>
            <w:noProof/>
            <w:lang w:val="uk-UA"/>
          </w:rPr>
          <w:t>145</w:t>
        </w:r>
      </w:fldSimple>
      <w:r w:rsidR="00D83351" w:rsidRPr="00E93710">
        <w:rPr>
          <w:lang w:val="uk-UA"/>
        </w:rPr>
        <w:t xml:space="preserve">, </w:t>
      </w:r>
      <w:fldSimple w:instr=" REF A3_no_evidence_illtreatement \h  \* MERGEFORMAT ">
        <w:r w:rsidR="0075299E" w:rsidRPr="00E93710">
          <w:rPr>
            <w:noProof/>
            <w:lang w:val="uk-UA"/>
          </w:rPr>
          <w:t>154</w:t>
        </w:r>
      </w:fldSimple>
      <w:r w:rsidR="00D83351" w:rsidRPr="00E93710">
        <w:rPr>
          <w:lang w:val="uk-UA"/>
        </w:rPr>
        <w:t xml:space="preserve"> </w:t>
      </w:r>
      <w:r w:rsidR="004061F8" w:rsidRPr="000A38E5">
        <w:rPr>
          <w:lang w:val="uk-UA"/>
        </w:rPr>
        <w:t>та</w:t>
      </w:r>
      <w:r w:rsidR="00D83351" w:rsidRPr="00E93710">
        <w:rPr>
          <w:lang w:val="uk-UA"/>
        </w:rPr>
        <w:t xml:space="preserve"> </w:t>
      </w:r>
      <w:fldSimple w:instr=" REF conclusion_admissibility_A11_verbal \h  \* MERGEFORMAT ">
        <w:r w:rsidR="0075299E" w:rsidRPr="00E93710">
          <w:rPr>
            <w:noProof/>
            <w:lang w:val="uk-UA"/>
          </w:rPr>
          <w:t>212</w:t>
        </w:r>
      </w:fldSimple>
      <w:r w:rsidR="00D83351" w:rsidRPr="00E93710">
        <w:rPr>
          <w:lang w:val="uk-UA"/>
        </w:rPr>
        <w:t xml:space="preserve"> </w:t>
      </w:r>
      <w:r w:rsidR="004061F8" w:rsidRPr="000A38E5">
        <w:rPr>
          <w:lang w:val="uk-UA"/>
        </w:rPr>
        <w:t>нижче</w:t>
      </w:r>
      <w:r w:rsidR="00D83351" w:rsidRPr="00E93710">
        <w:rPr>
          <w:lang w:val="uk-UA"/>
        </w:rPr>
        <w:t>).</w:t>
      </w:r>
    </w:p>
    <w:p w:rsidR="00D83351" w:rsidRPr="00E93710" w:rsidRDefault="00D83351" w:rsidP="00852217">
      <w:pPr>
        <w:pStyle w:val="ECHRHeading2"/>
        <w:rPr>
          <w:lang w:val="uk-UA"/>
        </w:rPr>
      </w:pPr>
      <w:r w:rsidRPr="00E93710">
        <w:rPr>
          <w:lang w:val="uk-UA"/>
        </w:rPr>
        <w:t>D.</w:t>
      </w:r>
      <w:r w:rsidR="00334477" w:rsidRPr="000A38E5">
        <w:rPr>
          <w:lang w:val="uk-UA"/>
        </w:rPr>
        <w:t xml:space="preserve"> </w:t>
      </w:r>
      <w:r w:rsidR="00B27A60" w:rsidRPr="000A38E5">
        <w:rPr>
          <w:lang w:val="uk-UA"/>
        </w:rPr>
        <w:t>Події 20-25 травня</w:t>
      </w:r>
      <w:r w:rsidRPr="00E93710">
        <w:rPr>
          <w:lang w:val="uk-UA"/>
        </w:rPr>
        <w:t xml:space="preserve"> 2010</w:t>
      </w:r>
      <w:r w:rsidR="00B27A60" w:rsidRPr="00E93710">
        <w:rPr>
          <w:lang w:val="uk-UA"/>
        </w:rPr>
        <w:t xml:space="preserve"> р</w:t>
      </w:r>
      <w:r w:rsidR="00E4255C" w:rsidRPr="00E93710">
        <w:rPr>
          <w:lang w:val="uk-UA"/>
        </w:rPr>
        <w:t>оку</w:t>
      </w:r>
    </w:p>
    <w:bookmarkStart w:id="15" w:name="video_20_May"/>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31</w:t>
      </w:r>
      <w:r w:rsidRPr="00E93710">
        <w:rPr>
          <w:noProof/>
          <w:lang w:val="uk-UA"/>
        </w:rPr>
        <w:fldChar w:fldCharType="end"/>
      </w:r>
      <w:bookmarkEnd w:id="15"/>
      <w:r w:rsidR="00D83351" w:rsidRPr="00E93710">
        <w:rPr>
          <w:lang w:val="uk-UA"/>
        </w:rPr>
        <w:t>.</w:t>
      </w:r>
      <w:r w:rsidR="00334477" w:rsidRPr="000A38E5">
        <w:rPr>
          <w:lang w:val="uk-UA"/>
        </w:rPr>
        <w:t xml:space="preserve"> </w:t>
      </w:r>
      <w:r w:rsidR="004B0F19" w:rsidRPr="000A38E5">
        <w:rPr>
          <w:lang w:val="uk-UA"/>
        </w:rPr>
        <w:t>Матеріали за 20 травня</w:t>
      </w:r>
      <w:r w:rsidR="00D83351" w:rsidRPr="00E93710">
        <w:rPr>
          <w:lang w:val="uk-UA"/>
        </w:rPr>
        <w:t xml:space="preserve"> 2010 </w:t>
      </w:r>
      <w:r w:rsidR="004B0F19" w:rsidRPr="000A38E5">
        <w:rPr>
          <w:lang w:val="uk-UA"/>
        </w:rPr>
        <w:t>р</w:t>
      </w:r>
      <w:r w:rsidR="00E4255C" w:rsidRPr="000A38E5">
        <w:rPr>
          <w:lang w:val="uk-UA"/>
        </w:rPr>
        <w:t>оку</w:t>
      </w:r>
      <w:r w:rsidR="004B0F19" w:rsidRPr="000A38E5">
        <w:rPr>
          <w:lang w:val="uk-UA"/>
        </w:rPr>
        <w:t xml:space="preserve"> складаються з повідомлення харківського міського телевізійного каналу АТН</w:t>
      </w:r>
      <w:r w:rsidR="00D83351" w:rsidRPr="00E93710">
        <w:rPr>
          <w:lang w:val="uk-UA"/>
        </w:rPr>
        <w:t xml:space="preserve"> </w:t>
      </w:r>
      <w:r w:rsidR="004B0F19" w:rsidRPr="000A38E5">
        <w:rPr>
          <w:lang w:val="uk-UA"/>
        </w:rPr>
        <w:t xml:space="preserve">стосовно подій у парку </w:t>
      </w:r>
      <w:r w:rsidR="0085000B" w:rsidRPr="000A38E5">
        <w:rPr>
          <w:lang w:val="uk-UA"/>
        </w:rPr>
        <w:t>ім.</w:t>
      </w:r>
      <w:r w:rsidR="004B0F19" w:rsidRPr="000A38E5">
        <w:rPr>
          <w:lang w:val="uk-UA"/>
        </w:rPr>
        <w:t xml:space="preserve"> Горького</w:t>
      </w:r>
      <w:r w:rsidR="00D83351" w:rsidRPr="00E93710">
        <w:rPr>
          <w:lang w:val="uk-UA"/>
        </w:rPr>
        <w:t xml:space="preserve">. </w:t>
      </w:r>
      <w:r w:rsidR="00C2276E" w:rsidRPr="000A38E5">
        <w:rPr>
          <w:lang w:val="uk-UA"/>
        </w:rPr>
        <w:t>Повідомлення демонструвало, як працівники валили дерева</w:t>
      </w:r>
      <w:r w:rsidR="00D83351" w:rsidRPr="00E93710">
        <w:rPr>
          <w:lang w:val="uk-UA"/>
        </w:rPr>
        <w:t xml:space="preserve">, </w:t>
      </w:r>
      <w:r w:rsidR="00C2276E" w:rsidRPr="000A38E5">
        <w:rPr>
          <w:lang w:val="uk-UA"/>
        </w:rPr>
        <w:t>нібито без перешкод</w:t>
      </w:r>
      <w:r w:rsidR="00D83351" w:rsidRPr="00E93710">
        <w:rPr>
          <w:lang w:val="uk-UA"/>
        </w:rPr>
        <w:t xml:space="preserve">. </w:t>
      </w:r>
      <w:r w:rsidR="00C2276E" w:rsidRPr="000A38E5">
        <w:rPr>
          <w:lang w:val="uk-UA"/>
        </w:rPr>
        <w:t xml:space="preserve">Ніщо не вказувало на існування будь-яких </w:t>
      </w:r>
      <w:r w:rsidR="00C2276E" w:rsidRPr="000A38E5">
        <w:rPr>
          <w:lang w:val="uk-UA"/>
        </w:rPr>
        <w:lastRenderedPageBreak/>
        <w:t>протестуючих</w:t>
      </w:r>
      <w:r w:rsidR="00D83351" w:rsidRPr="00E93710">
        <w:rPr>
          <w:lang w:val="uk-UA"/>
        </w:rPr>
        <w:t xml:space="preserve">. </w:t>
      </w:r>
      <w:r w:rsidR="00C2276E" w:rsidRPr="000A38E5">
        <w:rPr>
          <w:lang w:val="uk-UA"/>
        </w:rPr>
        <w:t>Оповідач говорив, що роботи з повалення дерев для будівництва дороги</w:t>
      </w:r>
      <w:r w:rsidR="00D83351" w:rsidRPr="00E93710">
        <w:rPr>
          <w:lang w:val="uk-UA"/>
        </w:rPr>
        <w:t xml:space="preserve"> </w:t>
      </w:r>
      <w:r w:rsidR="00C2276E" w:rsidRPr="000A38E5">
        <w:rPr>
          <w:lang w:val="uk-UA"/>
        </w:rPr>
        <w:t>проходили оперативно</w:t>
      </w:r>
      <w:r w:rsidR="00D83351" w:rsidRPr="00E93710">
        <w:rPr>
          <w:lang w:val="uk-UA"/>
        </w:rPr>
        <w:t xml:space="preserve">. </w:t>
      </w:r>
      <w:r w:rsidR="00C34526" w:rsidRPr="000A38E5">
        <w:rPr>
          <w:lang w:val="uk-UA"/>
        </w:rPr>
        <w:t>Проект був датований 2007 роком, але на той час</w:t>
      </w:r>
      <w:r w:rsidR="00D83351" w:rsidRPr="00E93710">
        <w:rPr>
          <w:lang w:val="uk-UA"/>
        </w:rPr>
        <w:t xml:space="preserve"> </w:t>
      </w:r>
      <w:r w:rsidR="00E4255C" w:rsidRPr="000A38E5">
        <w:rPr>
          <w:lang w:val="uk-UA"/>
        </w:rPr>
        <w:t>викликав заперечення з боку</w:t>
      </w:r>
      <w:r w:rsidR="00494439" w:rsidRPr="000A38E5">
        <w:rPr>
          <w:lang w:val="uk-UA"/>
        </w:rPr>
        <w:t xml:space="preserve"> науковців</w:t>
      </w:r>
      <w:r w:rsidR="00D83351" w:rsidRPr="00E93710">
        <w:rPr>
          <w:lang w:val="uk-UA"/>
        </w:rPr>
        <w:t xml:space="preserve">, </w:t>
      </w:r>
      <w:r w:rsidR="00C34526" w:rsidRPr="000A38E5">
        <w:rPr>
          <w:lang w:val="uk-UA"/>
        </w:rPr>
        <w:t>охоронців природи та мешканців міста</w:t>
      </w:r>
      <w:r w:rsidR="00D83351" w:rsidRPr="00E93710">
        <w:rPr>
          <w:lang w:val="uk-UA"/>
        </w:rPr>
        <w:t xml:space="preserve">. </w:t>
      </w:r>
      <w:r w:rsidR="00B92EA4" w:rsidRPr="000A38E5">
        <w:rPr>
          <w:lang w:val="uk-UA"/>
        </w:rPr>
        <w:t>Після цього у репортажі була показана демонстрація</w:t>
      </w:r>
      <w:r w:rsidR="00D83351" w:rsidRPr="00E93710">
        <w:rPr>
          <w:lang w:val="uk-UA"/>
        </w:rPr>
        <w:t xml:space="preserve"> </w:t>
      </w:r>
      <w:r w:rsidR="00B92EA4" w:rsidRPr="000A38E5">
        <w:rPr>
          <w:lang w:val="uk-UA"/>
        </w:rPr>
        <w:t>перед громадською будівлею, з прапорами та девізом</w:t>
      </w:r>
      <w:r w:rsidR="00D83351" w:rsidRPr="00E93710">
        <w:rPr>
          <w:lang w:val="uk-UA"/>
        </w:rPr>
        <w:t xml:space="preserve"> </w:t>
      </w:r>
      <w:r w:rsidR="00B92EA4" w:rsidRPr="00E93710">
        <w:rPr>
          <w:lang w:val="uk-UA"/>
        </w:rPr>
        <w:t>«</w:t>
      </w:r>
      <w:proofErr w:type="spellStart"/>
      <w:r w:rsidR="00B92EA4" w:rsidRPr="000A38E5">
        <w:rPr>
          <w:lang w:val="uk-UA"/>
        </w:rPr>
        <w:t>Добкін</w:t>
      </w:r>
      <w:proofErr w:type="spellEnd"/>
      <w:r w:rsidR="00D83351" w:rsidRPr="00E93710">
        <w:rPr>
          <w:lang w:val="uk-UA"/>
        </w:rPr>
        <w:t xml:space="preserve"> [</w:t>
      </w:r>
      <w:r w:rsidR="00B92EA4" w:rsidRPr="000A38E5">
        <w:rPr>
          <w:lang w:val="uk-UA"/>
        </w:rPr>
        <w:t>мер Харкова на той час</w:t>
      </w:r>
      <w:r w:rsidR="00D83351" w:rsidRPr="00E93710">
        <w:rPr>
          <w:lang w:val="uk-UA"/>
        </w:rPr>
        <w:t xml:space="preserve">], </w:t>
      </w:r>
      <w:r w:rsidR="00B92EA4" w:rsidRPr="000A38E5">
        <w:rPr>
          <w:lang w:val="uk-UA"/>
        </w:rPr>
        <w:t>не знищуй парк»</w:t>
      </w:r>
      <w:r w:rsidR="00D83351" w:rsidRPr="00E93710">
        <w:rPr>
          <w:lang w:val="uk-UA"/>
        </w:rPr>
        <w:t xml:space="preserve">. </w:t>
      </w:r>
      <w:r w:rsidR="00B92EA4" w:rsidRPr="000A38E5">
        <w:rPr>
          <w:lang w:val="uk-UA"/>
        </w:rPr>
        <w:t>Це відзнача</w:t>
      </w:r>
      <w:r w:rsidR="00E4255C" w:rsidRPr="000A38E5">
        <w:rPr>
          <w:lang w:val="uk-UA"/>
        </w:rPr>
        <w:t>лося</w:t>
      </w:r>
      <w:r w:rsidR="00B92EA4" w:rsidRPr="000A38E5">
        <w:rPr>
          <w:lang w:val="uk-UA"/>
        </w:rPr>
        <w:t xml:space="preserve"> як архівне відео</w:t>
      </w:r>
      <w:r w:rsidR="00D83351" w:rsidRPr="00E93710">
        <w:rPr>
          <w:lang w:val="uk-UA"/>
        </w:rPr>
        <w:t xml:space="preserve">. </w:t>
      </w:r>
      <w:r w:rsidR="00B92EA4" w:rsidRPr="000A38E5">
        <w:rPr>
          <w:lang w:val="uk-UA"/>
        </w:rPr>
        <w:t>Оповідач стверджує, що ці протести не перешкод</w:t>
      </w:r>
      <w:r w:rsidR="00E4255C" w:rsidRPr="000A38E5">
        <w:rPr>
          <w:lang w:val="uk-UA"/>
        </w:rPr>
        <w:t>и</w:t>
      </w:r>
      <w:r w:rsidR="00B92EA4" w:rsidRPr="000A38E5">
        <w:rPr>
          <w:lang w:val="uk-UA"/>
        </w:rPr>
        <w:t>ли</w:t>
      </w:r>
      <w:r w:rsidR="00D83351" w:rsidRPr="00E93710">
        <w:rPr>
          <w:lang w:val="uk-UA"/>
        </w:rPr>
        <w:t xml:space="preserve"> </w:t>
      </w:r>
      <w:r w:rsidR="00B92EA4" w:rsidRPr="000A38E5">
        <w:rPr>
          <w:lang w:val="uk-UA"/>
        </w:rPr>
        <w:t>міським органам влади продовжувати діяльність за проектом</w:t>
      </w:r>
      <w:r w:rsidR="00D83351" w:rsidRPr="00E93710">
        <w:rPr>
          <w:lang w:val="uk-UA"/>
        </w:rPr>
        <w:t xml:space="preserve">. </w:t>
      </w:r>
      <w:r w:rsidR="00767459" w:rsidRPr="000A38E5">
        <w:rPr>
          <w:lang w:val="uk-UA"/>
        </w:rPr>
        <w:t>На тому, що видається міськи</w:t>
      </w:r>
      <w:r w:rsidR="00494439" w:rsidRPr="000A38E5">
        <w:rPr>
          <w:lang w:val="uk-UA"/>
        </w:rPr>
        <w:t>ми</w:t>
      </w:r>
      <w:r w:rsidR="00767459" w:rsidRPr="000A38E5">
        <w:rPr>
          <w:lang w:val="uk-UA"/>
        </w:rPr>
        <w:t xml:space="preserve"> орган</w:t>
      </w:r>
      <w:r w:rsidR="00494439" w:rsidRPr="000A38E5">
        <w:rPr>
          <w:lang w:val="uk-UA"/>
        </w:rPr>
        <w:t>ами</w:t>
      </w:r>
      <w:r w:rsidR="00767459" w:rsidRPr="000A38E5">
        <w:rPr>
          <w:lang w:val="uk-UA"/>
        </w:rPr>
        <w:t xml:space="preserve"> влади</w:t>
      </w:r>
      <w:r w:rsidR="00494439" w:rsidRPr="000A38E5">
        <w:rPr>
          <w:lang w:val="uk-UA"/>
        </w:rPr>
        <w:t xml:space="preserve"> як громадські слухання</w:t>
      </w:r>
      <w:r w:rsidR="00D83351" w:rsidRPr="00E93710">
        <w:rPr>
          <w:lang w:val="uk-UA"/>
        </w:rPr>
        <w:t xml:space="preserve">, </w:t>
      </w:r>
      <w:r w:rsidR="00767459" w:rsidRPr="000A38E5">
        <w:rPr>
          <w:lang w:val="uk-UA"/>
        </w:rPr>
        <w:t>голова Департаменту муніципального будівництва</w:t>
      </w:r>
      <w:r w:rsidR="00D83351" w:rsidRPr="00E93710">
        <w:rPr>
          <w:lang w:val="uk-UA"/>
        </w:rPr>
        <w:t xml:space="preserve"> </w:t>
      </w:r>
      <w:r w:rsidR="00767459" w:rsidRPr="000A38E5">
        <w:rPr>
          <w:lang w:val="uk-UA"/>
        </w:rPr>
        <w:t>пояснює необхідність нової дороги на схемі дорожнього руху міста</w:t>
      </w:r>
      <w:r w:rsidR="00D83351" w:rsidRPr="00E93710">
        <w:rPr>
          <w:lang w:val="uk-UA"/>
        </w:rPr>
        <w:t xml:space="preserve">. </w:t>
      </w:r>
      <w:r w:rsidR="00591338" w:rsidRPr="000A38E5">
        <w:rPr>
          <w:lang w:val="uk-UA"/>
        </w:rPr>
        <w:t>На відео, яке було позначено «17 вересня</w:t>
      </w:r>
      <w:r w:rsidR="00D83351" w:rsidRPr="00E93710">
        <w:rPr>
          <w:lang w:val="uk-UA"/>
        </w:rPr>
        <w:t xml:space="preserve"> 2007</w:t>
      </w:r>
      <w:r w:rsidR="00591338" w:rsidRPr="000A38E5">
        <w:rPr>
          <w:lang w:val="uk-UA"/>
        </w:rPr>
        <w:t>»,</w:t>
      </w:r>
      <w:r w:rsidR="00D83351" w:rsidRPr="00E93710">
        <w:rPr>
          <w:lang w:val="uk-UA"/>
        </w:rPr>
        <w:t xml:space="preserve"> </w:t>
      </w:r>
      <w:r w:rsidR="00591338" w:rsidRPr="000A38E5">
        <w:rPr>
          <w:lang w:val="uk-UA"/>
        </w:rPr>
        <w:t>тодішній мер Харкова</w:t>
      </w:r>
      <w:r w:rsidR="00D83351" w:rsidRPr="00E93710">
        <w:rPr>
          <w:lang w:val="uk-UA"/>
        </w:rPr>
        <w:t xml:space="preserve"> </w:t>
      </w:r>
      <w:r w:rsidR="00591338" w:rsidRPr="000A38E5">
        <w:rPr>
          <w:lang w:val="uk-UA"/>
        </w:rPr>
        <w:t xml:space="preserve">проводив, як </w:t>
      </w:r>
      <w:r w:rsidR="00494439" w:rsidRPr="000A38E5">
        <w:rPr>
          <w:lang w:val="uk-UA"/>
        </w:rPr>
        <w:t>стверджується</w:t>
      </w:r>
      <w:r w:rsidR="00591338" w:rsidRPr="000A38E5">
        <w:rPr>
          <w:lang w:val="uk-UA"/>
        </w:rPr>
        <w:t>, прес-конференцію</w:t>
      </w:r>
      <w:r w:rsidR="00D83351" w:rsidRPr="00E93710">
        <w:rPr>
          <w:lang w:val="uk-UA"/>
        </w:rPr>
        <w:t xml:space="preserve"> </w:t>
      </w:r>
      <w:r w:rsidR="00591338" w:rsidRPr="000A38E5">
        <w:rPr>
          <w:lang w:val="uk-UA"/>
        </w:rPr>
        <w:t>про джерела фінансування для проекту</w:t>
      </w:r>
      <w:r w:rsidR="00D83351" w:rsidRPr="00E93710">
        <w:rPr>
          <w:lang w:val="uk-UA"/>
        </w:rPr>
        <w:t>.</w:t>
      </w:r>
    </w:p>
    <w:p w:rsidR="00D83351" w:rsidRPr="00E93710" w:rsidRDefault="00591338" w:rsidP="00852217">
      <w:pPr>
        <w:pStyle w:val="ECHRPara"/>
        <w:rPr>
          <w:lang w:val="uk-UA"/>
        </w:rPr>
      </w:pPr>
      <w:r w:rsidRPr="000A38E5">
        <w:rPr>
          <w:lang w:val="uk-UA"/>
        </w:rPr>
        <w:t>Пан Ш</w:t>
      </w:r>
      <w:r w:rsidR="00D83351" w:rsidRPr="00E93710">
        <w:rPr>
          <w:lang w:val="uk-UA"/>
        </w:rPr>
        <w:t xml:space="preserve">., </w:t>
      </w:r>
      <w:r w:rsidRPr="000A38E5">
        <w:rPr>
          <w:lang w:val="uk-UA"/>
        </w:rPr>
        <w:t>представник НУО «Печеніги»</w:t>
      </w:r>
      <w:r w:rsidR="00D83351" w:rsidRPr="00E93710">
        <w:rPr>
          <w:lang w:val="uk-UA"/>
        </w:rPr>
        <w:t xml:space="preserve">, </w:t>
      </w:r>
      <w:r w:rsidR="00E4255C" w:rsidRPr="000A38E5">
        <w:rPr>
          <w:lang w:val="uk-UA"/>
        </w:rPr>
        <w:t xml:space="preserve">висловлює </w:t>
      </w:r>
      <w:r w:rsidRPr="000A38E5">
        <w:rPr>
          <w:lang w:val="uk-UA"/>
        </w:rPr>
        <w:t>своє занепокоєння тим, що буде повалено більше дерев, ніж дозволено</w:t>
      </w:r>
      <w:r w:rsidR="00D83351" w:rsidRPr="00E93710">
        <w:rPr>
          <w:lang w:val="uk-UA"/>
        </w:rPr>
        <w:t xml:space="preserve">. </w:t>
      </w:r>
      <w:r w:rsidRPr="000A38E5">
        <w:rPr>
          <w:lang w:val="uk-UA"/>
        </w:rPr>
        <w:t>Пан К., представник іншої НУО, «Ми</w:t>
      </w:r>
      <w:r w:rsidR="00494439" w:rsidRPr="000A38E5">
        <w:rPr>
          <w:lang w:val="uk-UA"/>
        </w:rPr>
        <w:t xml:space="preserve"> – </w:t>
      </w:r>
      <w:r w:rsidR="00E4255C" w:rsidRPr="000A38E5">
        <w:rPr>
          <w:lang w:val="uk-UA"/>
        </w:rPr>
        <w:t>харків’яни</w:t>
      </w:r>
      <w:r w:rsidRPr="000A38E5">
        <w:rPr>
          <w:lang w:val="uk-UA"/>
        </w:rPr>
        <w:t>»</w:t>
      </w:r>
      <w:r w:rsidR="00D83351" w:rsidRPr="00E93710">
        <w:rPr>
          <w:lang w:val="uk-UA"/>
        </w:rPr>
        <w:t xml:space="preserve">, </w:t>
      </w:r>
      <w:r w:rsidRPr="000A38E5">
        <w:rPr>
          <w:lang w:val="uk-UA"/>
        </w:rPr>
        <w:t>заперечує, що йому показали дозвіл на повалення дерев</w:t>
      </w:r>
      <w:r w:rsidR="00D83351" w:rsidRPr="00E93710">
        <w:rPr>
          <w:lang w:val="uk-UA"/>
        </w:rPr>
        <w:t xml:space="preserve">, </w:t>
      </w:r>
      <w:r w:rsidRPr="000A38E5">
        <w:rPr>
          <w:lang w:val="uk-UA"/>
        </w:rPr>
        <w:t>зокрема, рішення виконавчого комітету від 19 травня</w:t>
      </w:r>
      <w:r w:rsidR="00D83351" w:rsidRPr="00E93710">
        <w:rPr>
          <w:lang w:val="uk-UA"/>
        </w:rPr>
        <w:t xml:space="preserve">. </w:t>
      </w:r>
      <w:r w:rsidRPr="000A38E5">
        <w:rPr>
          <w:lang w:val="uk-UA"/>
        </w:rPr>
        <w:t>Мер Харкова показаний на громадській зустрічі виконавчого комітету</w:t>
      </w:r>
      <w:r w:rsidR="00D83351" w:rsidRPr="00E93710">
        <w:rPr>
          <w:lang w:val="uk-UA"/>
        </w:rPr>
        <w:t xml:space="preserve"> </w:t>
      </w:r>
      <w:r w:rsidR="00C64B35" w:rsidRPr="000A38E5">
        <w:rPr>
          <w:lang w:val="uk-UA"/>
        </w:rPr>
        <w:t>зі словами, що проект має усі необхідні дозволи,</w:t>
      </w:r>
      <w:r w:rsidR="00D83351" w:rsidRPr="00E93710">
        <w:rPr>
          <w:lang w:val="uk-UA"/>
        </w:rPr>
        <w:t xml:space="preserve"> </w:t>
      </w:r>
      <w:r w:rsidR="00C64B35" w:rsidRPr="000A38E5">
        <w:rPr>
          <w:lang w:val="uk-UA"/>
        </w:rPr>
        <w:t>і що НУО були проінформовані</w:t>
      </w:r>
      <w:r w:rsidR="00D83351" w:rsidRPr="00E93710">
        <w:rPr>
          <w:lang w:val="uk-UA"/>
        </w:rPr>
        <w:t xml:space="preserve">. </w:t>
      </w:r>
      <w:r w:rsidR="00C64B35" w:rsidRPr="000A38E5">
        <w:rPr>
          <w:lang w:val="uk-UA"/>
        </w:rPr>
        <w:t>Оповідач стверджує, що громадські активісти скаржилися</w:t>
      </w:r>
      <w:r w:rsidR="00D83351" w:rsidRPr="00E93710">
        <w:rPr>
          <w:lang w:val="uk-UA"/>
        </w:rPr>
        <w:t xml:space="preserve"> </w:t>
      </w:r>
      <w:r w:rsidR="00C64B35" w:rsidRPr="000A38E5">
        <w:rPr>
          <w:lang w:val="uk-UA"/>
        </w:rPr>
        <w:t>міліції на незаконне повалення дерев</w:t>
      </w:r>
      <w:r w:rsidR="00D83351" w:rsidRPr="00E93710">
        <w:rPr>
          <w:lang w:val="uk-UA"/>
        </w:rPr>
        <w:t xml:space="preserve"> </w:t>
      </w:r>
      <w:r w:rsidR="007C4448" w:rsidRPr="000A38E5">
        <w:rPr>
          <w:lang w:val="uk-UA"/>
        </w:rPr>
        <w:t>та збиралися звернутися до прокуратури та судів</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32</w:t>
      </w:r>
      <w:r w:rsidRPr="00E93710">
        <w:rPr>
          <w:noProof/>
          <w:lang w:val="uk-UA"/>
        </w:rPr>
        <w:fldChar w:fldCharType="end"/>
      </w:r>
      <w:r w:rsidR="00D83351" w:rsidRPr="00E93710">
        <w:rPr>
          <w:lang w:val="uk-UA"/>
        </w:rPr>
        <w:t>.</w:t>
      </w:r>
      <w:r w:rsidR="00334477" w:rsidRPr="000A38E5">
        <w:rPr>
          <w:lang w:val="uk-UA"/>
        </w:rPr>
        <w:t xml:space="preserve"> </w:t>
      </w:r>
      <w:r w:rsidR="007C4448" w:rsidRPr="000A38E5">
        <w:rPr>
          <w:lang w:val="uk-UA"/>
        </w:rPr>
        <w:t>Матеріали за 22 травня демонструють</w:t>
      </w:r>
      <w:r w:rsidR="00D83351" w:rsidRPr="00E93710">
        <w:rPr>
          <w:lang w:val="uk-UA"/>
        </w:rPr>
        <w:t xml:space="preserve"> </w:t>
      </w:r>
      <w:r w:rsidR="00E4255C" w:rsidRPr="000A38E5">
        <w:rPr>
          <w:lang w:val="uk-UA"/>
        </w:rPr>
        <w:t>ділянку</w:t>
      </w:r>
      <w:r w:rsidR="007C4448" w:rsidRPr="000A38E5">
        <w:rPr>
          <w:lang w:val="uk-UA"/>
        </w:rPr>
        <w:t>, звільнен</w:t>
      </w:r>
      <w:r w:rsidR="00E4255C" w:rsidRPr="000A38E5">
        <w:rPr>
          <w:lang w:val="uk-UA"/>
        </w:rPr>
        <w:t>у</w:t>
      </w:r>
      <w:r w:rsidR="007C4448" w:rsidRPr="000A38E5">
        <w:rPr>
          <w:lang w:val="uk-UA"/>
        </w:rPr>
        <w:t xml:space="preserve"> від деяких дерев</w:t>
      </w:r>
      <w:r w:rsidR="00D83351" w:rsidRPr="00E93710">
        <w:rPr>
          <w:lang w:val="uk-UA"/>
        </w:rPr>
        <w:t xml:space="preserve">. </w:t>
      </w:r>
      <w:r w:rsidR="007C4448" w:rsidRPr="000A38E5">
        <w:rPr>
          <w:lang w:val="uk-UA"/>
        </w:rPr>
        <w:t>Протестуючі стоять біля двох дерев та обіймають їх</w:t>
      </w:r>
      <w:r w:rsidR="00D83351" w:rsidRPr="00E93710">
        <w:rPr>
          <w:lang w:val="uk-UA"/>
        </w:rPr>
        <w:t>.</w:t>
      </w:r>
    </w:p>
    <w:bookmarkStart w:id="16" w:name="video_23_May"/>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33</w:t>
      </w:r>
      <w:r w:rsidRPr="00E93710">
        <w:rPr>
          <w:noProof/>
          <w:lang w:val="uk-UA"/>
        </w:rPr>
        <w:fldChar w:fldCharType="end"/>
      </w:r>
      <w:bookmarkEnd w:id="16"/>
      <w:r w:rsidR="00D83351" w:rsidRPr="00E93710">
        <w:rPr>
          <w:lang w:val="uk-UA"/>
        </w:rPr>
        <w:t>.</w:t>
      </w:r>
      <w:r w:rsidR="00334477" w:rsidRPr="000A38E5">
        <w:rPr>
          <w:lang w:val="uk-UA"/>
        </w:rPr>
        <w:t xml:space="preserve"> </w:t>
      </w:r>
      <w:r w:rsidR="007C4448" w:rsidRPr="000A38E5">
        <w:rPr>
          <w:lang w:val="uk-UA"/>
        </w:rPr>
        <w:t>Матеріали за 23 травня демонструють</w:t>
      </w:r>
      <w:r w:rsidR="00D83351" w:rsidRPr="00E93710">
        <w:rPr>
          <w:lang w:val="uk-UA"/>
        </w:rPr>
        <w:t xml:space="preserve"> </w:t>
      </w:r>
      <w:r w:rsidR="007C4448" w:rsidRPr="000A38E5">
        <w:rPr>
          <w:lang w:val="uk-UA"/>
        </w:rPr>
        <w:t>роботи з повалення дерев, поруч з якими стоять кілька осіб</w:t>
      </w:r>
      <w:r w:rsidR="00D83351" w:rsidRPr="00E93710">
        <w:rPr>
          <w:lang w:val="uk-UA"/>
        </w:rPr>
        <w:t xml:space="preserve">. </w:t>
      </w:r>
      <w:r w:rsidR="007C4448" w:rsidRPr="000A38E5">
        <w:rPr>
          <w:lang w:val="uk-UA"/>
        </w:rPr>
        <w:t>Одну особу уводить міліція</w:t>
      </w:r>
      <w:r w:rsidR="00D83351" w:rsidRPr="00E93710">
        <w:rPr>
          <w:lang w:val="uk-UA"/>
        </w:rPr>
        <w:t xml:space="preserve">. </w:t>
      </w:r>
      <w:r w:rsidR="007C4448" w:rsidRPr="000A38E5">
        <w:rPr>
          <w:lang w:val="uk-UA"/>
        </w:rPr>
        <w:t>Три особи оточують дерево</w:t>
      </w:r>
      <w:r w:rsidR="00E4255C" w:rsidRPr="000A38E5">
        <w:rPr>
          <w:lang w:val="uk-UA"/>
        </w:rPr>
        <w:t xml:space="preserve">, стоячи обличчям до </w:t>
      </w:r>
      <w:r w:rsidR="007C4448" w:rsidRPr="000A38E5">
        <w:rPr>
          <w:lang w:val="uk-UA"/>
        </w:rPr>
        <w:t>міліці</w:t>
      </w:r>
      <w:r w:rsidR="00E4255C" w:rsidRPr="000A38E5">
        <w:rPr>
          <w:lang w:val="uk-UA"/>
        </w:rPr>
        <w:t>ї</w:t>
      </w:r>
      <w:r w:rsidR="00D83351" w:rsidRPr="00E93710">
        <w:rPr>
          <w:lang w:val="uk-UA"/>
        </w:rPr>
        <w:t xml:space="preserve">. </w:t>
      </w:r>
      <w:r w:rsidR="007C4448" w:rsidRPr="000A38E5">
        <w:rPr>
          <w:lang w:val="uk-UA"/>
        </w:rPr>
        <w:t>Одна з них говорить «ласкаво просимо на пікнік»</w:t>
      </w:r>
      <w:r w:rsidR="00D83351" w:rsidRPr="00E93710">
        <w:rPr>
          <w:lang w:val="uk-UA"/>
        </w:rPr>
        <w:t>.</w:t>
      </w:r>
    </w:p>
    <w:bookmarkStart w:id="17" w:name="video_24_May"/>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34</w:t>
      </w:r>
      <w:r w:rsidRPr="00E93710">
        <w:rPr>
          <w:noProof/>
          <w:lang w:val="uk-UA"/>
        </w:rPr>
        <w:fldChar w:fldCharType="end"/>
      </w:r>
      <w:bookmarkEnd w:id="17"/>
      <w:r w:rsidR="00D83351" w:rsidRPr="00E93710">
        <w:rPr>
          <w:lang w:val="uk-UA"/>
        </w:rPr>
        <w:t>.</w:t>
      </w:r>
      <w:r w:rsidR="00334477" w:rsidRPr="000A38E5">
        <w:rPr>
          <w:lang w:val="uk-UA"/>
        </w:rPr>
        <w:t xml:space="preserve"> </w:t>
      </w:r>
      <w:r w:rsidR="00244AEB" w:rsidRPr="000A38E5">
        <w:rPr>
          <w:lang w:val="uk-UA"/>
        </w:rPr>
        <w:t>Матеріали за 24 травня демонструють</w:t>
      </w:r>
      <w:r w:rsidR="00D83351" w:rsidRPr="00E93710">
        <w:rPr>
          <w:lang w:val="uk-UA"/>
        </w:rPr>
        <w:t xml:space="preserve"> </w:t>
      </w:r>
      <w:r w:rsidR="00244AEB" w:rsidRPr="000A38E5">
        <w:rPr>
          <w:lang w:val="uk-UA"/>
        </w:rPr>
        <w:t>роботи з повалення дерев</w:t>
      </w:r>
      <w:r w:rsidR="00D83351" w:rsidRPr="00E93710">
        <w:rPr>
          <w:lang w:val="uk-UA"/>
        </w:rPr>
        <w:t xml:space="preserve">. </w:t>
      </w:r>
      <w:r w:rsidR="00244AEB" w:rsidRPr="000A38E5">
        <w:rPr>
          <w:lang w:val="uk-UA"/>
        </w:rPr>
        <w:t>Міліція та особи, які видаються протестуючими</w:t>
      </w:r>
      <w:r w:rsidR="00F45758" w:rsidRPr="000A38E5">
        <w:rPr>
          <w:lang w:val="uk-UA"/>
        </w:rPr>
        <w:t>,</w:t>
      </w:r>
      <w:r w:rsidR="00D83351" w:rsidRPr="00E93710">
        <w:rPr>
          <w:lang w:val="uk-UA"/>
        </w:rPr>
        <w:t xml:space="preserve"> </w:t>
      </w:r>
      <w:r w:rsidR="00F45758" w:rsidRPr="000A38E5">
        <w:rPr>
          <w:lang w:val="uk-UA"/>
        </w:rPr>
        <w:t>оточують робітників, які тримають бензопили</w:t>
      </w:r>
      <w:r w:rsidR="00D83351" w:rsidRPr="00E93710">
        <w:rPr>
          <w:lang w:val="uk-UA"/>
        </w:rPr>
        <w:t xml:space="preserve">. </w:t>
      </w:r>
      <w:r w:rsidR="00231734" w:rsidRPr="000A38E5">
        <w:rPr>
          <w:lang w:val="uk-UA"/>
        </w:rPr>
        <w:t>На одному з уривків можна побачити працівника, який починає пиляти дерево бензопилою</w:t>
      </w:r>
      <w:r w:rsidR="00D83351" w:rsidRPr="00E93710">
        <w:rPr>
          <w:lang w:val="uk-UA"/>
        </w:rPr>
        <w:t xml:space="preserve">, </w:t>
      </w:r>
      <w:r w:rsidR="00231734" w:rsidRPr="000A38E5">
        <w:rPr>
          <w:lang w:val="uk-UA"/>
        </w:rPr>
        <w:t>після чого особа у цивільному одязі</w:t>
      </w:r>
      <w:r w:rsidR="00D83351" w:rsidRPr="00E93710">
        <w:rPr>
          <w:lang w:val="uk-UA"/>
        </w:rPr>
        <w:t xml:space="preserve"> </w:t>
      </w:r>
      <w:r w:rsidR="00231734" w:rsidRPr="000A38E5">
        <w:rPr>
          <w:lang w:val="uk-UA"/>
        </w:rPr>
        <w:t>підходить та ставить ногу на ствол дерева у місці, де робітник намагається пиляти</w:t>
      </w:r>
      <w:r w:rsidR="00D83351" w:rsidRPr="00E93710">
        <w:rPr>
          <w:lang w:val="uk-UA"/>
        </w:rPr>
        <w:t xml:space="preserve">. </w:t>
      </w:r>
      <w:r w:rsidR="00231734" w:rsidRPr="000A38E5">
        <w:rPr>
          <w:lang w:val="uk-UA"/>
        </w:rPr>
        <w:t>Робітник відходить</w:t>
      </w:r>
      <w:r w:rsidR="00D83351" w:rsidRPr="00E93710">
        <w:rPr>
          <w:lang w:val="uk-UA"/>
        </w:rPr>
        <w:t>.</w:t>
      </w:r>
    </w:p>
    <w:bookmarkStart w:id="18" w:name="video_25_May"/>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35</w:t>
      </w:r>
      <w:r w:rsidRPr="00E93710">
        <w:rPr>
          <w:noProof/>
          <w:lang w:val="uk-UA"/>
        </w:rPr>
        <w:fldChar w:fldCharType="end"/>
      </w:r>
      <w:bookmarkEnd w:id="18"/>
      <w:r w:rsidR="00D83351" w:rsidRPr="00E93710">
        <w:rPr>
          <w:lang w:val="uk-UA"/>
        </w:rPr>
        <w:t>.</w:t>
      </w:r>
      <w:r w:rsidR="00334477" w:rsidRPr="000A38E5">
        <w:rPr>
          <w:lang w:val="uk-UA"/>
        </w:rPr>
        <w:t xml:space="preserve"> </w:t>
      </w:r>
      <w:r w:rsidR="00C35158" w:rsidRPr="000A38E5">
        <w:rPr>
          <w:lang w:val="uk-UA"/>
        </w:rPr>
        <w:t>Матеріали за 25 травня демонструють</w:t>
      </w:r>
      <w:r w:rsidR="00D83351" w:rsidRPr="00E93710">
        <w:rPr>
          <w:lang w:val="uk-UA"/>
        </w:rPr>
        <w:t xml:space="preserve"> </w:t>
      </w:r>
      <w:r w:rsidR="00C35158" w:rsidRPr="000A38E5">
        <w:rPr>
          <w:lang w:val="uk-UA"/>
        </w:rPr>
        <w:t>велику кількість міліціонерів, які стоять рядами,</w:t>
      </w:r>
      <w:r w:rsidR="00D83351" w:rsidRPr="00E93710">
        <w:rPr>
          <w:lang w:val="uk-UA"/>
        </w:rPr>
        <w:t xml:space="preserve"> </w:t>
      </w:r>
      <w:r w:rsidR="00C35158" w:rsidRPr="000A38E5">
        <w:rPr>
          <w:lang w:val="uk-UA"/>
        </w:rPr>
        <w:t>не даючи протестуючим доступу до певних місць,</w:t>
      </w:r>
      <w:r w:rsidR="00D83351" w:rsidRPr="00E93710">
        <w:rPr>
          <w:lang w:val="uk-UA"/>
        </w:rPr>
        <w:t xml:space="preserve"> </w:t>
      </w:r>
      <w:r w:rsidR="00C35158" w:rsidRPr="000A38E5">
        <w:rPr>
          <w:lang w:val="uk-UA"/>
        </w:rPr>
        <w:t>в яких проходить повалення дерев, або відводячи деяких протестуючих</w:t>
      </w:r>
      <w:r w:rsidR="00D83351" w:rsidRPr="00E93710">
        <w:rPr>
          <w:lang w:val="uk-UA"/>
        </w:rPr>
        <w:t xml:space="preserve"> </w:t>
      </w:r>
      <w:r w:rsidR="00C35158" w:rsidRPr="000A38E5">
        <w:rPr>
          <w:lang w:val="uk-UA"/>
        </w:rPr>
        <w:t>від дерев</w:t>
      </w:r>
      <w:r w:rsidR="00E4255C" w:rsidRPr="000A38E5">
        <w:rPr>
          <w:lang w:val="uk-UA"/>
        </w:rPr>
        <w:t>,</w:t>
      </w:r>
      <w:r w:rsidR="00C35158" w:rsidRPr="000A38E5">
        <w:rPr>
          <w:lang w:val="uk-UA"/>
        </w:rPr>
        <w:t xml:space="preserve"> у той час як самі протестуючі намагаються за дерева чіплятися</w:t>
      </w:r>
      <w:r w:rsidR="00D83351" w:rsidRPr="00E93710">
        <w:rPr>
          <w:lang w:val="uk-UA"/>
        </w:rPr>
        <w:t xml:space="preserve">. </w:t>
      </w:r>
      <w:r w:rsidR="00C35158" w:rsidRPr="000A38E5">
        <w:rPr>
          <w:lang w:val="uk-UA"/>
        </w:rPr>
        <w:t>Видається, що протестуючих штовхають, тягають</w:t>
      </w:r>
      <w:r w:rsidR="00D83351" w:rsidRPr="00E93710">
        <w:rPr>
          <w:lang w:val="uk-UA"/>
        </w:rPr>
        <w:t xml:space="preserve"> </w:t>
      </w:r>
      <w:r w:rsidR="00C35158" w:rsidRPr="000A38E5">
        <w:rPr>
          <w:lang w:val="uk-UA"/>
        </w:rPr>
        <w:t>та відводять від зони повалення дерев,</w:t>
      </w:r>
      <w:r w:rsidR="00D83351" w:rsidRPr="00E93710">
        <w:rPr>
          <w:lang w:val="uk-UA"/>
        </w:rPr>
        <w:t xml:space="preserve"> </w:t>
      </w:r>
      <w:r w:rsidR="00C35158" w:rsidRPr="000A38E5">
        <w:rPr>
          <w:lang w:val="uk-UA"/>
        </w:rPr>
        <w:t>після чого відпускають</w:t>
      </w:r>
      <w:r w:rsidR="00D83351" w:rsidRPr="00E93710">
        <w:rPr>
          <w:lang w:val="uk-UA"/>
        </w:rPr>
        <w:t xml:space="preserve">. </w:t>
      </w:r>
      <w:r w:rsidR="00130E50" w:rsidRPr="000A38E5">
        <w:rPr>
          <w:lang w:val="uk-UA"/>
        </w:rPr>
        <w:t>Інший уривок демонструє, що міліція відштовхує деяких протестуючих,</w:t>
      </w:r>
      <w:r w:rsidR="00D83351" w:rsidRPr="00E93710">
        <w:rPr>
          <w:lang w:val="uk-UA"/>
        </w:rPr>
        <w:t xml:space="preserve"> </w:t>
      </w:r>
      <w:r w:rsidR="00130E50" w:rsidRPr="000A38E5">
        <w:rPr>
          <w:lang w:val="uk-UA"/>
        </w:rPr>
        <w:t>які намагаються підійти ближче до зони, де зрубують високе дерево</w:t>
      </w:r>
      <w:r w:rsidR="00D83351" w:rsidRPr="00E93710">
        <w:rPr>
          <w:lang w:val="uk-UA"/>
        </w:rPr>
        <w:t xml:space="preserve">. </w:t>
      </w:r>
      <w:r w:rsidR="00130E50" w:rsidRPr="000A38E5">
        <w:rPr>
          <w:lang w:val="uk-UA"/>
        </w:rPr>
        <w:t>Робітник починає пиляти дерево бензопилою</w:t>
      </w:r>
      <w:r w:rsidR="00D83351" w:rsidRPr="00E93710">
        <w:rPr>
          <w:lang w:val="uk-UA"/>
        </w:rPr>
        <w:t xml:space="preserve">, </w:t>
      </w:r>
      <w:r w:rsidR="00130E50" w:rsidRPr="000A38E5">
        <w:rPr>
          <w:lang w:val="uk-UA"/>
        </w:rPr>
        <w:t>зупиняється ненадовго, протестуючий підходить та обіймає дерево</w:t>
      </w:r>
      <w:r w:rsidR="00D83351" w:rsidRPr="00E93710">
        <w:rPr>
          <w:lang w:val="uk-UA"/>
        </w:rPr>
        <w:t xml:space="preserve">, </w:t>
      </w:r>
      <w:r w:rsidR="00130E50" w:rsidRPr="000A38E5">
        <w:rPr>
          <w:lang w:val="uk-UA"/>
        </w:rPr>
        <w:t>не даючи працівнику продовжити</w:t>
      </w:r>
      <w:r w:rsidR="00D83351" w:rsidRPr="00E93710">
        <w:rPr>
          <w:lang w:val="uk-UA"/>
        </w:rPr>
        <w:t>.</w:t>
      </w:r>
    </w:p>
    <w:p w:rsidR="00D83351" w:rsidRPr="000A38E5" w:rsidRDefault="00D83351" w:rsidP="00852217">
      <w:pPr>
        <w:pStyle w:val="ECHRHeading2"/>
        <w:rPr>
          <w:lang w:val="uk-UA"/>
        </w:rPr>
      </w:pPr>
      <w:r w:rsidRPr="00E93710">
        <w:rPr>
          <w:lang w:val="uk-UA"/>
        </w:rPr>
        <w:t>E.</w:t>
      </w:r>
      <w:r w:rsidR="00334477" w:rsidRPr="000A38E5">
        <w:rPr>
          <w:lang w:val="uk-UA"/>
        </w:rPr>
        <w:t xml:space="preserve"> </w:t>
      </w:r>
      <w:proofErr w:type="spellStart"/>
      <w:r w:rsidR="00625A00" w:rsidRPr="000A38E5">
        <w:rPr>
          <w:lang w:val="uk-UA"/>
        </w:rPr>
        <w:t>Стверджувані</w:t>
      </w:r>
      <w:proofErr w:type="spellEnd"/>
      <w:r w:rsidR="00625A00" w:rsidRPr="000A38E5">
        <w:rPr>
          <w:lang w:val="uk-UA"/>
        </w:rPr>
        <w:t xml:space="preserve"> напади на заявників та інших протестуючих</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36</w:t>
      </w:r>
      <w:r w:rsidRPr="00E93710">
        <w:rPr>
          <w:noProof/>
          <w:lang w:val="uk-UA"/>
        </w:rPr>
        <w:fldChar w:fldCharType="end"/>
      </w:r>
      <w:r w:rsidR="00D83351" w:rsidRPr="00E93710">
        <w:rPr>
          <w:lang w:val="uk-UA"/>
        </w:rPr>
        <w:t>.</w:t>
      </w:r>
      <w:r w:rsidR="00334477" w:rsidRPr="000A38E5">
        <w:rPr>
          <w:lang w:val="uk-UA"/>
        </w:rPr>
        <w:t xml:space="preserve"> </w:t>
      </w:r>
      <w:r w:rsidR="00625A00" w:rsidRPr="000A38E5">
        <w:rPr>
          <w:lang w:val="uk-UA"/>
        </w:rPr>
        <w:t xml:space="preserve">Заявники </w:t>
      </w:r>
      <w:r w:rsidR="00E4255C" w:rsidRPr="000A38E5">
        <w:rPr>
          <w:lang w:val="uk-UA"/>
        </w:rPr>
        <w:t xml:space="preserve">заявляли </w:t>
      </w:r>
      <w:r w:rsidR="00625A00" w:rsidRPr="000A38E5">
        <w:rPr>
          <w:lang w:val="uk-UA"/>
        </w:rPr>
        <w:t>про кілька «нападів» на них та інших протестуючих</w:t>
      </w:r>
      <w:r w:rsidR="00D83351" w:rsidRPr="00E93710">
        <w:rPr>
          <w:lang w:val="uk-UA"/>
        </w:rPr>
        <w:t xml:space="preserve"> </w:t>
      </w:r>
      <w:r w:rsidR="00625A00" w:rsidRPr="000A38E5">
        <w:rPr>
          <w:lang w:val="uk-UA"/>
        </w:rPr>
        <w:t>з боку охоронців та робітників у період з</w:t>
      </w:r>
      <w:r w:rsidR="00D83351" w:rsidRPr="00E93710">
        <w:rPr>
          <w:lang w:val="uk-UA"/>
        </w:rPr>
        <w:t xml:space="preserve"> 20 </w:t>
      </w:r>
      <w:r w:rsidR="00625A00" w:rsidRPr="000A38E5">
        <w:rPr>
          <w:lang w:val="uk-UA"/>
        </w:rPr>
        <w:t>травня до 2 червня</w:t>
      </w:r>
      <w:r w:rsidR="00D83351" w:rsidRPr="00E93710">
        <w:rPr>
          <w:lang w:val="uk-UA"/>
        </w:rPr>
        <w:t xml:space="preserve"> 2010</w:t>
      </w:r>
      <w:r w:rsidR="006D70C2" w:rsidRPr="00E93710">
        <w:rPr>
          <w:lang w:val="uk-UA"/>
        </w:rPr>
        <w:t xml:space="preserve"> р</w:t>
      </w:r>
      <w:r w:rsidR="00E4255C" w:rsidRPr="00E93710">
        <w:rPr>
          <w:lang w:val="uk-UA"/>
        </w:rPr>
        <w:t>оку</w:t>
      </w:r>
      <w:r w:rsidR="00D83351" w:rsidRPr="00E93710">
        <w:rPr>
          <w:lang w:val="uk-UA"/>
        </w:rPr>
        <w:t xml:space="preserve">. </w:t>
      </w:r>
      <w:r w:rsidR="004E581D" w:rsidRPr="000A38E5">
        <w:rPr>
          <w:lang w:val="uk-UA"/>
        </w:rPr>
        <w:t xml:space="preserve">Слід зокрема зазначити наступні </w:t>
      </w:r>
      <w:proofErr w:type="spellStart"/>
      <w:r w:rsidR="004E581D" w:rsidRPr="000A38E5">
        <w:rPr>
          <w:lang w:val="uk-UA"/>
        </w:rPr>
        <w:t>стверджувані</w:t>
      </w:r>
      <w:proofErr w:type="spellEnd"/>
      <w:r w:rsidR="004E581D" w:rsidRPr="000A38E5">
        <w:rPr>
          <w:lang w:val="uk-UA"/>
        </w:rPr>
        <w:t xml:space="preserve"> інциденти</w:t>
      </w:r>
      <w:r w:rsidR="00D83351" w:rsidRPr="00E93710">
        <w:rPr>
          <w:lang w:val="uk-UA"/>
        </w:rPr>
        <w:t>.</w:t>
      </w:r>
    </w:p>
    <w:p w:rsidR="00D83351" w:rsidRPr="000A38E5" w:rsidRDefault="00D83351" w:rsidP="00852217">
      <w:pPr>
        <w:pStyle w:val="ECHRHeading3"/>
        <w:rPr>
          <w:lang w:val="uk-UA"/>
        </w:rPr>
      </w:pPr>
      <w:r w:rsidRPr="00E93710">
        <w:rPr>
          <w:lang w:val="uk-UA"/>
        </w:rPr>
        <w:t>1.</w:t>
      </w:r>
      <w:r w:rsidR="00334477" w:rsidRPr="000A38E5">
        <w:rPr>
          <w:lang w:val="uk-UA"/>
        </w:rPr>
        <w:t xml:space="preserve"> </w:t>
      </w:r>
      <w:r w:rsidR="00C534C9" w:rsidRPr="000A38E5">
        <w:rPr>
          <w:lang w:val="uk-UA"/>
        </w:rPr>
        <w:t>Інцидент 27 травня</w:t>
      </w:r>
      <w:r w:rsidRPr="00E93710">
        <w:rPr>
          <w:lang w:val="uk-UA"/>
        </w:rPr>
        <w:t xml:space="preserve"> 2010</w:t>
      </w:r>
      <w:r w:rsidR="00C534C9" w:rsidRPr="000A38E5">
        <w:rPr>
          <w:lang w:val="uk-UA"/>
        </w:rPr>
        <w:t xml:space="preserve"> р.</w:t>
      </w:r>
    </w:p>
    <w:bookmarkStart w:id="19" w:name="ninth_applicant_injuries"/>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37</w:t>
      </w:r>
      <w:r w:rsidRPr="00E93710">
        <w:rPr>
          <w:noProof/>
          <w:lang w:val="uk-UA"/>
        </w:rPr>
        <w:fldChar w:fldCharType="end"/>
      </w:r>
      <w:bookmarkEnd w:id="19"/>
      <w:r w:rsidR="00D83351" w:rsidRPr="00E93710">
        <w:rPr>
          <w:lang w:val="uk-UA"/>
        </w:rPr>
        <w:t>.</w:t>
      </w:r>
      <w:r w:rsidR="00334477" w:rsidRPr="000A38E5">
        <w:rPr>
          <w:lang w:val="uk-UA"/>
        </w:rPr>
        <w:t xml:space="preserve"> </w:t>
      </w:r>
      <w:r w:rsidR="00C534C9" w:rsidRPr="000A38E5">
        <w:rPr>
          <w:lang w:val="uk-UA"/>
        </w:rPr>
        <w:t>За словами заявників, 27 травня</w:t>
      </w:r>
      <w:r w:rsidR="00D83351" w:rsidRPr="00E93710">
        <w:rPr>
          <w:lang w:val="uk-UA"/>
        </w:rPr>
        <w:t xml:space="preserve"> 2010 </w:t>
      </w:r>
      <w:r w:rsidR="00C534C9" w:rsidRPr="000A38E5">
        <w:rPr>
          <w:lang w:val="uk-UA"/>
        </w:rPr>
        <w:t>р</w:t>
      </w:r>
      <w:r w:rsidR="00E4255C" w:rsidRPr="000A38E5">
        <w:rPr>
          <w:lang w:val="uk-UA"/>
        </w:rPr>
        <w:t>оку</w:t>
      </w:r>
      <w:r w:rsidR="00C534C9" w:rsidRPr="000A38E5">
        <w:rPr>
          <w:lang w:val="uk-UA"/>
        </w:rPr>
        <w:t xml:space="preserve"> дев’ятий заявник був побитий непізнаними людьми в помаранчевих жилетках</w:t>
      </w:r>
      <w:r w:rsidR="00D83351" w:rsidRPr="00E93710">
        <w:rPr>
          <w:lang w:val="uk-UA"/>
        </w:rPr>
        <w:t>.</w:t>
      </w:r>
    </w:p>
    <w:p w:rsidR="00D83351" w:rsidRPr="00E93710" w:rsidRDefault="00C534C9" w:rsidP="00852217">
      <w:pPr>
        <w:pStyle w:val="ECHRPara"/>
        <w:rPr>
          <w:lang w:val="uk-UA"/>
        </w:rPr>
      </w:pPr>
      <w:r w:rsidRPr="000A38E5">
        <w:rPr>
          <w:lang w:val="uk-UA"/>
        </w:rPr>
        <w:t>Була викликана швидка допомога і дев’ятий заявник був відправлений до лікарні,</w:t>
      </w:r>
      <w:r w:rsidR="00D83351" w:rsidRPr="00E93710">
        <w:rPr>
          <w:lang w:val="uk-UA"/>
        </w:rPr>
        <w:t xml:space="preserve"> </w:t>
      </w:r>
      <w:r w:rsidRPr="000A38E5">
        <w:rPr>
          <w:lang w:val="uk-UA"/>
        </w:rPr>
        <w:t>де йому діагностували ушкодження м’яких тканин голови та обличчя</w:t>
      </w:r>
      <w:r w:rsidR="00D83351" w:rsidRPr="00E93710">
        <w:rPr>
          <w:lang w:val="uk-UA"/>
        </w:rPr>
        <w:t xml:space="preserve">, </w:t>
      </w:r>
      <w:r w:rsidRPr="000A38E5">
        <w:rPr>
          <w:lang w:val="uk-UA"/>
        </w:rPr>
        <w:t>і він пройшов амбулаторне лікування</w:t>
      </w:r>
      <w:r w:rsidR="00D83351" w:rsidRPr="00E93710">
        <w:rPr>
          <w:lang w:val="uk-UA"/>
        </w:rPr>
        <w:t xml:space="preserve">. </w:t>
      </w:r>
      <w:r w:rsidR="001959E3" w:rsidRPr="000A38E5">
        <w:rPr>
          <w:lang w:val="uk-UA"/>
        </w:rPr>
        <w:t>Того ж дня він подав скаргу до районної міліції</w:t>
      </w:r>
      <w:r w:rsidR="00D83351" w:rsidRPr="00E93710">
        <w:rPr>
          <w:lang w:val="uk-UA"/>
        </w:rPr>
        <w:t xml:space="preserve">, </w:t>
      </w:r>
      <w:r w:rsidR="001959E3" w:rsidRPr="000A38E5">
        <w:rPr>
          <w:lang w:val="uk-UA"/>
        </w:rPr>
        <w:t xml:space="preserve">стверджуючи, що його побили в ході подій у парку </w:t>
      </w:r>
      <w:r w:rsidR="0085000B" w:rsidRPr="000A38E5">
        <w:rPr>
          <w:lang w:val="uk-UA"/>
        </w:rPr>
        <w:t>ім.</w:t>
      </w:r>
      <w:r w:rsidR="001959E3" w:rsidRPr="000A38E5">
        <w:rPr>
          <w:lang w:val="uk-UA"/>
        </w:rPr>
        <w:t xml:space="preserve"> Горького</w:t>
      </w:r>
      <w:r w:rsidR="00D83351" w:rsidRPr="00E93710">
        <w:rPr>
          <w:lang w:val="uk-UA"/>
        </w:rPr>
        <w:t xml:space="preserve"> </w:t>
      </w:r>
      <w:r w:rsidR="001959E3" w:rsidRPr="000A38E5">
        <w:rPr>
          <w:lang w:val="uk-UA"/>
        </w:rPr>
        <w:t>біля дитячої залізниці</w:t>
      </w:r>
      <w:r w:rsidR="00D83351" w:rsidRPr="00E93710">
        <w:rPr>
          <w:lang w:val="uk-UA"/>
        </w:rPr>
        <w:t>.</w:t>
      </w:r>
    </w:p>
    <w:bookmarkStart w:id="20" w:name="video_27_May"/>
    <w:p w:rsidR="00D83351" w:rsidRPr="00E93710" w:rsidRDefault="004E7608" w:rsidP="00852217">
      <w:pPr>
        <w:pStyle w:val="ECHRPara"/>
        <w:rPr>
          <w:lang w:val="uk-UA"/>
        </w:rPr>
      </w:pPr>
      <w:r w:rsidRPr="00E93710">
        <w:rPr>
          <w:lang w:val="uk-UA"/>
        </w:rPr>
        <w:lastRenderedPageBreak/>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38</w:t>
      </w:r>
      <w:r w:rsidRPr="00E93710">
        <w:rPr>
          <w:noProof/>
          <w:lang w:val="uk-UA"/>
        </w:rPr>
        <w:fldChar w:fldCharType="end"/>
      </w:r>
      <w:bookmarkEnd w:id="20"/>
      <w:r w:rsidR="00D83351" w:rsidRPr="00E93710">
        <w:rPr>
          <w:lang w:val="uk-UA"/>
        </w:rPr>
        <w:t>.</w:t>
      </w:r>
      <w:r w:rsidR="00334477" w:rsidRPr="000A38E5">
        <w:rPr>
          <w:lang w:val="uk-UA"/>
        </w:rPr>
        <w:t xml:space="preserve"> </w:t>
      </w:r>
      <w:r w:rsidR="001A7226" w:rsidRPr="000A38E5">
        <w:rPr>
          <w:lang w:val="uk-UA"/>
        </w:rPr>
        <w:t>Фотографії та відео від 27 травня демонструють</w:t>
      </w:r>
      <w:r w:rsidR="00D83351" w:rsidRPr="00E93710">
        <w:rPr>
          <w:lang w:val="uk-UA"/>
        </w:rPr>
        <w:t xml:space="preserve"> </w:t>
      </w:r>
      <w:r w:rsidR="001A7226" w:rsidRPr="000A38E5">
        <w:rPr>
          <w:lang w:val="uk-UA"/>
        </w:rPr>
        <w:t>наступне</w:t>
      </w:r>
      <w:r w:rsidR="00D83351" w:rsidRPr="00E93710">
        <w:rPr>
          <w:lang w:val="uk-UA"/>
        </w:rPr>
        <w:t xml:space="preserve">: (i) </w:t>
      </w:r>
      <w:r w:rsidR="00C05742" w:rsidRPr="000A38E5">
        <w:rPr>
          <w:lang w:val="uk-UA"/>
        </w:rPr>
        <w:t>особа, яка представилася головою Департаменту муніципального будівництва,</w:t>
      </w:r>
      <w:r w:rsidR="00D83351" w:rsidRPr="000A38E5">
        <w:rPr>
          <w:lang w:val="uk-UA"/>
        </w:rPr>
        <w:t xml:space="preserve"> </w:t>
      </w:r>
      <w:r w:rsidR="00C05742" w:rsidRPr="000A38E5">
        <w:rPr>
          <w:lang w:val="uk-UA"/>
        </w:rPr>
        <w:t>оточена, як видається, іншими посадовими особами</w:t>
      </w:r>
      <w:r w:rsidR="00D83351" w:rsidRPr="000A38E5">
        <w:rPr>
          <w:lang w:val="uk-UA"/>
        </w:rPr>
        <w:t xml:space="preserve">, </w:t>
      </w:r>
      <w:r w:rsidR="00C05742" w:rsidRPr="000A38E5">
        <w:rPr>
          <w:lang w:val="uk-UA"/>
        </w:rPr>
        <w:t>у тому числі міліціонером</w:t>
      </w:r>
      <w:r w:rsidR="00D83351" w:rsidRPr="000A38E5">
        <w:rPr>
          <w:lang w:val="uk-UA"/>
        </w:rPr>
        <w:t xml:space="preserve">, </w:t>
      </w:r>
      <w:r w:rsidR="00C05742" w:rsidRPr="000A38E5">
        <w:rPr>
          <w:lang w:val="uk-UA"/>
        </w:rPr>
        <w:t>сперечається з протестуючими</w:t>
      </w:r>
      <w:r w:rsidR="00D83351" w:rsidRPr="000A38E5">
        <w:rPr>
          <w:lang w:val="uk-UA"/>
        </w:rPr>
        <w:t>; (</w:t>
      </w:r>
      <w:proofErr w:type="spellStart"/>
      <w:r w:rsidR="00D83351" w:rsidRPr="00E93710">
        <w:rPr>
          <w:lang w:val="uk-UA"/>
        </w:rPr>
        <w:t>ii</w:t>
      </w:r>
      <w:proofErr w:type="spellEnd"/>
      <w:r w:rsidR="00D83351" w:rsidRPr="000A38E5">
        <w:rPr>
          <w:lang w:val="uk-UA"/>
        </w:rPr>
        <w:t xml:space="preserve">) </w:t>
      </w:r>
      <w:r w:rsidR="00C05742" w:rsidRPr="000A38E5">
        <w:rPr>
          <w:lang w:val="uk-UA"/>
        </w:rPr>
        <w:t>група протестуючих стоїть перед бульдозером біля залізниці</w:t>
      </w:r>
      <w:r w:rsidR="00D83351" w:rsidRPr="000A38E5">
        <w:rPr>
          <w:lang w:val="uk-UA"/>
        </w:rPr>
        <w:t xml:space="preserve">. </w:t>
      </w:r>
      <w:r w:rsidR="00C05742" w:rsidRPr="000A38E5">
        <w:rPr>
          <w:lang w:val="uk-UA"/>
        </w:rPr>
        <w:t>Люди намагаються сісти на відвал</w:t>
      </w:r>
      <w:r w:rsidR="00D83351" w:rsidRPr="000A38E5">
        <w:rPr>
          <w:lang w:val="uk-UA"/>
        </w:rPr>
        <w:t xml:space="preserve">. </w:t>
      </w:r>
      <w:r w:rsidR="00C05742" w:rsidRPr="000A38E5">
        <w:rPr>
          <w:lang w:val="uk-UA"/>
        </w:rPr>
        <w:t>Декілька осіб у цивільному одязі безуспішно намагаються</w:t>
      </w:r>
      <w:r w:rsidR="00D83351" w:rsidRPr="000A38E5">
        <w:rPr>
          <w:lang w:val="uk-UA"/>
        </w:rPr>
        <w:t xml:space="preserve"> </w:t>
      </w:r>
      <w:r w:rsidR="00C05742" w:rsidRPr="000A38E5">
        <w:rPr>
          <w:lang w:val="uk-UA"/>
        </w:rPr>
        <w:t>відтягнути протестуючих</w:t>
      </w:r>
      <w:r w:rsidR="00D83351" w:rsidRPr="000A38E5">
        <w:rPr>
          <w:lang w:val="uk-UA"/>
        </w:rPr>
        <w:t xml:space="preserve">, </w:t>
      </w:r>
      <w:r w:rsidR="00C05742" w:rsidRPr="000A38E5">
        <w:rPr>
          <w:lang w:val="uk-UA"/>
        </w:rPr>
        <w:t>але їм вдається оточити відвал та заблокувати бульдозер</w:t>
      </w:r>
      <w:r w:rsidR="00D83351" w:rsidRPr="000A38E5">
        <w:rPr>
          <w:lang w:val="uk-UA"/>
        </w:rPr>
        <w:t>; (</w:t>
      </w:r>
      <w:proofErr w:type="spellStart"/>
      <w:r w:rsidR="00D83351" w:rsidRPr="00E93710">
        <w:rPr>
          <w:lang w:val="uk-UA"/>
        </w:rPr>
        <w:t>iii</w:t>
      </w:r>
      <w:proofErr w:type="spellEnd"/>
      <w:r w:rsidR="00D83351" w:rsidRPr="000A38E5">
        <w:rPr>
          <w:lang w:val="uk-UA"/>
        </w:rPr>
        <w:t xml:space="preserve">) </w:t>
      </w:r>
      <w:r w:rsidR="00C05742" w:rsidRPr="000A38E5">
        <w:rPr>
          <w:lang w:val="uk-UA"/>
        </w:rPr>
        <w:t>декілька осіб у помаранчевих жилетах</w:t>
      </w:r>
      <w:r w:rsidR="00D83351" w:rsidRPr="000A38E5">
        <w:rPr>
          <w:lang w:val="uk-UA"/>
        </w:rPr>
        <w:t xml:space="preserve"> </w:t>
      </w:r>
      <w:r w:rsidR="007F3F8E" w:rsidRPr="000A38E5">
        <w:rPr>
          <w:lang w:val="uk-UA"/>
        </w:rPr>
        <w:t>та група осіб у цивільному одязі сперечаються та хаотично штовхають одна одну</w:t>
      </w:r>
      <w:r w:rsidR="00D83351" w:rsidRPr="000A38E5">
        <w:rPr>
          <w:lang w:val="uk-UA"/>
        </w:rPr>
        <w:t xml:space="preserve"> </w:t>
      </w:r>
      <w:r w:rsidR="007F3F8E" w:rsidRPr="000A38E5">
        <w:rPr>
          <w:lang w:val="uk-UA"/>
        </w:rPr>
        <w:t>біля екскаватора</w:t>
      </w:r>
      <w:r w:rsidR="00D83351" w:rsidRPr="000A38E5">
        <w:rPr>
          <w:lang w:val="uk-UA"/>
        </w:rPr>
        <w:t xml:space="preserve">. </w:t>
      </w:r>
      <w:r w:rsidR="007F3F8E" w:rsidRPr="000A38E5">
        <w:rPr>
          <w:lang w:val="uk-UA"/>
        </w:rPr>
        <w:t>Декілька осіб у цивільному одязі</w:t>
      </w:r>
      <w:r w:rsidR="00812172" w:rsidRPr="000A38E5">
        <w:rPr>
          <w:lang w:val="uk-UA"/>
        </w:rPr>
        <w:t>,</w:t>
      </w:r>
      <w:r w:rsidR="00D83351" w:rsidRPr="00E93710">
        <w:rPr>
          <w:lang w:val="uk-UA"/>
        </w:rPr>
        <w:t xml:space="preserve"> </w:t>
      </w:r>
      <w:r w:rsidR="00812172" w:rsidRPr="000A38E5">
        <w:rPr>
          <w:lang w:val="uk-UA"/>
        </w:rPr>
        <w:t>як видається, на стороні протестуючих,</w:t>
      </w:r>
      <w:r w:rsidR="00D83351" w:rsidRPr="00E93710">
        <w:rPr>
          <w:lang w:val="uk-UA"/>
        </w:rPr>
        <w:t xml:space="preserve"> </w:t>
      </w:r>
      <w:r w:rsidR="00812172" w:rsidRPr="000A38E5">
        <w:rPr>
          <w:lang w:val="uk-UA"/>
        </w:rPr>
        <w:t>записують події на камери</w:t>
      </w:r>
      <w:r w:rsidR="00D83351" w:rsidRPr="00E93710">
        <w:rPr>
          <w:lang w:val="uk-UA"/>
        </w:rPr>
        <w:t xml:space="preserve">. </w:t>
      </w:r>
      <w:r w:rsidR="00812172" w:rsidRPr="000A38E5">
        <w:rPr>
          <w:lang w:val="uk-UA"/>
        </w:rPr>
        <w:t>Фотографії демонструють те, що видається деякими аспектами цих подій</w:t>
      </w:r>
      <w:r w:rsidR="00D83351" w:rsidRPr="00E93710">
        <w:rPr>
          <w:lang w:val="uk-UA"/>
        </w:rPr>
        <w:t xml:space="preserve">. </w:t>
      </w:r>
      <w:r w:rsidR="00812172" w:rsidRPr="000A38E5">
        <w:rPr>
          <w:lang w:val="uk-UA"/>
        </w:rPr>
        <w:t>На деяких фотографіях можна вперше побачити червоно-білу попереджуючу стрічку</w:t>
      </w:r>
      <w:r w:rsidR="00D83351" w:rsidRPr="00E93710">
        <w:rPr>
          <w:lang w:val="uk-UA"/>
        </w:rPr>
        <w:t>.</w:t>
      </w:r>
    </w:p>
    <w:p w:rsidR="00D83351" w:rsidRPr="000A38E5" w:rsidRDefault="00D83351" w:rsidP="00852217">
      <w:pPr>
        <w:pStyle w:val="ECHRHeading3"/>
        <w:rPr>
          <w:lang w:val="uk-UA"/>
        </w:rPr>
      </w:pPr>
      <w:r w:rsidRPr="00E93710">
        <w:rPr>
          <w:lang w:val="uk-UA"/>
        </w:rPr>
        <w:t>2.</w:t>
      </w:r>
      <w:r w:rsidR="00334477" w:rsidRPr="000A38E5">
        <w:rPr>
          <w:lang w:val="uk-UA"/>
        </w:rPr>
        <w:t xml:space="preserve"> </w:t>
      </w:r>
      <w:r w:rsidR="006A28A0" w:rsidRPr="000A38E5">
        <w:rPr>
          <w:lang w:val="uk-UA"/>
        </w:rPr>
        <w:t>Інцидент 31 травня</w:t>
      </w:r>
      <w:r w:rsidRPr="00E93710">
        <w:rPr>
          <w:lang w:val="uk-UA"/>
        </w:rPr>
        <w:t xml:space="preserve"> 2010</w:t>
      </w:r>
      <w:r w:rsidR="006A28A0" w:rsidRPr="000A38E5">
        <w:rPr>
          <w:lang w:val="uk-UA"/>
        </w:rPr>
        <w:t xml:space="preserve"> р.</w:t>
      </w:r>
    </w:p>
    <w:bookmarkStart w:id="21" w:name="seventh_applicant_injuries"/>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39</w:t>
      </w:r>
      <w:r w:rsidRPr="00E93710">
        <w:rPr>
          <w:lang w:val="uk-UA"/>
        </w:rPr>
        <w:fldChar w:fldCharType="end"/>
      </w:r>
      <w:bookmarkEnd w:id="21"/>
      <w:r w:rsidR="00D83351" w:rsidRPr="00E93710">
        <w:rPr>
          <w:lang w:val="uk-UA"/>
        </w:rPr>
        <w:t>.</w:t>
      </w:r>
      <w:r w:rsidR="00334477" w:rsidRPr="000A38E5">
        <w:rPr>
          <w:lang w:val="uk-UA"/>
        </w:rPr>
        <w:t xml:space="preserve"> </w:t>
      </w:r>
      <w:r w:rsidR="005215EC" w:rsidRPr="000A38E5">
        <w:rPr>
          <w:lang w:val="uk-UA"/>
        </w:rPr>
        <w:t>За словами заявників, 31 травня</w:t>
      </w:r>
      <w:r w:rsidR="00D83351" w:rsidRPr="00E93710">
        <w:rPr>
          <w:lang w:val="uk-UA"/>
        </w:rPr>
        <w:t xml:space="preserve"> 2010 </w:t>
      </w:r>
      <w:r w:rsidR="005215EC" w:rsidRPr="000A38E5">
        <w:rPr>
          <w:lang w:val="uk-UA"/>
        </w:rPr>
        <w:t>р</w:t>
      </w:r>
      <w:r w:rsidR="00E4255C" w:rsidRPr="000A38E5">
        <w:rPr>
          <w:lang w:val="uk-UA"/>
        </w:rPr>
        <w:t>оку</w:t>
      </w:r>
      <w:r w:rsidR="005215EC" w:rsidRPr="000A38E5">
        <w:rPr>
          <w:lang w:val="uk-UA"/>
        </w:rPr>
        <w:t xml:space="preserve"> на </w:t>
      </w:r>
      <w:r w:rsidR="004C0E11" w:rsidRPr="000A38E5">
        <w:rPr>
          <w:lang w:val="uk-UA"/>
        </w:rPr>
        <w:t>сьому заявницю</w:t>
      </w:r>
      <w:r w:rsidR="005215EC" w:rsidRPr="000A38E5">
        <w:rPr>
          <w:lang w:val="uk-UA"/>
        </w:rPr>
        <w:t xml:space="preserve"> напали люди у чорному одязі</w:t>
      </w:r>
      <w:r w:rsidR="00D83351" w:rsidRPr="00E93710">
        <w:rPr>
          <w:lang w:val="uk-UA"/>
        </w:rPr>
        <w:t xml:space="preserve"> </w:t>
      </w:r>
      <w:r w:rsidR="005215EC" w:rsidRPr="000A38E5">
        <w:rPr>
          <w:lang w:val="uk-UA"/>
        </w:rPr>
        <w:t xml:space="preserve">з відзнаками </w:t>
      </w:r>
      <w:proofErr w:type="spellStart"/>
      <w:r w:rsidR="005215EC" w:rsidRPr="000A38E5">
        <w:rPr>
          <w:lang w:val="uk-UA"/>
        </w:rPr>
        <w:t>МО</w:t>
      </w:r>
      <w:proofErr w:type="spellEnd"/>
      <w:r w:rsidR="005215EC" w:rsidRPr="000A38E5">
        <w:rPr>
          <w:lang w:val="uk-UA"/>
        </w:rPr>
        <w:t xml:space="preserve"> у відповідь на її протести</w:t>
      </w:r>
      <w:r w:rsidR="00D83351" w:rsidRPr="00E93710">
        <w:rPr>
          <w:lang w:val="uk-UA"/>
        </w:rPr>
        <w:t xml:space="preserve"> </w:t>
      </w:r>
      <w:r w:rsidR="005215EC" w:rsidRPr="000A38E5">
        <w:rPr>
          <w:lang w:val="uk-UA"/>
        </w:rPr>
        <w:t>проти побиття інших протестуючих</w:t>
      </w:r>
      <w:r w:rsidR="00D83351" w:rsidRPr="00E93710">
        <w:rPr>
          <w:lang w:val="uk-UA"/>
        </w:rPr>
        <w:t xml:space="preserve">. </w:t>
      </w:r>
      <w:r w:rsidR="00BA75B2" w:rsidRPr="000A38E5">
        <w:rPr>
          <w:lang w:val="uk-UA"/>
        </w:rPr>
        <w:t>За її словами, міліціонери, які стояли поруч, спостерігали за нападом,</w:t>
      </w:r>
      <w:r w:rsidR="00D83351" w:rsidRPr="00E93710">
        <w:rPr>
          <w:lang w:val="uk-UA"/>
        </w:rPr>
        <w:t xml:space="preserve"> </w:t>
      </w:r>
      <w:r w:rsidR="00BA75B2" w:rsidRPr="000A38E5">
        <w:rPr>
          <w:lang w:val="uk-UA"/>
        </w:rPr>
        <w:t>але не реагували на її крики про допомогу</w:t>
      </w:r>
      <w:r w:rsidR="00D83351" w:rsidRPr="00E93710">
        <w:rPr>
          <w:lang w:val="uk-UA"/>
        </w:rPr>
        <w:t>.</w:t>
      </w:r>
    </w:p>
    <w:p w:rsidR="00D83351" w:rsidRPr="00E93710" w:rsidRDefault="00BA75B2" w:rsidP="00852217">
      <w:pPr>
        <w:pStyle w:val="ECHRPara"/>
        <w:rPr>
          <w:lang w:val="uk-UA"/>
        </w:rPr>
      </w:pPr>
      <w:r w:rsidRPr="000A38E5">
        <w:rPr>
          <w:lang w:val="uk-UA"/>
        </w:rPr>
        <w:t>Того ж дня її відправили до лікарні на швидкій допомозі</w:t>
      </w:r>
      <w:r w:rsidR="00D83351" w:rsidRPr="00E93710">
        <w:rPr>
          <w:lang w:val="uk-UA"/>
        </w:rPr>
        <w:t xml:space="preserve">. </w:t>
      </w:r>
      <w:r w:rsidR="00C236E0" w:rsidRPr="000A38E5">
        <w:rPr>
          <w:lang w:val="uk-UA"/>
        </w:rPr>
        <w:t>В лікарні їй діагностували гіпертензію у зв’язку зі стресом</w:t>
      </w:r>
      <w:r w:rsidR="00D83351" w:rsidRPr="00E93710">
        <w:rPr>
          <w:lang w:val="uk-UA"/>
        </w:rPr>
        <w:t xml:space="preserve"> </w:t>
      </w:r>
      <w:r w:rsidR="00C236E0" w:rsidRPr="000A38E5">
        <w:rPr>
          <w:lang w:val="uk-UA"/>
        </w:rPr>
        <w:t>та контузію м’яких тканин попереку</w:t>
      </w:r>
      <w:r w:rsidR="00D83351" w:rsidRPr="00E93710">
        <w:rPr>
          <w:lang w:val="uk-UA"/>
        </w:rPr>
        <w:t xml:space="preserve">. </w:t>
      </w:r>
      <w:r w:rsidR="00C236E0" w:rsidRPr="000A38E5">
        <w:rPr>
          <w:lang w:val="uk-UA"/>
        </w:rPr>
        <w:t>Вона залишалася у лікарні з 10:00 до 16:00</w:t>
      </w:r>
      <w:r w:rsidR="00D83351" w:rsidRPr="00E93710">
        <w:rPr>
          <w:lang w:val="uk-UA"/>
        </w:rPr>
        <w:t xml:space="preserve"> </w:t>
      </w:r>
      <w:r w:rsidR="00C236E0" w:rsidRPr="000A38E5">
        <w:rPr>
          <w:lang w:val="uk-UA"/>
        </w:rPr>
        <w:t>того дня</w:t>
      </w:r>
      <w:r w:rsidR="00D83351" w:rsidRPr="00E93710">
        <w:rPr>
          <w:lang w:val="uk-UA"/>
        </w:rPr>
        <w:t>.</w:t>
      </w:r>
    </w:p>
    <w:p w:rsidR="00D83351" w:rsidRPr="00E93710" w:rsidRDefault="004E43BB" w:rsidP="00852217">
      <w:pPr>
        <w:pStyle w:val="ECHRPara"/>
        <w:rPr>
          <w:lang w:val="uk-UA"/>
        </w:rPr>
      </w:pPr>
      <w:r w:rsidRPr="000A38E5">
        <w:rPr>
          <w:lang w:val="uk-UA"/>
        </w:rPr>
        <w:t>1 червня</w:t>
      </w:r>
      <w:r w:rsidR="00D83351" w:rsidRPr="00E93710">
        <w:rPr>
          <w:lang w:val="uk-UA"/>
        </w:rPr>
        <w:t xml:space="preserve"> 2010 </w:t>
      </w:r>
      <w:r w:rsidRPr="000A38E5">
        <w:rPr>
          <w:lang w:val="uk-UA"/>
        </w:rPr>
        <w:t>р. сьома заявниця скаржилася голові районної міліції,</w:t>
      </w:r>
      <w:r w:rsidR="00D83351" w:rsidRPr="00E93710">
        <w:rPr>
          <w:lang w:val="uk-UA"/>
        </w:rPr>
        <w:t xml:space="preserve"> </w:t>
      </w:r>
      <w:r w:rsidRPr="000A38E5">
        <w:rPr>
          <w:lang w:val="uk-UA"/>
        </w:rPr>
        <w:t xml:space="preserve">що 31 травня її ударили по спині співробітники </w:t>
      </w:r>
      <w:proofErr w:type="spellStart"/>
      <w:r w:rsidRPr="000A38E5">
        <w:rPr>
          <w:lang w:val="uk-UA"/>
        </w:rPr>
        <w:t>МО</w:t>
      </w:r>
      <w:proofErr w:type="spellEnd"/>
      <w:r w:rsidR="00D83351" w:rsidRPr="00E93710">
        <w:rPr>
          <w:lang w:val="uk-UA"/>
        </w:rPr>
        <w:t>.</w:t>
      </w:r>
    </w:p>
    <w:bookmarkStart w:id="22" w:name="video_31_May"/>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40</w:t>
      </w:r>
      <w:r w:rsidRPr="00E93710">
        <w:rPr>
          <w:noProof/>
          <w:lang w:val="uk-UA"/>
        </w:rPr>
        <w:fldChar w:fldCharType="end"/>
      </w:r>
      <w:bookmarkEnd w:id="22"/>
      <w:r w:rsidR="00D83351" w:rsidRPr="00E93710">
        <w:rPr>
          <w:lang w:val="uk-UA"/>
        </w:rPr>
        <w:t>.</w:t>
      </w:r>
      <w:r w:rsidR="00334477" w:rsidRPr="000A38E5">
        <w:rPr>
          <w:lang w:val="uk-UA"/>
        </w:rPr>
        <w:t xml:space="preserve"> </w:t>
      </w:r>
      <w:r w:rsidR="00D97003" w:rsidRPr="000A38E5">
        <w:rPr>
          <w:lang w:val="uk-UA"/>
        </w:rPr>
        <w:t>Фотографії та відео від 31 травня</w:t>
      </w:r>
      <w:r w:rsidR="00D83351" w:rsidRPr="00E93710">
        <w:rPr>
          <w:lang w:val="uk-UA"/>
        </w:rPr>
        <w:t xml:space="preserve"> </w:t>
      </w:r>
      <w:r w:rsidR="00D97003" w:rsidRPr="000A38E5">
        <w:rPr>
          <w:lang w:val="uk-UA"/>
        </w:rPr>
        <w:t xml:space="preserve">демонструють інший </w:t>
      </w:r>
      <w:r w:rsidR="00E4255C" w:rsidRPr="000A38E5">
        <w:rPr>
          <w:lang w:val="uk-UA"/>
        </w:rPr>
        <w:t xml:space="preserve">бурхливий </w:t>
      </w:r>
      <w:r w:rsidR="00D97003" w:rsidRPr="000A38E5">
        <w:rPr>
          <w:lang w:val="uk-UA"/>
        </w:rPr>
        <w:t>інцидент</w:t>
      </w:r>
      <w:r w:rsidR="00D83351" w:rsidRPr="00E93710">
        <w:rPr>
          <w:lang w:val="uk-UA"/>
        </w:rPr>
        <w:t xml:space="preserve">. </w:t>
      </w:r>
      <w:r w:rsidR="00437AC5" w:rsidRPr="000A38E5">
        <w:rPr>
          <w:lang w:val="uk-UA"/>
        </w:rPr>
        <w:t>На фоні чутно звук машин,</w:t>
      </w:r>
      <w:r w:rsidR="00D83351" w:rsidRPr="00E93710">
        <w:rPr>
          <w:lang w:val="uk-UA"/>
        </w:rPr>
        <w:t xml:space="preserve"> </w:t>
      </w:r>
      <w:r w:rsidR="00437AC5" w:rsidRPr="000A38E5">
        <w:rPr>
          <w:lang w:val="uk-UA"/>
        </w:rPr>
        <w:t>а люди у чорному одязі з відзнаками стикаються з великою групою</w:t>
      </w:r>
      <w:r w:rsidR="00D83351" w:rsidRPr="00E93710">
        <w:rPr>
          <w:lang w:val="uk-UA"/>
        </w:rPr>
        <w:t xml:space="preserve"> </w:t>
      </w:r>
      <w:r w:rsidR="00437AC5" w:rsidRPr="000A38E5">
        <w:rPr>
          <w:lang w:val="uk-UA"/>
        </w:rPr>
        <w:t>осіб у цивільному одязі</w:t>
      </w:r>
      <w:r w:rsidR="00D83351" w:rsidRPr="00E93710">
        <w:rPr>
          <w:lang w:val="uk-UA"/>
        </w:rPr>
        <w:t xml:space="preserve">. </w:t>
      </w:r>
      <w:r w:rsidR="00437AC5" w:rsidRPr="000A38E5">
        <w:rPr>
          <w:lang w:val="uk-UA"/>
        </w:rPr>
        <w:t>Вони відтягують деяких протестуючих від зони, яку намагаються охороняти</w:t>
      </w:r>
      <w:r w:rsidR="00D83351" w:rsidRPr="00E93710">
        <w:rPr>
          <w:lang w:val="uk-UA"/>
        </w:rPr>
        <w:t xml:space="preserve">. </w:t>
      </w:r>
      <w:r w:rsidR="00437AC5" w:rsidRPr="000A38E5">
        <w:rPr>
          <w:lang w:val="uk-UA"/>
        </w:rPr>
        <w:t>Після цього вони формують лінію «лікоть у лікоть» для перешкоджання доступу</w:t>
      </w:r>
      <w:r w:rsidR="00D83351" w:rsidRPr="00E93710">
        <w:rPr>
          <w:lang w:val="uk-UA"/>
        </w:rPr>
        <w:t xml:space="preserve">. </w:t>
      </w:r>
      <w:r w:rsidR="004C0E11" w:rsidRPr="000A38E5">
        <w:rPr>
          <w:lang w:val="uk-UA"/>
        </w:rPr>
        <w:t>Особи у цивільному одязі на стороні протестуючих знімають події на відео</w:t>
      </w:r>
      <w:r w:rsidR="00D83351" w:rsidRPr="00E93710">
        <w:rPr>
          <w:lang w:val="uk-UA"/>
        </w:rPr>
        <w:t xml:space="preserve">. </w:t>
      </w:r>
      <w:r w:rsidR="004C0E11" w:rsidRPr="000A38E5">
        <w:rPr>
          <w:lang w:val="uk-UA"/>
        </w:rPr>
        <w:t>Чутно вигуки «Міліція!» та «Викли</w:t>
      </w:r>
      <w:r w:rsidR="0070130A" w:rsidRPr="000A38E5">
        <w:rPr>
          <w:lang w:val="uk-UA"/>
        </w:rPr>
        <w:t>кай</w:t>
      </w:r>
      <w:r w:rsidR="004C0E11" w:rsidRPr="000A38E5">
        <w:rPr>
          <w:lang w:val="uk-UA"/>
        </w:rPr>
        <w:t>те швидку допомогу!».</w:t>
      </w:r>
      <w:r w:rsidR="00D83351" w:rsidRPr="00E93710">
        <w:rPr>
          <w:lang w:val="uk-UA"/>
        </w:rPr>
        <w:t xml:space="preserve"> </w:t>
      </w:r>
      <w:r w:rsidR="004C0E11" w:rsidRPr="000A38E5">
        <w:rPr>
          <w:lang w:val="uk-UA"/>
        </w:rPr>
        <w:t xml:space="preserve">Жінка </w:t>
      </w:r>
      <w:r w:rsidR="00E4255C" w:rsidRPr="000A38E5">
        <w:rPr>
          <w:lang w:val="uk-UA"/>
        </w:rPr>
        <w:t>(</w:t>
      </w:r>
      <w:r w:rsidR="004C0E11" w:rsidRPr="000A38E5">
        <w:rPr>
          <w:lang w:val="uk-UA"/>
        </w:rPr>
        <w:t>як видається, дев’ята заявниця</w:t>
      </w:r>
      <w:r w:rsidR="00E4255C" w:rsidRPr="000A38E5">
        <w:rPr>
          <w:lang w:val="uk-UA"/>
        </w:rPr>
        <w:t>)</w:t>
      </w:r>
      <w:r w:rsidR="004C0E11" w:rsidRPr="000A38E5">
        <w:rPr>
          <w:lang w:val="uk-UA"/>
        </w:rPr>
        <w:t xml:space="preserve"> лежить на асфальті, оточена </w:t>
      </w:r>
      <w:r w:rsidR="00E4255C" w:rsidRPr="000A38E5">
        <w:rPr>
          <w:lang w:val="uk-UA"/>
        </w:rPr>
        <w:t>натовпом</w:t>
      </w:r>
      <w:r w:rsidR="00D83351" w:rsidRPr="00E93710">
        <w:rPr>
          <w:lang w:val="uk-UA"/>
        </w:rPr>
        <w:t xml:space="preserve">. </w:t>
      </w:r>
      <w:r w:rsidR="000E26E1" w:rsidRPr="000A38E5">
        <w:rPr>
          <w:lang w:val="uk-UA"/>
        </w:rPr>
        <w:t>Прибуває швидка допомога та уводить її</w:t>
      </w:r>
      <w:r w:rsidR="00D83351" w:rsidRPr="00E93710">
        <w:rPr>
          <w:lang w:val="uk-UA"/>
        </w:rPr>
        <w:t xml:space="preserve">. </w:t>
      </w:r>
      <w:r w:rsidR="000E26E1" w:rsidRPr="000A38E5">
        <w:rPr>
          <w:lang w:val="uk-UA"/>
        </w:rPr>
        <w:t>Фотографії демонструють інші сцени, нібито зняті того ж дня</w:t>
      </w:r>
      <w:r w:rsidR="00D83351" w:rsidRPr="00E93710">
        <w:rPr>
          <w:lang w:val="uk-UA"/>
        </w:rPr>
        <w:t>: (i)</w:t>
      </w:r>
      <w:r w:rsidR="00121B3C" w:rsidRPr="00E93710">
        <w:rPr>
          <w:lang w:val="uk-UA"/>
        </w:rPr>
        <w:t> </w:t>
      </w:r>
      <w:r w:rsidR="000E26E1" w:rsidRPr="000A38E5">
        <w:rPr>
          <w:lang w:val="uk-UA"/>
        </w:rPr>
        <w:t xml:space="preserve">особі, </w:t>
      </w:r>
      <w:r w:rsidR="00E4255C" w:rsidRPr="000A38E5">
        <w:rPr>
          <w:lang w:val="uk-UA"/>
        </w:rPr>
        <w:t xml:space="preserve">очевидно </w:t>
      </w:r>
      <w:r w:rsidR="000E26E1" w:rsidRPr="000A38E5">
        <w:rPr>
          <w:lang w:val="uk-UA"/>
        </w:rPr>
        <w:t>протестуючі</w:t>
      </w:r>
      <w:r w:rsidR="00D83351" w:rsidRPr="00E93710">
        <w:rPr>
          <w:lang w:val="uk-UA"/>
        </w:rPr>
        <w:t xml:space="preserve">, </w:t>
      </w:r>
      <w:r w:rsidR="000E26E1" w:rsidRPr="000A38E5">
        <w:rPr>
          <w:lang w:val="uk-UA"/>
        </w:rPr>
        <w:t>сидять у групах біля дерев з лозунгами</w:t>
      </w:r>
      <w:r w:rsidR="00D83351" w:rsidRPr="00E93710">
        <w:rPr>
          <w:lang w:val="uk-UA"/>
        </w:rPr>
        <w:t>; (</w:t>
      </w:r>
      <w:proofErr w:type="spellStart"/>
      <w:r w:rsidR="00D83351" w:rsidRPr="00E93710">
        <w:rPr>
          <w:lang w:val="uk-UA"/>
        </w:rPr>
        <w:t>ii</w:t>
      </w:r>
      <w:proofErr w:type="spellEnd"/>
      <w:r w:rsidR="00D83351" w:rsidRPr="00E93710">
        <w:rPr>
          <w:lang w:val="uk-UA"/>
        </w:rPr>
        <w:t xml:space="preserve">) </w:t>
      </w:r>
      <w:r w:rsidR="000E26E1" w:rsidRPr="000A38E5">
        <w:rPr>
          <w:lang w:val="uk-UA"/>
        </w:rPr>
        <w:t>особи у чорному одязі з відзнаками стикаються з особами у цивільному одязі</w:t>
      </w:r>
      <w:r w:rsidR="00D83351" w:rsidRPr="00E93710">
        <w:rPr>
          <w:lang w:val="uk-UA"/>
        </w:rPr>
        <w:t xml:space="preserve">, </w:t>
      </w:r>
      <w:r w:rsidR="000E26E1" w:rsidRPr="000A38E5">
        <w:rPr>
          <w:lang w:val="uk-UA"/>
        </w:rPr>
        <w:t>відштовхуючи їх</w:t>
      </w:r>
      <w:r w:rsidR="00D83351" w:rsidRPr="00E93710">
        <w:rPr>
          <w:lang w:val="uk-UA"/>
        </w:rPr>
        <w:t>; (</w:t>
      </w:r>
      <w:proofErr w:type="spellStart"/>
      <w:r w:rsidR="00D83351" w:rsidRPr="00E93710">
        <w:rPr>
          <w:lang w:val="uk-UA"/>
        </w:rPr>
        <w:t>iii</w:t>
      </w:r>
      <w:proofErr w:type="spellEnd"/>
      <w:r w:rsidR="00D83351" w:rsidRPr="00E93710">
        <w:rPr>
          <w:lang w:val="uk-UA"/>
        </w:rPr>
        <w:t xml:space="preserve">) </w:t>
      </w:r>
      <w:r w:rsidR="000E26E1" w:rsidRPr="000A38E5">
        <w:rPr>
          <w:lang w:val="uk-UA"/>
        </w:rPr>
        <w:t>особа у чорному одязі стикається з групою протестуючих,</w:t>
      </w:r>
      <w:r w:rsidR="00D83351" w:rsidRPr="00E93710">
        <w:rPr>
          <w:lang w:val="uk-UA"/>
        </w:rPr>
        <w:t xml:space="preserve"> </w:t>
      </w:r>
      <w:r w:rsidR="000E26E1" w:rsidRPr="000A38E5">
        <w:rPr>
          <w:lang w:val="uk-UA"/>
        </w:rPr>
        <w:t>які сидять на землі та тримаються за дерево</w:t>
      </w:r>
      <w:r w:rsidR="00D83351" w:rsidRPr="00E93710">
        <w:rPr>
          <w:lang w:val="uk-UA"/>
        </w:rPr>
        <w:t>.</w:t>
      </w:r>
    </w:p>
    <w:p w:rsidR="00D83351" w:rsidRPr="000A38E5" w:rsidRDefault="00D83351" w:rsidP="00852217">
      <w:pPr>
        <w:pStyle w:val="ECHRHeading3"/>
        <w:rPr>
          <w:lang w:val="uk-UA"/>
        </w:rPr>
      </w:pPr>
      <w:r w:rsidRPr="00E93710">
        <w:rPr>
          <w:lang w:val="uk-UA"/>
        </w:rPr>
        <w:t>3.</w:t>
      </w:r>
      <w:r w:rsidR="00334477" w:rsidRPr="000A38E5">
        <w:rPr>
          <w:lang w:val="uk-UA"/>
        </w:rPr>
        <w:t xml:space="preserve"> </w:t>
      </w:r>
      <w:r w:rsidR="00CE5B75" w:rsidRPr="000A38E5">
        <w:rPr>
          <w:lang w:val="uk-UA"/>
        </w:rPr>
        <w:t>Інцидент 2 червня</w:t>
      </w:r>
      <w:r w:rsidRPr="00E93710">
        <w:rPr>
          <w:lang w:val="uk-UA"/>
        </w:rPr>
        <w:t xml:space="preserve"> 2010</w:t>
      </w:r>
      <w:r w:rsidR="00CE5B75" w:rsidRPr="000A38E5">
        <w:rPr>
          <w:lang w:val="uk-UA"/>
        </w:rPr>
        <w:t xml:space="preserve"> р.</w:t>
      </w:r>
    </w:p>
    <w:bookmarkStart w:id="23" w:name="events_of_2june_2versions"/>
    <w:p w:rsidR="00D83351" w:rsidRPr="00E93710" w:rsidRDefault="004E7608" w:rsidP="00852217">
      <w:pPr>
        <w:pStyle w:val="ECHRPara"/>
        <w:rPr>
          <w:lang w:val="uk-UA"/>
        </w:rPr>
      </w:pPr>
      <w:r w:rsidRPr="00E93710">
        <w:rPr>
          <w:lang w:val="uk-UA"/>
        </w:rPr>
        <w:fldChar w:fldCharType="begin"/>
      </w:r>
      <w:r w:rsidR="00D83351" w:rsidRPr="000A38E5">
        <w:rPr>
          <w:lang w:val="uk-UA"/>
        </w:rPr>
        <w:instrText xml:space="preserve"> </w:instrText>
      </w:r>
      <w:r w:rsidR="00D83351" w:rsidRPr="00E93710">
        <w:rPr>
          <w:lang w:val="uk-UA"/>
        </w:rPr>
        <w:instrText>SEQ</w:instrText>
      </w:r>
      <w:r w:rsidR="00D83351" w:rsidRPr="000A38E5">
        <w:rPr>
          <w:lang w:val="uk-UA"/>
        </w:rPr>
        <w:instrText xml:space="preserve"> </w:instrText>
      </w:r>
      <w:r w:rsidR="00D83351" w:rsidRPr="00E93710">
        <w:rPr>
          <w:lang w:val="uk-UA"/>
        </w:rPr>
        <w:instrText>level</w:instrText>
      </w:r>
      <w:r w:rsidR="00D83351" w:rsidRPr="000A38E5">
        <w:rPr>
          <w:lang w:val="uk-UA"/>
        </w:rPr>
        <w:instrText>0 \*</w:instrText>
      </w:r>
      <w:r w:rsidR="00D83351" w:rsidRPr="00E93710">
        <w:rPr>
          <w:lang w:val="uk-UA"/>
        </w:rPr>
        <w:instrText>arabic</w:instrText>
      </w:r>
      <w:r w:rsidR="00D83351" w:rsidRPr="000A38E5">
        <w:rPr>
          <w:lang w:val="uk-UA"/>
        </w:rPr>
        <w:instrText xml:space="preserve"> </w:instrText>
      </w:r>
      <w:r w:rsidRPr="00E93710">
        <w:rPr>
          <w:lang w:val="uk-UA"/>
        </w:rPr>
        <w:fldChar w:fldCharType="separate"/>
      </w:r>
      <w:r w:rsidR="0075299E" w:rsidRPr="00E93710">
        <w:rPr>
          <w:noProof/>
          <w:lang w:val="uk-UA"/>
        </w:rPr>
        <w:t>41</w:t>
      </w:r>
      <w:r w:rsidRPr="00E93710">
        <w:rPr>
          <w:noProof/>
          <w:lang w:val="uk-UA"/>
        </w:rPr>
        <w:fldChar w:fldCharType="end"/>
      </w:r>
      <w:bookmarkEnd w:id="23"/>
      <w:r w:rsidR="00D83351" w:rsidRPr="000A38E5">
        <w:rPr>
          <w:lang w:val="uk-UA"/>
        </w:rPr>
        <w:t>.</w:t>
      </w:r>
      <w:r w:rsidR="00334477" w:rsidRPr="000A38E5">
        <w:rPr>
          <w:lang w:val="uk-UA"/>
        </w:rPr>
        <w:t xml:space="preserve"> </w:t>
      </w:r>
      <w:r w:rsidR="00881BFF" w:rsidRPr="000A38E5">
        <w:rPr>
          <w:lang w:val="uk-UA"/>
        </w:rPr>
        <w:t>За словами заявників</w:t>
      </w:r>
      <w:r w:rsidR="00D83351" w:rsidRPr="000A38E5">
        <w:rPr>
          <w:lang w:val="uk-UA"/>
        </w:rPr>
        <w:t xml:space="preserve">, </w:t>
      </w:r>
      <w:r w:rsidR="00881BFF" w:rsidRPr="000A38E5">
        <w:rPr>
          <w:lang w:val="uk-UA"/>
        </w:rPr>
        <w:t>2 червня</w:t>
      </w:r>
      <w:r w:rsidR="00D83351" w:rsidRPr="000A38E5">
        <w:rPr>
          <w:lang w:val="uk-UA"/>
        </w:rPr>
        <w:t xml:space="preserve"> 2010 </w:t>
      </w:r>
      <w:r w:rsidR="00881BFF" w:rsidRPr="000A38E5">
        <w:rPr>
          <w:lang w:val="uk-UA"/>
        </w:rPr>
        <w:t>р</w:t>
      </w:r>
      <w:r w:rsidR="00E4255C" w:rsidRPr="000A38E5">
        <w:rPr>
          <w:lang w:val="uk-UA"/>
        </w:rPr>
        <w:t>оку</w:t>
      </w:r>
      <w:r w:rsidR="00881BFF" w:rsidRPr="000A38E5">
        <w:rPr>
          <w:lang w:val="uk-UA"/>
        </w:rPr>
        <w:t xml:space="preserve"> люди у чорному одязі з відзнаками </w:t>
      </w:r>
      <w:proofErr w:type="spellStart"/>
      <w:r w:rsidR="00881BFF" w:rsidRPr="000A38E5">
        <w:rPr>
          <w:lang w:val="uk-UA"/>
        </w:rPr>
        <w:t>МО</w:t>
      </w:r>
      <w:proofErr w:type="spellEnd"/>
      <w:r w:rsidR="00881BFF" w:rsidRPr="000A38E5">
        <w:rPr>
          <w:lang w:val="uk-UA"/>
        </w:rPr>
        <w:t xml:space="preserve"> та робітники</w:t>
      </w:r>
      <w:r w:rsidR="00D83351" w:rsidRPr="000A38E5">
        <w:rPr>
          <w:lang w:val="uk-UA"/>
        </w:rPr>
        <w:t xml:space="preserve"> </w:t>
      </w:r>
      <w:r w:rsidR="00881BFF" w:rsidRPr="000A38E5">
        <w:rPr>
          <w:lang w:val="uk-UA"/>
        </w:rPr>
        <w:t>намагалися звільнити місце будівництва від протестуючих</w:t>
      </w:r>
      <w:r w:rsidR="00D83351" w:rsidRPr="000A38E5">
        <w:rPr>
          <w:lang w:val="uk-UA"/>
        </w:rPr>
        <w:t xml:space="preserve">. </w:t>
      </w:r>
      <w:r w:rsidR="00881BFF" w:rsidRPr="000A38E5">
        <w:rPr>
          <w:lang w:val="uk-UA"/>
        </w:rPr>
        <w:t>У ході цього</w:t>
      </w:r>
      <w:r w:rsidR="00D83351" w:rsidRPr="000A38E5">
        <w:rPr>
          <w:lang w:val="uk-UA"/>
        </w:rPr>
        <w:t xml:space="preserve"> </w:t>
      </w:r>
      <w:r w:rsidR="00881BFF" w:rsidRPr="000A38E5">
        <w:rPr>
          <w:lang w:val="uk-UA"/>
        </w:rPr>
        <w:t>до третього заявника підійшли два робітника</w:t>
      </w:r>
      <w:r w:rsidR="00D83351" w:rsidRPr="000A38E5">
        <w:rPr>
          <w:lang w:val="uk-UA"/>
        </w:rPr>
        <w:t xml:space="preserve">, </w:t>
      </w:r>
      <w:r w:rsidR="00881BFF" w:rsidRPr="000A38E5">
        <w:rPr>
          <w:lang w:val="uk-UA"/>
        </w:rPr>
        <w:t>які пізніше були ідентифіковані, як А. та К</w:t>
      </w:r>
      <w:r w:rsidR="00D83351" w:rsidRPr="000A38E5">
        <w:rPr>
          <w:lang w:val="uk-UA"/>
        </w:rPr>
        <w:t xml:space="preserve">., </w:t>
      </w:r>
      <w:r w:rsidR="00881BFF" w:rsidRPr="000A38E5">
        <w:rPr>
          <w:lang w:val="uk-UA"/>
        </w:rPr>
        <w:t>працівники одного з субпідрядників</w:t>
      </w:r>
      <w:r w:rsidR="00D83351" w:rsidRPr="000A38E5">
        <w:rPr>
          <w:lang w:val="uk-UA"/>
        </w:rPr>
        <w:t xml:space="preserve">. </w:t>
      </w:r>
      <w:r w:rsidR="00881BFF" w:rsidRPr="000A38E5">
        <w:rPr>
          <w:lang w:val="uk-UA"/>
        </w:rPr>
        <w:t>Вони погрожували заявникові та групі інших протестуючих працюючими бензопилами</w:t>
      </w:r>
      <w:r w:rsidR="00D83351" w:rsidRPr="00E93710">
        <w:rPr>
          <w:lang w:val="uk-UA"/>
        </w:rPr>
        <w:t xml:space="preserve">. </w:t>
      </w:r>
      <w:r w:rsidR="00881BFF" w:rsidRPr="000A38E5">
        <w:rPr>
          <w:lang w:val="uk-UA"/>
        </w:rPr>
        <w:t>Один з них майже поранив третього заявника</w:t>
      </w:r>
      <w:r w:rsidR="00D83351" w:rsidRPr="00E93710">
        <w:rPr>
          <w:lang w:val="uk-UA"/>
        </w:rPr>
        <w:t>.</w:t>
      </w:r>
    </w:p>
    <w:p w:rsidR="00D83351" w:rsidRPr="00E93710" w:rsidRDefault="008C306F" w:rsidP="00852217">
      <w:pPr>
        <w:pStyle w:val="ECHRPara"/>
        <w:rPr>
          <w:lang w:val="uk-UA"/>
        </w:rPr>
      </w:pPr>
      <w:r w:rsidRPr="000A38E5">
        <w:rPr>
          <w:lang w:val="uk-UA"/>
        </w:rPr>
        <w:t xml:space="preserve">Уряд </w:t>
      </w:r>
      <w:r w:rsidR="00E4255C" w:rsidRPr="000A38E5">
        <w:rPr>
          <w:lang w:val="uk-UA"/>
        </w:rPr>
        <w:t xml:space="preserve">навпаки </w:t>
      </w:r>
      <w:r w:rsidRPr="000A38E5">
        <w:rPr>
          <w:lang w:val="uk-UA"/>
        </w:rPr>
        <w:t>стверджував</w:t>
      </w:r>
      <w:r w:rsidR="00D83351" w:rsidRPr="00E93710">
        <w:rPr>
          <w:lang w:val="uk-UA"/>
        </w:rPr>
        <w:t xml:space="preserve">, </w:t>
      </w:r>
      <w:r w:rsidRPr="000A38E5">
        <w:rPr>
          <w:lang w:val="uk-UA"/>
        </w:rPr>
        <w:t>що протестуючі напали на робітників</w:t>
      </w:r>
      <w:r w:rsidR="00D83351" w:rsidRPr="00E93710">
        <w:rPr>
          <w:lang w:val="uk-UA"/>
        </w:rPr>
        <w:t xml:space="preserve">, </w:t>
      </w:r>
      <w:r w:rsidRPr="000A38E5">
        <w:rPr>
          <w:lang w:val="uk-UA"/>
        </w:rPr>
        <w:t>намагаючись відібрати бензопили, тому робітники були змушені відступити, щоб уникнути травм</w:t>
      </w:r>
      <w:r w:rsidR="00D83351" w:rsidRPr="00E93710">
        <w:rPr>
          <w:lang w:val="uk-UA"/>
        </w:rPr>
        <w:t xml:space="preserve">. </w:t>
      </w:r>
      <w:r w:rsidR="00BE46B4" w:rsidRPr="000A38E5">
        <w:rPr>
          <w:lang w:val="uk-UA"/>
        </w:rPr>
        <w:t>У своїх твердженнях у ході національного розслідування</w:t>
      </w:r>
      <w:r w:rsidR="00D83351" w:rsidRPr="00E93710">
        <w:rPr>
          <w:lang w:val="uk-UA"/>
        </w:rPr>
        <w:t xml:space="preserve">, </w:t>
      </w:r>
      <w:r w:rsidR="00BE46B4" w:rsidRPr="000A38E5">
        <w:rPr>
          <w:lang w:val="uk-UA"/>
        </w:rPr>
        <w:t>як підкреслюється у рішенні про відмову в порушенні кримінальної справи від</w:t>
      </w:r>
      <w:r w:rsidR="00D83351" w:rsidRPr="00E93710">
        <w:rPr>
          <w:lang w:val="uk-UA"/>
        </w:rPr>
        <w:t xml:space="preserve"> 9 </w:t>
      </w:r>
      <w:r w:rsidR="00BE46B4" w:rsidRPr="000A38E5">
        <w:rPr>
          <w:lang w:val="uk-UA"/>
        </w:rPr>
        <w:t>серпня</w:t>
      </w:r>
      <w:r w:rsidR="00D83351" w:rsidRPr="00E93710">
        <w:rPr>
          <w:lang w:val="uk-UA"/>
        </w:rPr>
        <w:t xml:space="preserve"> 2010</w:t>
      </w:r>
      <w:r w:rsidR="00BE46B4" w:rsidRPr="000A38E5">
        <w:rPr>
          <w:lang w:val="uk-UA"/>
        </w:rPr>
        <w:t xml:space="preserve"> р</w:t>
      </w:r>
      <w:r w:rsidR="00E4255C" w:rsidRPr="000A38E5">
        <w:rPr>
          <w:lang w:val="uk-UA"/>
        </w:rPr>
        <w:t>оку</w:t>
      </w:r>
      <w:r w:rsidR="00D83351" w:rsidRPr="00E93710">
        <w:rPr>
          <w:lang w:val="uk-UA"/>
        </w:rPr>
        <w:t xml:space="preserve"> (</w:t>
      </w:r>
      <w:r w:rsidR="00977056" w:rsidRPr="000A38E5">
        <w:rPr>
          <w:lang w:val="uk-UA"/>
        </w:rPr>
        <w:t>див. пункт</w:t>
      </w:r>
      <w:r w:rsidR="00D83351" w:rsidRPr="00E93710">
        <w:rPr>
          <w:lang w:val="uk-UA"/>
        </w:rPr>
        <w:t xml:space="preserve"> </w:t>
      </w:r>
      <w:fldSimple w:instr=" REF complaints_investigated \h  \* MERGEFORMAT ">
        <w:r w:rsidR="0075299E" w:rsidRPr="00E93710">
          <w:rPr>
            <w:noProof/>
            <w:lang w:val="uk-UA"/>
          </w:rPr>
          <w:t>81</w:t>
        </w:r>
      </w:fldSimple>
      <w:r w:rsidR="00D83351" w:rsidRPr="00E93710">
        <w:rPr>
          <w:lang w:val="uk-UA"/>
        </w:rPr>
        <w:t xml:space="preserve"> </w:t>
      </w:r>
      <w:r w:rsidR="00977056" w:rsidRPr="000A38E5">
        <w:rPr>
          <w:lang w:val="uk-UA"/>
        </w:rPr>
        <w:t>нижче</w:t>
      </w:r>
      <w:r w:rsidR="00D83351" w:rsidRPr="00E93710">
        <w:rPr>
          <w:lang w:val="uk-UA"/>
        </w:rPr>
        <w:t xml:space="preserve">), A. </w:t>
      </w:r>
      <w:r w:rsidR="00977056" w:rsidRPr="000A38E5">
        <w:rPr>
          <w:lang w:val="uk-UA"/>
        </w:rPr>
        <w:t>та</w:t>
      </w:r>
      <w:r w:rsidR="00D83351" w:rsidRPr="00E93710">
        <w:rPr>
          <w:lang w:val="uk-UA"/>
        </w:rPr>
        <w:t xml:space="preserve"> K. </w:t>
      </w:r>
      <w:r w:rsidR="00977056" w:rsidRPr="000A38E5">
        <w:rPr>
          <w:lang w:val="uk-UA"/>
        </w:rPr>
        <w:t>стверджували, що того дня</w:t>
      </w:r>
      <w:r w:rsidR="00977056" w:rsidRPr="00E93710">
        <w:rPr>
          <w:lang w:val="uk-UA"/>
        </w:rPr>
        <w:t>,</w:t>
      </w:r>
      <w:r w:rsidR="00D83351" w:rsidRPr="00E93710">
        <w:rPr>
          <w:lang w:val="uk-UA"/>
        </w:rPr>
        <w:t xml:space="preserve"> </w:t>
      </w:r>
      <w:r w:rsidR="00977056" w:rsidRPr="000A38E5">
        <w:rPr>
          <w:lang w:val="uk-UA"/>
        </w:rPr>
        <w:t xml:space="preserve">після прибуття на призначену ділянку в парку </w:t>
      </w:r>
      <w:r w:rsidR="0085000B" w:rsidRPr="000A38E5">
        <w:rPr>
          <w:lang w:val="uk-UA"/>
        </w:rPr>
        <w:t>ім.</w:t>
      </w:r>
      <w:r w:rsidR="00977056" w:rsidRPr="000A38E5">
        <w:rPr>
          <w:lang w:val="uk-UA"/>
        </w:rPr>
        <w:t xml:space="preserve"> Горького</w:t>
      </w:r>
      <w:r w:rsidR="00D83351" w:rsidRPr="00E93710">
        <w:rPr>
          <w:lang w:val="uk-UA"/>
        </w:rPr>
        <w:t xml:space="preserve">, </w:t>
      </w:r>
      <w:r w:rsidR="00977056" w:rsidRPr="000A38E5">
        <w:rPr>
          <w:lang w:val="uk-UA"/>
        </w:rPr>
        <w:t>вони бачили осіб у чорному та протестуючих</w:t>
      </w:r>
      <w:r w:rsidR="00D83351" w:rsidRPr="00E93710">
        <w:rPr>
          <w:lang w:val="uk-UA"/>
        </w:rPr>
        <w:t xml:space="preserve">. </w:t>
      </w:r>
      <w:r w:rsidR="001D020A" w:rsidRPr="000A38E5">
        <w:rPr>
          <w:lang w:val="uk-UA"/>
        </w:rPr>
        <w:t>Протестуючі почали ображати працівників та людей у чорному одязі</w:t>
      </w:r>
      <w:r w:rsidR="00D83351" w:rsidRPr="00E93710">
        <w:rPr>
          <w:lang w:val="uk-UA"/>
        </w:rPr>
        <w:t xml:space="preserve">. </w:t>
      </w:r>
      <w:r w:rsidR="001D020A" w:rsidRPr="000A38E5">
        <w:rPr>
          <w:lang w:val="uk-UA"/>
        </w:rPr>
        <w:t>Вони почали відштовхувати А. та К., тягати їх за одяг</w:t>
      </w:r>
      <w:r w:rsidR="00D83351" w:rsidRPr="00E93710">
        <w:rPr>
          <w:lang w:val="uk-UA"/>
        </w:rPr>
        <w:t xml:space="preserve">, </w:t>
      </w:r>
      <w:r w:rsidR="007048CB" w:rsidRPr="000A38E5">
        <w:rPr>
          <w:lang w:val="uk-UA"/>
        </w:rPr>
        <w:t>намагаючись відібрати бензопили</w:t>
      </w:r>
      <w:r w:rsidR="00D83351" w:rsidRPr="00E93710">
        <w:rPr>
          <w:lang w:val="uk-UA"/>
        </w:rPr>
        <w:t xml:space="preserve">. </w:t>
      </w:r>
      <w:r w:rsidR="007048CB" w:rsidRPr="000A38E5">
        <w:rPr>
          <w:lang w:val="uk-UA"/>
        </w:rPr>
        <w:t>Для того, щоб запобігти наближенню цих людей, А. та К. увімкнули бензопили</w:t>
      </w:r>
      <w:r w:rsidR="00D83351" w:rsidRPr="00E93710">
        <w:rPr>
          <w:lang w:val="uk-UA"/>
        </w:rPr>
        <w:t xml:space="preserve">. </w:t>
      </w:r>
      <w:r w:rsidR="007048CB" w:rsidRPr="000A38E5">
        <w:rPr>
          <w:lang w:val="uk-UA"/>
        </w:rPr>
        <w:t>Однак протестуючі почали підходити, і щоб не поранити їх, А. та К. були змушені відступити</w:t>
      </w:r>
      <w:r w:rsidR="00D83351" w:rsidRPr="00E93710">
        <w:rPr>
          <w:lang w:val="uk-UA"/>
        </w:rPr>
        <w:t xml:space="preserve">, </w:t>
      </w:r>
      <w:r w:rsidR="007048CB" w:rsidRPr="000A38E5">
        <w:rPr>
          <w:lang w:val="uk-UA"/>
        </w:rPr>
        <w:t>тримаючи бензопили перед собою</w:t>
      </w:r>
      <w:r w:rsidR="00D83351" w:rsidRPr="00E93710">
        <w:rPr>
          <w:lang w:val="uk-UA"/>
        </w:rPr>
        <w:t>.</w:t>
      </w:r>
    </w:p>
    <w:bookmarkStart w:id="24" w:name="video_2_June"/>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42</w:t>
      </w:r>
      <w:r w:rsidRPr="00E93710">
        <w:rPr>
          <w:noProof/>
          <w:lang w:val="uk-UA"/>
        </w:rPr>
        <w:fldChar w:fldCharType="end"/>
      </w:r>
      <w:bookmarkEnd w:id="24"/>
      <w:r w:rsidR="00D83351" w:rsidRPr="00E93710">
        <w:rPr>
          <w:lang w:val="uk-UA"/>
        </w:rPr>
        <w:t>.</w:t>
      </w:r>
      <w:r w:rsidR="00334477" w:rsidRPr="000A38E5">
        <w:rPr>
          <w:lang w:val="uk-UA"/>
        </w:rPr>
        <w:t xml:space="preserve"> </w:t>
      </w:r>
      <w:r w:rsidR="00205302" w:rsidRPr="000A38E5">
        <w:rPr>
          <w:lang w:val="uk-UA"/>
        </w:rPr>
        <w:t>Відеоматеріал за 2 червня</w:t>
      </w:r>
      <w:r w:rsidR="00D83351" w:rsidRPr="00E93710">
        <w:rPr>
          <w:lang w:val="uk-UA"/>
        </w:rPr>
        <w:t xml:space="preserve"> </w:t>
      </w:r>
      <w:r w:rsidR="00205302" w:rsidRPr="000A38E5">
        <w:rPr>
          <w:lang w:val="uk-UA"/>
        </w:rPr>
        <w:t>демонструє хаотичну сцену за участю декількох десятків осіб</w:t>
      </w:r>
      <w:r w:rsidR="00D83351" w:rsidRPr="00E93710">
        <w:rPr>
          <w:lang w:val="uk-UA"/>
        </w:rPr>
        <w:t xml:space="preserve">, </w:t>
      </w:r>
      <w:r w:rsidR="00205302" w:rsidRPr="000A38E5">
        <w:rPr>
          <w:lang w:val="uk-UA"/>
        </w:rPr>
        <w:t>люди в чорному намагаються відштовхнути протестуючих від дерев</w:t>
      </w:r>
      <w:r w:rsidR="00E21734" w:rsidRPr="000A38E5">
        <w:rPr>
          <w:lang w:val="uk-UA"/>
        </w:rPr>
        <w:t>,</w:t>
      </w:r>
      <w:r w:rsidR="00D83351" w:rsidRPr="00E93710">
        <w:rPr>
          <w:lang w:val="uk-UA"/>
        </w:rPr>
        <w:t xml:space="preserve"> </w:t>
      </w:r>
      <w:r w:rsidR="00E21734" w:rsidRPr="000A38E5">
        <w:rPr>
          <w:lang w:val="uk-UA"/>
        </w:rPr>
        <w:t xml:space="preserve">а протестуючі намагаються </w:t>
      </w:r>
      <w:r w:rsidR="00E21734" w:rsidRPr="000A38E5">
        <w:rPr>
          <w:lang w:val="uk-UA"/>
        </w:rPr>
        <w:lastRenderedPageBreak/>
        <w:t>стояти на своєму та відштовхують людей у чорному</w:t>
      </w:r>
      <w:r w:rsidR="00D83351" w:rsidRPr="00E93710">
        <w:rPr>
          <w:lang w:val="uk-UA"/>
        </w:rPr>
        <w:t xml:space="preserve">. </w:t>
      </w:r>
      <w:r w:rsidR="00E21734" w:rsidRPr="000A38E5">
        <w:rPr>
          <w:lang w:val="uk-UA"/>
        </w:rPr>
        <w:t>Декілька міліціонерів спостерігають</w:t>
      </w:r>
      <w:r w:rsidR="00D83351" w:rsidRPr="00E93710">
        <w:rPr>
          <w:lang w:val="uk-UA"/>
        </w:rPr>
        <w:t xml:space="preserve">. </w:t>
      </w:r>
      <w:r w:rsidR="00E21734" w:rsidRPr="000A38E5">
        <w:rPr>
          <w:lang w:val="uk-UA"/>
        </w:rPr>
        <w:t>На деякій відстані від цього два робітника вмикають свої бензопили</w:t>
      </w:r>
      <w:r w:rsidR="00D83351" w:rsidRPr="00E93710">
        <w:rPr>
          <w:lang w:val="uk-UA"/>
        </w:rPr>
        <w:t xml:space="preserve">. </w:t>
      </w:r>
      <w:r w:rsidR="00E21734" w:rsidRPr="000A38E5">
        <w:rPr>
          <w:lang w:val="uk-UA"/>
        </w:rPr>
        <w:t>У той же час особа, ідентифікована, як третій заявник,</w:t>
      </w:r>
      <w:r w:rsidR="00D83351" w:rsidRPr="00E93710">
        <w:rPr>
          <w:lang w:val="uk-UA"/>
        </w:rPr>
        <w:t xml:space="preserve"> </w:t>
      </w:r>
      <w:r w:rsidR="00FE1DC7" w:rsidRPr="000A38E5">
        <w:rPr>
          <w:lang w:val="uk-UA"/>
        </w:rPr>
        <w:t>близько підходить до одного з працівників, піднявши та розкривши руки</w:t>
      </w:r>
      <w:r w:rsidR="00D83351" w:rsidRPr="00E93710">
        <w:rPr>
          <w:lang w:val="uk-UA"/>
        </w:rPr>
        <w:t xml:space="preserve">. </w:t>
      </w:r>
      <w:r w:rsidR="00FE1DC7" w:rsidRPr="000A38E5">
        <w:rPr>
          <w:lang w:val="uk-UA"/>
        </w:rPr>
        <w:t>Декілька інших осіб також підходять до робітника</w:t>
      </w:r>
      <w:r w:rsidR="00D83351" w:rsidRPr="00E93710">
        <w:rPr>
          <w:lang w:val="uk-UA"/>
        </w:rPr>
        <w:t xml:space="preserve">. </w:t>
      </w:r>
      <w:r w:rsidR="00FE1DC7" w:rsidRPr="000A38E5">
        <w:rPr>
          <w:lang w:val="uk-UA"/>
        </w:rPr>
        <w:t>Після цього робітник відступає, тримаючи бензопилу поруч,</w:t>
      </w:r>
      <w:r w:rsidR="00D83351" w:rsidRPr="00E93710">
        <w:rPr>
          <w:lang w:val="uk-UA"/>
        </w:rPr>
        <w:t xml:space="preserve"> </w:t>
      </w:r>
      <w:r w:rsidR="00FE1DC7" w:rsidRPr="000A38E5">
        <w:rPr>
          <w:lang w:val="uk-UA"/>
        </w:rPr>
        <w:t>та розмахуючи нею горизонтальними рухами</w:t>
      </w:r>
      <w:r w:rsidR="00D83351" w:rsidRPr="00E93710">
        <w:rPr>
          <w:lang w:val="uk-UA"/>
        </w:rPr>
        <w:t xml:space="preserve">. </w:t>
      </w:r>
      <w:r w:rsidR="00FE1DC7" w:rsidRPr="000A38E5">
        <w:rPr>
          <w:lang w:val="uk-UA"/>
        </w:rPr>
        <w:t>Незабаром після цього декілька осіб у камуфляжі</w:t>
      </w:r>
      <w:r w:rsidR="00D83351" w:rsidRPr="00E93710">
        <w:rPr>
          <w:lang w:val="uk-UA"/>
        </w:rPr>
        <w:t xml:space="preserve"> </w:t>
      </w:r>
      <w:r w:rsidR="00FE1DC7" w:rsidRPr="000A38E5">
        <w:rPr>
          <w:lang w:val="uk-UA"/>
        </w:rPr>
        <w:t>втручаються та встають рядком між протестуючими та робітниками</w:t>
      </w:r>
      <w:r w:rsidR="00D83351" w:rsidRPr="00E93710">
        <w:rPr>
          <w:lang w:val="uk-UA"/>
        </w:rPr>
        <w:t>.</w:t>
      </w:r>
    </w:p>
    <w:p w:rsidR="00D83351" w:rsidRPr="000A38E5" w:rsidRDefault="00D83351" w:rsidP="00852217">
      <w:pPr>
        <w:pStyle w:val="ECHRHeading2"/>
        <w:rPr>
          <w:lang w:val="uk-UA"/>
        </w:rPr>
      </w:pPr>
      <w:r w:rsidRPr="00E93710">
        <w:rPr>
          <w:lang w:val="uk-UA"/>
        </w:rPr>
        <w:t>F.</w:t>
      </w:r>
      <w:r w:rsidR="00026B77" w:rsidRPr="00E93710">
        <w:rPr>
          <w:lang w:val="uk-UA"/>
        </w:rPr>
        <w:t> Арешт</w:t>
      </w:r>
      <w:r w:rsidR="0055171F" w:rsidRPr="000A38E5">
        <w:rPr>
          <w:lang w:val="uk-UA"/>
        </w:rPr>
        <w:t xml:space="preserve"> та провадження проти деяких заявників</w:t>
      </w:r>
    </w:p>
    <w:p w:rsidR="00D83351" w:rsidRPr="000A38E5" w:rsidRDefault="00D83351" w:rsidP="00852217">
      <w:pPr>
        <w:pStyle w:val="ECHRHeading3"/>
        <w:rPr>
          <w:lang w:val="uk-UA"/>
        </w:rPr>
      </w:pPr>
      <w:r w:rsidRPr="00E93710">
        <w:rPr>
          <w:lang w:val="uk-UA"/>
        </w:rPr>
        <w:t>1.</w:t>
      </w:r>
      <w:r w:rsidR="00334477" w:rsidRPr="000A38E5">
        <w:rPr>
          <w:lang w:val="uk-UA"/>
        </w:rPr>
        <w:t xml:space="preserve"> </w:t>
      </w:r>
      <w:r w:rsidR="0055171F" w:rsidRPr="000A38E5">
        <w:rPr>
          <w:lang w:val="uk-UA"/>
        </w:rPr>
        <w:t>Арешт деяких заявників 28 травня</w:t>
      </w:r>
      <w:r w:rsidRPr="00E93710">
        <w:rPr>
          <w:lang w:val="uk-UA"/>
        </w:rPr>
        <w:t xml:space="preserve"> 2010 </w:t>
      </w:r>
      <w:r w:rsidR="0055171F" w:rsidRPr="000A38E5">
        <w:rPr>
          <w:lang w:val="uk-UA"/>
        </w:rPr>
        <w:t>р</w:t>
      </w:r>
      <w:r w:rsidR="00E4255C" w:rsidRPr="000A38E5">
        <w:rPr>
          <w:lang w:val="uk-UA"/>
        </w:rPr>
        <w:t>оку</w:t>
      </w:r>
      <w:r w:rsidR="0055171F" w:rsidRPr="000A38E5">
        <w:rPr>
          <w:lang w:val="uk-UA"/>
        </w:rPr>
        <w:t xml:space="preserve"> та подальші провадження</w:t>
      </w:r>
    </w:p>
    <w:bookmarkStart w:id="25" w:name="events_of_28may_start"/>
    <w:p w:rsidR="00D83351" w:rsidRPr="000A38E5" w:rsidRDefault="004E7608" w:rsidP="00852217">
      <w:pPr>
        <w:pStyle w:val="ECHRPara"/>
        <w:rPr>
          <w:lang w:val="uk-UA"/>
        </w:rPr>
      </w:pPr>
      <w:r w:rsidRPr="00E93710">
        <w:rPr>
          <w:lang w:val="uk-UA"/>
        </w:rPr>
        <w:fldChar w:fldCharType="begin"/>
      </w:r>
      <w:r w:rsidR="00D83351" w:rsidRPr="000A38E5">
        <w:rPr>
          <w:lang w:val="uk-UA"/>
        </w:rPr>
        <w:instrText xml:space="preserve"> </w:instrText>
      </w:r>
      <w:r w:rsidR="00D83351" w:rsidRPr="00E93710">
        <w:rPr>
          <w:lang w:val="uk-UA"/>
        </w:rPr>
        <w:instrText>SEQ</w:instrText>
      </w:r>
      <w:r w:rsidR="00D83351" w:rsidRPr="000A38E5">
        <w:rPr>
          <w:lang w:val="uk-UA"/>
        </w:rPr>
        <w:instrText xml:space="preserve"> </w:instrText>
      </w:r>
      <w:r w:rsidR="00D83351" w:rsidRPr="00E93710">
        <w:rPr>
          <w:lang w:val="uk-UA"/>
        </w:rPr>
        <w:instrText>level</w:instrText>
      </w:r>
      <w:r w:rsidR="00D83351" w:rsidRPr="000A38E5">
        <w:rPr>
          <w:lang w:val="uk-UA"/>
        </w:rPr>
        <w:instrText>0 \*</w:instrText>
      </w:r>
      <w:r w:rsidR="00D83351" w:rsidRPr="00E93710">
        <w:rPr>
          <w:lang w:val="uk-UA"/>
        </w:rPr>
        <w:instrText>arabic</w:instrText>
      </w:r>
      <w:r w:rsidR="00D83351" w:rsidRPr="000A38E5">
        <w:rPr>
          <w:lang w:val="uk-UA"/>
        </w:rPr>
        <w:instrText xml:space="preserve"> </w:instrText>
      </w:r>
      <w:r w:rsidRPr="00E93710">
        <w:rPr>
          <w:lang w:val="uk-UA"/>
        </w:rPr>
        <w:fldChar w:fldCharType="separate"/>
      </w:r>
      <w:r w:rsidR="0075299E" w:rsidRPr="00E93710">
        <w:rPr>
          <w:noProof/>
          <w:lang w:val="uk-UA"/>
        </w:rPr>
        <w:t>43</w:t>
      </w:r>
      <w:r w:rsidRPr="00E93710">
        <w:rPr>
          <w:noProof/>
          <w:lang w:val="uk-UA"/>
        </w:rPr>
        <w:fldChar w:fldCharType="end"/>
      </w:r>
      <w:bookmarkEnd w:id="25"/>
      <w:r w:rsidR="00D83351" w:rsidRPr="000A38E5">
        <w:rPr>
          <w:lang w:val="uk-UA"/>
        </w:rPr>
        <w:t>.</w:t>
      </w:r>
      <w:r w:rsidR="00334477" w:rsidRPr="000A38E5">
        <w:rPr>
          <w:lang w:val="uk-UA"/>
        </w:rPr>
        <w:t xml:space="preserve"> </w:t>
      </w:r>
      <w:r w:rsidR="0055171F" w:rsidRPr="000A38E5">
        <w:rPr>
          <w:lang w:val="uk-UA"/>
        </w:rPr>
        <w:t>28 травня</w:t>
      </w:r>
      <w:r w:rsidR="00D83351" w:rsidRPr="000A38E5">
        <w:rPr>
          <w:lang w:val="uk-UA"/>
        </w:rPr>
        <w:t xml:space="preserve"> 2010 </w:t>
      </w:r>
      <w:r w:rsidR="0055171F" w:rsidRPr="000A38E5">
        <w:rPr>
          <w:lang w:val="uk-UA"/>
        </w:rPr>
        <w:t>р</w:t>
      </w:r>
      <w:r w:rsidR="00E4255C" w:rsidRPr="000A38E5">
        <w:rPr>
          <w:lang w:val="uk-UA"/>
        </w:rPr>
        <w:t>оку</w:t>
      </w:r>
      <w:r w:rsidR="0055171F" w:rsidRPr="000A38E5">
        <w:rPr>
          <w:lang w:val="uk-UA"/>
        </w:rPr>
        <w:t xml:space="preserve"> </w:t>
      </w:r>
      <w:r w:rsidR="00E4255C" w:rsidRPr="000A38E5">
        <w:rPr>
          <w:lang w:val="uk-UA"/>
        </w:rPr>
        <w:t xml:space="preserve">від </w:t>
      </w:r>
      <w:r w:rsidR="006D50A3" w:rsidRPr="000A38E5">
        <w:rPr>
          <w:lang w:val="uk-UA"/>
        </w:rPr>
        <w:t>першого до п’ятого, восьмий</w:t>
      </w:r>
      <w:r w:rsidR="00D83351" w:rsidRPr="000A38E5">
        <w:rPr>
          <w:lang w:val="uk-UA"/>
        </w:rPr>
        <w:t xml:space="preserve"> </w:t>
      </w:r>
      <w:r w:rsidR="006D50A3" w:rsidRPr="000A38E5">
        <w:rPr>
          <w:lang w:val="uk-UA"/>
        </w:rPr>
        <w:t xml:space="preserve">та десятий заявники, </w:t>
      </w:r>
      <w:r w:rsidR="00E4255C" w:rsidRPr="000A38E5">
        <w:rPr>
          <w:lang w:val="uk-UA"/>
        </w:rPr>
        <w:t xml:space="preserve">разом з іншими </w:t>
      </w:r>
      <w:r w:rsidR="006D50A3" w:rsidRPr="000A38E5">
        <w:rPr>
          <w:lang w:val="uk-UA"/>
        </w:rPr>
        <w:t>протестуючи</w:t>
      </w:r>
      <w:r w:rsidR="00E4255C" w:rsidRPr="000A38E5">
        <w:rPr>
          <w:lang w:val="uk-UA"/>
        </w:rPr>
        <w:t>ми</w:t>
      </w:r>
      <w:r w:rsidR="00D83351" w:rsidRPr="000A38E5">
        <w:rPr>
          <w:lang w:val="uk-UA"/>
        </w:rPr>
        <w:t xml:space="preserve">, </w:t>
      </w:r>
      <w:r w:rsidR="006D50A3" w:rsidRPr="000A38E5">
        <w:rPr>
          <w:lang w:val="uk-UA"/>
        </w:rPr>
        <w:t xml:space="preserve">були заарештовані та </w:t>
      </w:r>
      <w:r w:rsidR="00E4255C" w:rsidRPr="000A38E5">
        <w:rPr>
          <w:lang w:val="uk-UA"/>
        </w:rPr>
        <w:t xml:space="preserve">доставлені </w:t>
      </w:r>
      <w:r w:rsidR="006D50A3" w:rsidRPr="000A38E5">
        <w:rPr>
          <w:lang w:val="uk-UA"/>
        </w:rPr>
        <w:t>до міліцейського відділку</w:t>
      </w:r>
      <w:r w:rsidR="00D83351" w:rsidRPr="000A38E5">
        <w:rPr>
          <w:lang w:val="uk-UA"/>
        </w:rPr>
        <w:t xml:space="preserve">, </w:t>
      </w:r>
      <w:r w:rsidR="006D50A3" w:rsidRPr="000A38E5">
        <w:rPr>
          <w:lang w:val="uk-UA"/>
        </w:rPr>
        <w:t>де їм було оголошено про злісну непокору</w:t>
      </w:r>
      <w:r w:rsidR="00D83351" w:rsidRPr="000A38E5">
        <w:rPr>
          <w:lang w:val="uk-UA"/>
        </w:rPr>
        <w:t xml:space="preserve"> </w:t>
      </w:r>
      <w:r w:rsidR="006D50A3" w:rsidRPr="000A38E5">
        <w:rPr>
          <w:lang w:val="uk-UA"/>
        </w:rPr>
        <w:t>законним вимогам співробітників міліції</w:t>
      </w:r>
      <w:r w:rsidR="00D83351" w:rsidRPr="000A38E5">
        <w:rPr>
          <w:lang w:val="uk-UA"/>
        </w:rPr>
        <w:t xml:space="preserve">. </w:t>
      </w:r>
      <w:r w:rsidR="006D50A3" w:rsidRPr="000A38E5">
        <w:rPr>
          <w:lang w:val="uk-UA"/>
        </w:rPr>
        <w:t xml:space="preserve">Відповідно до </w:t>
      </w:r>
      <w:r w:rsidR="00E4255C" w:rsidRPr="000A38E5">
        <w:rPr>
          <w:lang w:val="uk-UA"/>
        </w:rPr>
        <w:t>протоколів</w:t>
      </w:r>
      <w:r w:rsidR="006D50A3" w:rsidRPr="000A38E5">
        <w:rPr>
          <w:lang w:val="uk-UA"/>
        </w:rPr>
        <w:t>, ці заявники неодноразово</w:t>
      </w:r>
      <w:r w:rsidR="00D83351" w:rsidRPr="000A38E5">
        <w:rPr>
          <w:lang w:val="uk-UA"/>
        </w:rPr>
        <w:t xml:space="preserve"> </w:t>
      </w:r>
      <w:r w:rsidR="006D50A3" w:rsidRPr="000A38E5">
        <w:rPr>
          <w:lang w:val="uk-UA"/>
        </w:rPr>
        <w:t>відмов</w:t>
      </w:r>
      <w:r w:rsidR="00E4255C" w:rsidRPr="000A38E5">
        <w:rPr>
          <w:lang w:val="uk-UA"/>
        </w:rPr>
        <w:t xml:space="preserve">лялись </w:t>
      </w:r>
      <w:r w:rsidR="006D50A3" w:rsidRPr="000A38E5">
        <w:rPr>
          <w:lang w:val="uk-UA"/>
        </w:rPr>
        <w:t>виконувати вказівки міліціонерів</w:t>
      </w:r>
      <w:r w:rsidR="00D83351" w:rsidRPr="000A38E5">
        <w:rPr>
          <w:lang w:val="uk-UA"/>
        </w:rPr>
        <w:t xml:space="preserve"> </w:t>
      </w:r>
      <w:r w:rsidR="006D50A3" w:rsidRPr="000A38E5">
        <w:rPr>
          <w:lang w:val="uk-UA"/>
        </w:rPr>
        <w:t>залишити місце будівництва</w:t>
      </w:r>
      <w:r w:rsidR="00D83351" w:rsidRPr="000A38E5">
        <w:rPr>
          <w:lang w:val="uk-UA"/>
        </w:rPr>
        <w:t xml:space="preserve"> </w:t>
      </w:r>
      <w:r w:rsidR="006D50A3" w:rsidRPr="000A38E5">
        <w:rPr>
          <w:lang w:val="uk-UA"/>
        </w:rPr>
        <w:t>та опиралися спробам міліціонерів видалити їх</w:t>
      </w:r>
      <w:r w:rsidR="00D83351" w:rsidRPr="000A38E5">
        <w:rPr>
          <w:lang w:val="uk-UA"/>
        </w:rPr>
        <w:t xml:space="preserve">, </w:t>
      </w:r>
      <w:r w:rsidR="00C83F88" w:rsidRPr="000A38E5">
        <w:rPr>
          <w:lang w:val="uk-UA"/>
        </w:rPr>
        <w:t>зокрема, тим, що волокли</w:t>
      </w:r>
      <w:r w:rsidR="006D50A3" w:rsidRPr="000A38E5">
        <w:rPr>
          <w:lang w:val="uk-UA"/>
        </w:rPr>
        <w:t xml:space="preserve"> </w:t>
      </w:r>
      <w:r w:rsidR="00C83F88" w:rsidRPr="000A38E5">
        <w:rPr>
          <w:lang w:val="uk-UA"/>
        </w:rPr>
        <w:t xml:space="preserve">ноги, </w:t>
      </w:r>
      <w:r w:rsidR="006D50A3" w:rsidRPr="000A38E5">
        <w:rPr>
          <w:lang w:val="uk-UA"/>
        </w:rPr>
        <w:t xml:space="preserve">та </w:t>
      </w:r>
      <w:r w:rsidR="00C83F88" w:rsidRPr="000A38E5">
        <w:rPr>
          <w:lang w:val="uk-UA"/>
        </w:rPr>
        <w:t>намагалися</w:t>
      </w:r>
      <w:r w:rsidR="006D50A3" w:rsidRPr="000A38E5">
        <w:rPr>
          <w:lang w:val="uk-UA"/>
        </w:rPr>
        <w:t xml:space="preserve"> вирватися</w:t>
      </w:r>
      <w:r w:rsidR="00D83351" w:rsidRPr="000A38E5">
        <w:rPr>
          <w:lang w:val="uk-UA"/>
        </w:rPr>
        <w:t xml:space="preserve"> </w:t>
      </w:r>
      <w:r w:rsidR="006D50A3" w:rsidRPr="000A38E5">
        <w:rPr>
          <w:lang w:val="uk-UA"/>
        </w:rPr>
        <w:t>та залишитися на місці</w:t>
      </w:r>
      <w:r w:rsidR="00D83351" w:rsidRPr="000A38E5">
        <w:rPr>
          <w:lang w:val="uk-UA"/>
        </w:rPr>
        <w:t xml:space="preserve">. </w:t>
      </w:r>
      <w:r w:rsidR="006D50A3" w:rsidRPr="000A38E5">
        <w:rPr>
          <w:lang w:val="uk-UA"/>
        </w:rPr>
        <w:t>Видається, що заявники були звільнені незабаром</w:t>
      </w:r>
      <w:r w:rsidR="00D83351" w:rsidRPr="000A38E5">
        <w:rPr>
          <w:lang w:val="uk-UA"/>
        </w:rPr>
        <w:t xml:space="preserve"> </w:t>
      </w:r>
      <w:r w:rsidR="006D50A3" w:rsidRPr="000A38E5">
        <w:rPr>
          <w:lang w:val="uk-UA"/>
        </w:rPr>
        <w:t xml:space="preserve">після складання </w:t>
      </w:r>
      <w:r w:rsidR="00E4255C" w:rsidRPr="000A38E5">
        <w:rPr>
          <w:lang w:val="uk-UA"/>
        </w:rPr>
        <w:t>протоколів</w:t>
      </w:r>
      <w:r w:rsidR="00D83351" w:rsidRPr="000A38E5">
        <w:rPr>
          <w:lang w:val="uk-UA"/>
        </w:rPr>
        <w:t>.</w:t>
      </w:r>
    </w:p>
    <w:bookmarkStart w:id="26" w:name="first_instance_adminoffence_hearing"/>
    <w:p w:rsidR="00D83351" w:rsidRPr="00E93710" w:rsidRDefault="004E7608" w:rsidP="00852217">
      <w:pPr>
        <w:pStyle w:val="ECHRPara"/>
        <w:rPr>
          <w:lang w:val="uk-UA"/>
        </w:rPr>
      </w:pPr>
      <w:r w:rsidRPr="00E93710">
        <w:rPr>
          <w:lang w:val="uk-UA"/>
        </w:rPr>
        <w:fldChar w:fldCharType="begin"/>
      </w:r>
      <w:r w:rsidR="00D83351" w:rsidRPr="000A38E5">
        <w:rPr>
          <w:lang w:val="uk-UA"/>
        </w:rPr>
        <w:instrText xml:space="preserve"> </w:instrText>
      </w:r>
      <w:r w:rsidR="00D83351" w:rsidRPr="00E93710">
        <w:rPr>
          <w:lang w:val="uk-UA"/>
        </w:rPr>
        <w:instrText>SEQ</w:instrText>
      </w:r>
      <w:r w:rsidR="00D83351" w:rsidRPr="000A38E5">
        <w:rPr>
          <w:lang w:val="uk-UA"/>
        </w:rPr>
        <w:instrText xml:space="preserve"> </w:instrText>
      </w:r>
      <w:r w:rsidR="00D83351" w:rsidRPr="00E93710">
        <w:rPr>
          <w:lang w:val="uk-UA"/>
        </w:rPr>
        <w:instrText>level</w:instrText>
      </w:r>
      <w:r w:rsidR="00D83351" w:rsidRPr="000A38E5">
        <w:rPr>
          <w:lang w:val="uk-UA"/>
        </w:rPr>
        <w:instrText>0 \*</w:instrText>
      </w:r>
      <w:r w:rsidR="00D83351" w:rsidRPr="00E93710">
        <w:rPr>
          <w:lang w:val="uk-UA"/>
        </w:rPr>
        <w:instrText>arabic</w:instrText>
      </w:r>
      <w:r w:rsidR="00D83351" w:rsidRPr="000A38E5">
        <w:rPr>
          <w:lang w:val="uk-UA"/>
        </w:rPr>
        <w:instrText xml:space="preserve"> </w:instrText>
      </w:r>
      <w:r w:rsidRPr="00E93710">
        <w:rPr>
          <w:lang w:val="uk-UA"/>
        </w:rPr>
        <w:fldChar w:fldCharType="separate"/>
      </w:r>
      <w:r w:rsidR="0075299E" w:rsidRPr="00E93710">
        <w:rPr>
          <w:noProof/>
          <w:lang w:val="uk-UA"/>
        </w:rPr>
        <w:t>44</w:t>
      </w:r>
      <w:r w:rsidRPr="00E93710">
        <w:rPr>
          <w:lang w:val="uk-UA"/>
        </w:rPr>
        <w:fldChar w:fldCharType="end"/>
      </w:r>
      <w:bookmarkEnd w:id="26"/>
      <w:r w:rsidR="00D83351" w:rsidRPr="000A38E5">
        <w:rPr>
          <w:lang w:val="uk-UA"/>
        </w:rPr>
        <w:t>.</w:t>
      </w:r>
      <w:r w:rsidR="00334477" w:rsidRPr="000A38E5">
        <w:rPr>
          <w:lang w:val="uk-UA"/>
        </w:rPr>
        <w:t xml:space="preserve"> </w:t>
      </w:r>
      <w:r w:rsidR="00470BB1" w:rsidRPr="000A38E5">
        <w:rPr>
          <w:lang w:val="uk-UA"/>
        </w:rPr>
        <w:t xml:space="preserve">В різні дні ці </w:t>
      </w:r>
      <w:r w:rsidR="00E4255C" w:rsidRPr="000A38E5">
        <w:rPr>
          <w:lang w:val="uk-UA"/>
        </w:rPr>
        <w:t xml:space="preserve">протоколи </w:t>
      </w:r>
      <w:r w:rsidR="00470BB1" w:rsidRPr="000A38E5">
        <w:rPr>
          <w:lang w:val="uk-UA"/>
        </w:rPr>
        <w:t>були розглянуті Дзержинським районним судом Харкова (надалі – «районний суд»)</w:t>
      </w:r>
      <w:r w:rsidR="00D83351" w:rsidRPr="000A38E5">
        <w:rPr>
          <w:lang w:val="uk-UA"/>
        </w:rPr>
        <w:t xml:space="preserve">. </w:t>
      </w:r>
      <w:r w:rsidR="00470BB1" w:rsidRPr="000A38E5">
        <w:rPr>
          <w:lang w:val="uk-UA"/>
        </w:rPr>
        <w:t>Протягом слухань заявники не визнали свою вину</w:t>
      </w:r>
      <w:r w:rsidR="00D83351" w:rsidRPr="00E93710">
        <w:rPr>
          <w:lang w:val="uk-UA"/>
        </w:rPr>
        <w:t xml:space="preserve">. </w:t>
      </w:r>
      <w:r w:rsidR="00470BB1" w:rsidRPr="000A38E5">
        <w:rPr>
          <w:lang w:val="uk-UA"/>
        </w:rPr>
        <w:t>Вони стверджували, зокрема, що вранці 28 травня</w:t>
      </w:r>
      <w:r w:rsidR="00D83351" w:rsidRPr="00E93710">
        <w:rPr>
          <w:lang w:val="uk-UA"/>
        </w:rPr>
        <w:t xml:space="preserve"> 2010 </w:t>
      </w:r>
      <w:r w:rsidR="00470BB1" w:rsidRPr="000A38E5">
        <w:rPr>
          <w:lang w:val="uk-UA"/>
        </w:rPr>
        <w:t>р</w:t>
      </w:r>
      <w:r w:rsidR="00E4255C" w:rsidRPr="000A38E5">
        <w:rPr>
          <w:lang w:val="uk-UA"/>
        </w:rPr>
        <w:t>оку</w:t>
      </w:r>
      <w:r w:rsidR="00470BB1" w:rsidRPr="000A38E5">
        <w:rPr>
          <w:lang w:val="uk-UA"/>
        </w:rPr>
        <w:t xml:space="preserve"> вони були у парку </w:t>
      </w:r>
      <w:r w:rsidR="0085000B" w:rsidRPr="000A38E5">
        <w:rPr>
          <w:lang w:val="uk-UA"/>
        </w:rPr>
        <w:t>ім.</w:t>
      </w:r>
      <w:r w:rsidR="00470BB1" w:rsidRPr="000A38E5">
        <w:rPr>
          <w:lang w:val="uk-UA"/>
        </w:rPr>
        <w:t xml:space="preserve"> Горького разом з деякими іншими протестуючими</w:t>
      </w:r>
      <w:r w:rsidR="00D83351" w:rsidRPr="000A38E5">
        <w:rPr>
          <w:lang w:val="uk-UA"/>
        </w:rPr>
        <w:t xml:space="preserve"> </w:t>
      </w:r>
      <w:r w:rsidR="00470BB1" w:rsidRPr="000A38E5">
        <w:rPr>
          <w:lang w:val="uk-UA"/>
        </w:rPr>
        <w:t>для висловлення свого незадоволення</w:t>
      </w:r>
      <w:r w:rsidR="00D83351" w:rsidRPr="000A38E5">
        <w:rPr>
          <w:lang w:val="uk-UA"/>
        </w:rPr>
        <w:t xml:space="preserve"> </w:t>
      </w:r>
      <w:r w:rsidR="00470BB1" w:rsidRPr="000A38E5">
        <w:rPr>
          <w:lang w:val="uk-UA"/>
        </w:rPr>
        <w:t>поваленням дерев</w:t>
      </w:r>
      <w:r w:rsidR="00D83351" w:rsidRPr="000A38E5">
        <w:rPr>
          <w:lang w:val="uk-UA"/>
        </w:rPr>
        <w:t xml:space="preserve"> (</w:t>
      </w:r>
      <w:r w:rsidR="00470BB1" w:rsidRPr="000A38E5">
        <w:rPr>
          <w:lang w:val="uk-UA"/>
        </w:rPr>
        <w:t>однак, див. твердження першого і другого заявників, які відрізняються</w:t>
      </w:r>
      <w:r w:rsidR="0070130A" w:rsidRPr="000A38E5">
        <w:rPr>
          <w:lang w:val="uk-UA"/>
        </w:rPr>
        <w:t xml:space="preserve"> одне</w:t>
      </w:r>
      <w:r w:rsidR="00D83351" w:rsidRPr="000A38E5">
        <w:rPr>
          <w:lang w:val="uk-UA"/>
        </w:rPr>
        <w:t xml:space="preserve"> </w:t>
      </w:r>
      <w:r w:rsidR="00470BB1" w:rsidRPr="000A38E5">
        <w:rPr>
          <w:lang w:val="uk-UA"/>
        </w:rPr>
        <w:t>від одн</w:t>
      </w:r>
      <w:r w:rsidR="0070130A" w:rsidRPr="000A38E5">
        <w:rPr>
          <w:lang w:val="uk-UA"/>
        </w:rPr>
        <w:t>ого</w:t>
      </w:r>
      <w:r w:rsidR="00470BB1" w:rsidRPr="000A38E5">
        <w:rPr>
          <w:lang w:val="uk-UA"/>
        </w:rPr>
        <w:t xml:space="preserve"> у ц</w:t>
      </w:r>
      <w:r w:rsidR="0070130A" w:rsidRPr="000A38E5">
        <w:rPr>
          <w:lang w:val="uk-UA"/>
        </w:rPr>
        <w:t>ій частині</w:t>
      </w:r>
      <w:r w:rsidR="00D83351" w:rsidRPr="000A38E5">
        <w:rPr>
          <w:lang w:val="uk-UA"/>
        </w:rPr>
        <w:t xml:space="preserve">, </w:t>
      </w:r>
      <w:r w:rsidR="00470BB1" w:rsidRPr="000A38E5">
        <w:rPr>
          <w:lang w:val="uk-UA"/>
        </w:rPr>
        <w:t>у пунктах</w:t>
      </w:r>
      <w:r w:rsidR="00D83351" w:rsidRPr="000A38E5">
        <w:rPr>
          <w:lang w:val="uk-UA"/>
        </w:rPr>
        <w:t xml:space="preserve"> </w:t>
      </w:r>
      <w:fldSimple w:instr=" REF first_applicant_statement_in_court \h  \* MERGEFORMAT ">
        <w:r w:rsidR="0075299E" w:rsidRPr="00E93710">
          <w:rPr>
            <w:noProof/>
            <w:lang w:val="uk-UA"/>
          </w:rPr>
          <w:t>52</w:t>
        </w:r>
      </w:fldSimple>
      <w:r w:rsidR="00D83351" w:rsidRPr="000A38E5">
        <w:rPr>
          <w:lang w:val="uk-UA"/>
        </w:rPr>
        <w:t xml:space="preserve"> </w:t>
      </w:r>
      <w:r w:rsidR="00470BB1" w:rsidRPr="000A38E5">
        <w:rPr>
          <w:lang w:val="uk-UA"/>
        </w:rPr>
        <w:t>та</w:t>
      </w:r>
      <w:r w:rsidR="00D83351" w:rsidRPr="000A38E5">
        <w:rPr>
          <w:lang w:val="uk-UA"/>
        </w:rPr>
        <w:t xml:space="preserve"> </w:t>
      </w:r>
      <w:fldSimple w:instr=" REF second_applicant_statement_in_court \h  \* MERGEFORMAT ">
        <w:r w:rsidR="0075299E" w:rsidRPr="00E93710">
          <w:rPr>
            <w:noProof/>
            <w:lang w:val="uk-UA"/>
          </w:rPr>
          <w:t>53</w:t>
        </w:r>
      </w:fldSimple>
      <w:r w:rsidR="00D83351" w:rsidRPr="000A38E5">
        <w:rPr>
          <w:lang w:val="uk-UA"/>
        </w:rPr>
        <w:t xml:space="preserve"> </w:t>
      </w:r>
      <w:r w:rsidR="00470BB1" w:rsidRPr="000A38E5">
        <w:rPr>
          <w:lang w:val="uk-UA"/>
        </w:rPr>
        <w:t>нижче</w:t>
      </w:r>
      <w:r w:rsidR="00D83351" w:rsidRPr="000A38E5">
        <w:rPr>
          <w:lang w:val="uk-UA"/>
        </w:rPr>
        <w:t xml:space="preserve">). </w:t>
      </w:r>
      <w:r w:rsidR="00D607D1" w:rsidRPr="000A38E5">
        <w:rPr>
          <w:lang w:val="uk-UA"/>
        </w:rPr>
        <w:t>Місце будівництва не мало позначок території,</w:t>
      </w:r>
      <w:r w:rsidR="00D83351" w:rsidRPr="00E93710">
        <w:rPr>
          <w:lang w:val="uk-UA"/>
        </w:rPr>
        <w:t xml:space="preserve"> </w:t>
      </w:r>
      <w:r w:rsidR="00D607D1" w:rsidRPr="000A38E5">
        <w:rPr>
          <w:lang w:val="uk-UA"/>
        </w:rPr>
        <w:t>тому вони вважали, що законно знаходилися на відкритому для громадськості просторі</w:t>
      </w:r>
      <w:r w:rsidR="00D83351" w:rsidRPr="00E93710">
        <w:rPr>
          <w:lang w:val="uk-UA"/>
        </w:rPr>
        <w:t xml:space="preserve">. </w:t>
      </w:r>
      <w:r w:rsidR="00EB646A" w:rsidRPr="000A38E5">
        <w:rPr>
          <w:lang w:val="uk-UA"/>
        </w:rPr>
        <w:t>Біля 100 міліціонерів стояли поруч</w:t>
      </w:r>
      <w:r w:rsidR="00D83351" w:rsidRPr="00E93710">
        <w:rPr>
          <w:lang w:val="uk-UA"/>
        </w:rPr>
        <w:t xml:space="preserve">, </w:t>
      </w:r>
      <w:r w:rsidR="00EB646A" w:rsidRPr="000A38E5">
        <w:rPr>
          <w:lang w:val="uk-UA"/>
        </w:rPr>
        <w:t>і вони не просили заявників залишити територію</w:t>
      </w:r>
      <w:r w:rsidR="00D83351" w:rsidRPr="00E93710">
        <w:rPr>
          <w:lang w:val="uk-UA"/>
        </w:rPr>
        <w:t xml:space="preserve">. </w:t>
      </w:r>
      <w:r w:rsidR="00BA30A3" w:rsidRPr="000A38E5">
        <w:rPr>
          <w:lang w:val="uk-UA"/>
        </w:rPr>
        <w:t xml:space="preserve">Декілька людей у чорному одязі з позначками </w:t>
      </w:r>
      <w:proofErr w:type="spellStart"/>
      <w:r w:rsidR="00BA30A3" w:rsidRPr="000A38E5">
        <w:rPr>
          <w:lang w:val="uk-UA"/>
        </w:rPr>
        <w:t>МО</w:t>
      </w:r>
      <w:proofErr w:type="spellEnd"/>
      <w:r w:rsidR="00D83351" w:rsidRPr="00E93710">
        <w:rPr>
          <w:lang w:val="uk-UA"/>
        </w:rPr>
        <w:t xml:space="preserve"> </w:t>
      </w:r>
      <w:r w:rsidR="00BA30A3" w:rsidRPr="000A38E5">
        <w:rPr>
          <w:lang w:val="uk-UA"/>
        </w:rPr>
        <w:t>оточили протестуючих та почали стискати їх у тісне коло</w:t>
      </w:r>
      <w:r w:rsidR="00D83351" w:rsidRPr="00E93710">
        <w:rPr>
          <w:lang w:val="uk-UA"/>
        </w:rPr>
        <w:t xml:space="preserve">. </w:t>
      </w:r>
      <w:r w:rsidR="00E71386" w:rsidRPr="000A38E5">
        <w:rPr>
          <w:lang w:val="uk-UA"/>
        </w:rPr>
        <w:t>Міліціонери підійшли, та замість реакції</w:t>
      </w:r>
      <w:r w:rsidR="00D83351" w:rsidRPr="00E93710">
        <w:rPr>
          <w:lang w:val="uk-UA"/>
        </w:rPr>
        <w:t xml:space="preserve"> </w:t>
      </w:r>
      <w:r w:rsidR="00E71386" w:rsidRPr="000A38E5">
        <w:rPr>
          <w:lang w:val="uk-UA"/>
        </w:rPr>
        <w:t>на крики протестуючих про допомогу</w:t>
      </w:r>
      <w:r w:rsidR="00D83351" w:rsidRPr="00E93710">
        <w:rPr>
          <w:lang w:val="uk-UA"/>
        </w:rPr>
        <w:t xml:space="preserve">, </w:t>
      </w:r>
      <w:r w:rsidR="00E71386" w:rsidRPr="000A38E5">
        <w:rPr>
          <w:lang w:val="uk-UA"/>
        </w:rPr>
        <w:t xml:space="preserve">витягли деяких з протестуючих, у тому числі заявників, по одному з натовпу та </w:t>
      </w:r>
      <w:r w:rsidR="00E4255C" w:rsidRPr="000A38E5">
        <w:rPr>
          <w:lang w:val="uk-UA"/>
        </w:rPr>
        <w:t xml:space="preserve">доставили </w:t>
      </w:r>
      <w:r w:rsidR="00E71386" w:rsidRPr="000A38E5">
        <w:rPr>
          <w:lang w:val="uk-UA"/>
        </w:rPr>
        <w:t>їх до міліцейського відділку</w:t>
      </w:r>
      <w:r w:rsidR="00D83351" w:rsidRPr="00E93710">
        <w:rPr>
          <w:lang w:val="uk-UA"/>
        </w:rPr>
        <w:t xml:space="preserve"> </w:t>
      </w:r>
      <w:r w:rsidR="00E71386" w:rsidRPr="000A38E5">
        <w:rPr>
          <w:lang w:val="uk-UA"/>
        </w:rPr>
        <w:t>без жодних вимог або пояснень</w:t>
      </w:r>
      <w:r w:rsidR="00D83351" w:rsidRPr="00E93710">
        <w:rPr>
          <w:lang w:val="uk-UA"/>
        </w:rPr>
        <w:t xml:space="preserve">. </w:t>
      </w:r>
      <w:r w:rsidR="00BF6768" w:rsidRPr="000A38E5">
        <w:rPr>
          <w:lang w:val="uk-UA"/>
        </w:rPr>
        <w:t>Заявники відправилися за міліціонерами без будь-якого опору</w:t>
      </w:r>
      <w:r w:rsidR="00D83351" w:rsidRPr="00E93710">
        <w:rPr>
          <w:lang w:val="uk-UA"/>
        </w:rPr>
        <w:t>.</w:t>
      </w:r>
    </w:p>
    <w:bookmarkStart w:id="27" w:name="video_28_May"/>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45</w:t>
      </w:r>
      <w:r w:rsidRPr="00E93710">
        <w:rPr>
          <w:lang w:val="uk-UA"/>
        </w:rPr>
        <w:fldChar w:fldCharType="end"/>
      </w:r>
      <w:bookmarkEnd w:id="27"/>
      <w:r w:rsidR="00D83351" w:rsidRPr="00E93710">
        <w:rPr>
          <w:lang w:val="uk-UA"/>
        </w:rPr>
        <w:t>.</w:t>
      </w:r>
      <w:r w:rsidR="00334477" w:rsidRPr="000A38E5">
        <w:rPr>
          <w:lang w:val="uk-UA"/>
        </w:rPr>
        <w:t xml:space="preserve"> </w:t>
      </w:r>
      <w:r w:rsidR="004D427C" w:rsidRPr="000A38E5">
        <w:rPr>
          <w:lang w:val="uk-UA"/>
        </w:rPr>
        <w:t>Фото та відеоматеріали за 28 травня</w:t>
      </w:r>
      <w:r w:rsidR="00026546" w:rsidRPr="000A38E5">
        <w:rPr>
          <w:lang w:val="uk-UA"/>
        </w:rPr>
        <w:t xml:space="preserve"> демонстру</w:t>
      </w:r>
      <w:r w:rsidR="00E4255C" w:rsidRPr="000A38E5">
        <w:rPr>
          <w:lang w:val="uk-UA"/>
        </w:rPr>
        <w:t>ють</w:t>
      </w:r>
      <w:r w:rsidR="00D83351" w:rsidRPr="00E93710">
        <w:rPr>
          <w:lang w:val="uk-UA"/>
        </w:rPr>
        <w:t xml:space="preserve"> </w:t>
      </w:r>
      <w:r w:rsidR="004D427C" w:rsidRPr="000A38E5">
        <w:rPr>
          <w:lang w:val="uk-UA"/>
        </w:rPr>
        <w:t>особу в цивільному одязі, яка очолює групу з декількох десятків людей у чорному</w:t>
      </w:r>
      <w:r w:rsidR="00D83351" w:rsidRPr="00E93710">
        <w:rPr>
          <w:lang w:val="uk-UA"/>
        </w:rPr>
        <w:t xml:space="preserve"> </w:t>
      </w:r>
      <w:r w:rsidR="004D427C" w:rsidRPr="000A38E5">
        <w:rPr>
          <w:lang w:val="uk-UA"/>
        </w:rPr>
        <w:t>та іншому одязі з відзнаками</w:t>
      </w:r>
      <w:r w:rsidR="00D83351" w:rsidRPr="00E93710">
        <w:rPr>
          <w:lang w:val="uk-UA"/>
        </w:rPr>
        <w:t xml:space="preserve">. </w:t>
      </w:r>
      <w:r w:rsidR="004D427C" w:rsidRPr="000A38E5">
        <w:rPr>
          <w:lang w:val="uk-UA"/>
        </w:rPr>
        <w:t>Вони підходять до групи протестуючих</w:t>
      </w:r>
      <w:r w:rsidR="00D83351" w:rsidRPr="00E93710">
        <w:rPr>
          <w:lang w:val="uk-UA"/>
        </w:rPr>
        <w:t xml:space="preserve">, </w:t>
      </w:r>
      <w:r w:rsidR="004D427C" w:rsidRPr="000A38E5">
        <w:rPr>
          <w:lang w:val="uk-UA"/>
        </w:rPr>
        <w:t>які знаходяться у зоні, позначеній попереджуючою стрічкою</w:t>
      </w:r>
      <w:r w:rsidR="00696A35" w:rsidRPr="000A38E5">
        <w:rPr>
          <w:lang w:val="uk-UA"/>
        </w:rPr>
        <w:t xml:space="preserve"> та стоять біля залізничного переїзду</w:t>
      </w:r>
      <w:r w:rsidR="00D83351" w:rsidRPr="00E93710">
        <w:rPr>
          <w:lang w:val="uk-UA"/>
        </w:rPr>
        <w:t xml:space="preserve">. </w:t>
      </w:r>
      <w:r w:rsidR="00696A35" w:rsidRPr="000A38E5">
        <w:rPr>
          <w:lang w:val="uk-UA"/>
        </w:rPr>
        <w:t>Людина повторює декілька разів «будь ласка, залиште місце будівництва»</w:t>
      </w:r>
      <w:r w:rsidR="00D83351" w:rsidRPr="00E93710">
        <w:rPr>
          <w:lang w:val="uk-UA"/>
        </w:rPr>
        <w:t xml:space="preserve">. </w:t>
      </w:r>
      <w:r w:rsidR="00696A35" w:rsidRPr="000A38E5">
        <w:rPr>
          <w:lang w:val="uk-UA"/>
        </w:rPr>
        <w:t>Вона отримує відповіді</w:t>
      </w:r>
      <w:r w:rsidR="00D83351" w:rsidRPr="00E93710">
        <w:rPr>
          <w:lang w:val="uk-UA"/>
        </w:rPr>
        <w:t xml:space="preserve">: </w:t>
      </w:r>
      <w:r w:rsidR="00696A35" w:rsidRPr="00E93710">
        <w:rPr>
          <w:lang w:val="uk-UA"/>
        </w:rPr>
        <w:t>«</w:t>
      </w:r>
      <w:r w:rsidR="00696A35" w:rsidRPr="000A38E5">
        <w:rPr>
          <w:lang w:val="uk-UA"/>
        </w:rPr>
        <w:t>Це парк, а не місце будівництва»</w:t>
      </w:r>
      <w:r w:rsidR="00D83351" w:rsidRPr="00E93710">
        <w:rPr>
          <w:lang w:val="uk-UA"/>
        </w:rPr>
        <w:t xml:space="preserve">. </w:t>
      </w:r>
      <w:r w:rsidR="00696A35" w:rsidRPr="000A38E5">
        <w:rPr>
          <w:lang w:val="uk-UA"/>
        </w:rPr>
        <w:t>Тоді люди з відзнаками стають лікоть до ліктя</w:t>
      </w:r>
      <w:r w:rsidR="00D83351" w:rsidRPr="00E93710">
        <w:rPr>
          <w:lang w:val="uk-UA"/>
        </w:rPr>
        <w:t xml:space="preserve">, </w:t>
      </w:r>
      <w:r w:rsidR="00696A35" w:rsidRPr="000A38E5">
        <w:rPr>
          <w:lang w:val="uk-UA"/>
        </w:rPr>
        <w:t>почина</w:t>
      </w:r>
      <w:r w:rsidR="00134CFC" w:rsidRPr="000A38E5">
        <w:rPr>
          <w:lang w:val="uk-UA"/>
        </w:rPr>
        <w:t xml:space="preserve">ють </w:t>
      </w:r>
      <w:r w:rsidR="0070130A" w:rsidRPr="000A38E5">
        <w:rPr>
          <w:lang w:val="uk-UA"/>
        </w:rPr>
        <w:t>штовхатись</w:t>
      </w:r>
      <w:r w:rsidR="00134CFC" w:rsidRPr="000A38E5">
        <w:rPr>
          <w:lang w:val="uk-UA"/>
        </w:rPr>
        <w:t xml:space="preserve">, намагаючись </w:t>
      </w:r>
      <w:r w:rsidR="00E4255C" w:rsidRPr="000A38E5">
        <w:rPr>
          <w:lang w:val="uk-UA"/>
        </w:rPr>
        <w:t xml:space="preserve">відтіснити </w:t>
      </w:r>
      <w:r w:rsidR="00696A35" w:rsidRPr="000A38E5">
        <w:rPr>
          <w:lang w:val="uk-UA"/>
        </w:rPr>
        <w:t xml:space="preserve">протестуючих до краю означеної </w:t>
      </w:r>
      <w:r w:rsidR="00E4255C" w:rsidRPr="000A38E5">
        <w:rPr>
          <w:lang w:val="uk-UA"/>
        </w:rPr>
        <w:t>ділянки</w:t>
      </w:r>
      <w:r w:rsidR="00D83351" w:rsidRPr="00E93710">
        <w:rPr>
          <w:lang w:val="uk-UA"/>
        </w:rPr>
        <w:t xml:space="preserve">. </w:t>
      </w:r>
      <w:r w:rsidR="00696A35" w:rsidRPr="000A38E5">
        <w:rPr>
          <w:lang w:val="uk-UA"/>
        </w:rPr>
        <w:t>Протестуючі опираються тиску та вигукують «Міліція!» та «Парк наш!». Прибуває велика кількість міліціонерів</w:t>
      </w:r>
      <w:r w:rsidR="00D83351" w:rsidRPr="00E93710">
        <w:rPr>
          <w:lang w:val="uk-UA"/>
        </w:rPr>
        <w:t xml:space="preserve">. </w:t>
      </w:r>
      <w:r w:rsidR="00696A35" w:rsidRPr="000A38E5">
        <w:rPr>
          <w:lang w:val="uk-UA"/>
        </w:rPr>
        <w:t>Побачивши їх, протестуючі починають скандувати «Міліція з народом</w:t>
      </w:r>
      <w:r w:rsidR="00E4255C" w:rsidRPr="000A38E5">
        <w:rPr>
          <w:lang w:val="uk-UA"/>
        </w:rPr>
        <w:t>!</w:t>
      </w:r>
      <w:r w:rsidR="00696A35" w:rsidRPr="000A38E5">
        <w:rPr>
          <w:lang w:val="uk-UA"/>
        </w:rPr>
        <w:t>».</w:t>
      </w:r>
      <w:r w:rsidR="00D83351" w:rsidRPr="00E93710">
        <w:rPr>
          <w:lang w:val="uk-UA"/>
        </w:rPr>
        <w:t xml:space="preserve"> </w:t>
      </w:r>
      <w:r w:rsidR="00696A35" w:rsidRPr="000A38E5">
        <w:rPr>
          <w:lang w:val="uk-UA"/>
        </w:rPr>
        <w:t>Коли міліція прибула, протестуючі вже були видалені від переїзду</w:t>
      </w:r>
      <w:r w:rsidR="00D83351" w:rsidRPr="00E93710">
        <w:rPr>
          <w:lang w:val="uk-UA"/>
        </w:rPr>
        <w:t xml:space="preserve"> </w:t>
      </w:r>
      <w:r w:rsidR="00696A35" w:rsidRPr="000A38E5">
        <w:rPr>
          <w:lang w:val="uk-UA"/>
        </w:rPr>
        <w:t>та оточені людьми з відзнаками в тісне коло, але усе ще в межах позначеної зони</w:t>
      </w:r>
      <w:r w:rsidR="00D83351" w:rsidRPr="00E93710">
        <w:rPr>
          <w:lang w:val="uk-UA"/>
        </w:rPr>
        <w:t xml:space="preserve">. </w:t>
      </w:r>
      <w:r w:rsidR="00696A35" w:rsidRPr="000A38E5">
        <w:rPr>
          <w:lang w:val="uk-UA"/>
        </w:rPr>
        <w:t>Головний міліціонер обмінюється нерозбірливими словами</w:t>
      </w:r>
      <w:r w:rsidR="00D83351" w:rsidRPr="00E93710">
        <w:rPr>
          <w:lang w:val="uk-UA"/>
        </w:rPr>
        <w:t xml:space="preserve"> – </w:t>
      </w:r>
      <w:r w:rsidR="00696A35" w:rsidRPr="000A38E5">
        <w:rPr>
          <w:lang w:val="uk-UA"/>
        </w:rPr>
        <w:t xml:space="preserve">видається, що він говорить «Бажаєте покинути </w:t>
      </w:r>
      <w:r w:rsidR="00696A35" w:rsidRPr="00E93710">
        <w:rPr>
          <w:lang w:val="uk-UA"/>
        </w:rPr>
        <w:t>[</w:t>
      </w:r>
      <w:r w:rsidR="00696A35" w:rsidRPr="000A38E5">
        <w:rPr>
          <w:lang w:val="uk-UA"/>
        </w:rPr>
        <w:t>територію</w:t>
      </w:r>
      <w:r w:rsidR="00696A35" w:rsidRPr="00E93710">
        <w:rPr>
          <w:lang w:val="uk-UA"/>
        </w:rPr>
        <w:t>]</w:t>
      </w:r>
      <w:r w:rsidR="00696A35" w:rsidRPr="000A38E5">
        <w:rPr>
          <w:lang w:val="uk-UA"/>
        </w:rPr>
        <w:t>?»</w:t>
      </w:r>
      <w:r w:rsidR="00D83351" w:rsidRPr="00E93710">
        <w:rPr>
          <w:lang w:val="uk-UA"/>
        </w:rPr>
        <w:t xml:space="preserve"> (</w:t>
      </w:r>
      <w:proofErr w:type="spellStart"/>
      <w:r w:rsidR="00D83351" w:rsidRPr="00E93710">
        <w:rPr>
          <w:i/>
          <w:lang w:val="uk-UA"/>
        </w:rPr>
        <w:t>Хотите</w:t>
      </w:r>
      <w:proofErr w:type="spellEnd"/>
      <w:r w:rsidR="00D83351" w:rsidRPr="00E93710">
        <w:rPr>
          <w:i/>
          <w:lang w:val="uk-UA"/>
        </w:rPr>
        <w:t xml:space="preserve"> покинуть?</w:t>
      </w:r>
      <w:r w:rsidR="00D83351" w:rsidRPr="00E93710">
        <w:rPr>
          <w:lang w:val="uk-UA"/>
        </w:rPr>
        <w:t xml:space="preserve">) – </w:t>
      </w:r>
      <w:r w:rsidR="00696A35" w:rsidRPr="000A38E5">
        <w:rPr>
          <w:lang w:val="uk-UA"/>
        </w:rPr>
        <w:t>особі, яка видається одним з протестуючих</w:t>
      </w:r>
      <w:r w:rsidR="00D83351" w:rsidRPr="00E93710">
        <w:rPr>
          <w:lang w:val="uk-UA"/>
        </w:rPr>
        <w:t xml:space="preserve">, </w:t>
      </w:r>
      <w:r w:rsidR="00696A35" w:rsidRPr="000A38E5">
        <w:rPr>
          <w:lang w:val="uk-UA"/>
        </w:rPr>
        <w:t>і каже іншим міліціонерам</w:t>
      </w:r>
      <w:r w:rsidR="00D83351" w:rsidRPr="00E93710">
        <w:rPr>
          <w:lang w:val="uk-UA"/>
        </w:rPr>
        <w:t xml:space="preserve"> </w:t>
      </w:r>
      <w:r w:rsidR="00696A35" w:rsidRPr="00E93710">
        <w:rPr>
          <w:lang w:val="uk-UA"/>
        </w:rPr>
        <w:t xml:space="preserve">«До </w:t>
      </w:r>
      <w:r w:rsidR="00696A35" w:rsidRPr="000A38E5">
        <w:rPr>
          <w:lang w:val="uk-UA"/>
        </w:rPr>
        <w:t>відділку</w:t>
      </w:r>
      <w:r w:rsidR="00696A35" w:rsidRPr="00E93710">
        <w:rPr>
          <w:lang w:val="uk-UA"/>
        </w:rPr>
        <w:t>!»</w:t>
      </w:r>
      <w:r w:rsidR="00D83351" w:rsidRPr="00E93710">
        <w:rPr>
          <w:lang w:val="uk-UA"/>
        </w:rPr>
        <w:t xml:space="preserve">. </w:t>
      </w:r>
      <w:r w:rsidR="00696A35" w:rsidRPr="000A38E5">
        <w:rPr>
          <w:lang w:val="uk-UA"/>
        </w:rPr>
        <w:t xml:space="preserve">Точний діалог складно почути, оскільки навкруги </w:t>
      </w:r>
      <w:r w:rsidR="00E4255C" w:rsidRPr="000A38E5">
        <w:rPr>
          <w:lang w:val="uk-UA"/>
        </w:rPr>
        <w:t xml:space="preserve">занадто багато </w:t>
      </w:r>
      <w:r w:rsidR="002858FE" w:rsidRPr="000A38E5">
        <w:rPr>
          <w:lang w:val="uk-UA"/>
        </w:rPr>
        <w:t>галас</w:t>
      </w:r>
      <w:r w:rsidR="00E4255C" w:rsidRPr="000A38E5">
        <w:rPr>
          <w:lang w:val="uk-UA"/>
        </w:rPr>
        <w:t>у</w:t>
      </w:r>
      <w:r w:rsidR="00D83351" w:rsidRPr="00E93710">
        <w:rPr>
          <w:lang w:val="uk-UA"/>
        </w:rPr>
        <w:t xml:space="preserve">, </w:t>
      </w:r>
      <w:r w:rsidR="00E4255C" w:rsidRPr="00E93710">
        <w:rPr>
          <w:lang w:val="uk-UA"/>
        </w:rPr>
        <w:t xml:space="preserve">особливо </w:t>
      </w:r>
      <w:r w:rsidR="00696A35" w:rsidRPr="000A38E5">
        <w:rPr>
          <w:lang w:val="uk-UA"/>
        </w:rPr>
        <w:t>від протестуючих</w:t>
      </w:r>
      <w:r w:rsidR="00D83351" w:rsidRPr="00E93710">
        <w:rPr>
          <w:lang w:val="uk-UA"/>
        </w:rPr>
        <w:t xml:space="preserve">, </w:t>
      </w:r>
      <w:r w:rsidR="00696A35" w:rsidRPr="000A38E5">
        <w:rPr>
          <w:lang w:val="uk-UA"/>
        </w:rPr>
        <w:t>які продовжують скандувати «Міліція з народом!»</w:t>
      </w:r>
      <w:r w:rsidR="005946BC" w:rsidRPr="000A38E5">
        <w:rPr>
          <w:lang w:val="uk-UA"/>
        </w:rPr>
        <w:t>.</w:t>
      </w:r>
      <w:r w:rsidR="00D83351" w:rsidRPr="00E93710">
        <w:rPr>
          <w:lang w:val="uk-UA"/>
        </w:rPr>
        <w:t xml:space="preserve"> </w:t>
      </w:r>
      <w:r w:rsidR="005946BC" w:rsidRPr="000A38E5">
        <w:rPr>
          <w:lang w:val="uk-UA"/>
        </w:rPr>
        <w:t xml:space="preserve">Після цього міліціонери починають </w:t>
      </w:r>
      <w:r w:rsidR="00B43C93" w:rsidRPr="000A38E5">
        <w:rPr>
          <w:lang w:val="uk-UA"/>
        </w:rPr>
        <w:t>вихоплювати</w:t>
      </w:r>
      <w:r w:rsidR="005946BC" w:rsidRPr="000A38E5">
        <w:rPr>
          <w:lang w:val="uk-UA"/>
        </w:rPr>
        <w:t xml:space="preserve"> людей з натовпу</w:t>
      </w:r>
      <w:r w:rsidR="00D83351" w:rsidRPr="00E93710">
        <w:rPr>
          <w:lang w:val="uk-UA"/>
        </w:rPr>
        <w:t xml:space="preserve"> </w:t>
      </w:r>
      <w:r w:rsidR="005946BC" w:rsidRPr="000A38E5">
        <w:rPr>
          <w:lang w:val="uk-UA"/>
        </w:rPr>
        <w:t>та виводити з позначеної зони</w:t>
      </w:r>
      <w:r w:rsidR="00D83351" w:rsidRPr="00E93710">
        <w:rPr>
          <w:lang w:val="uk-UA"/>
        </w:rPr>
        <w:t xml:space="preserve">. </w:t>
      </w:r>
      <w:r w:rsidR="005946BC" w:rsidRPr="000A38E5">
        <w:rPr>
          <w:lang w:val="uk-UA"/>
        </w:rPr>
        <w:t>Декілька людей волочуть ноги та сперечаються</w:t>
      </w:r>
      <w:r w:rsidR="00D83351" w:rsidRPr="00E93710">
        <w:rPr>
          <w:lang w:val="uk-UA"/>
        </w:rPr>
        <w:t xml:space="preserve">. </w:t>
      </w:r>
      <w:r w:rsidR="005946BC" w:rsidRPr="000A38E5">
        <w:rPr>
          <w:lang w:val="uk-UA"/>
        </w:rPr>
        <w:t>Згодом зона, яку раніше займали протестуючі, звільняється,</w:t>
      </w:r>
      <w:r w:rsidR="00D83351" w:rsidRPr="00E93710">
        <w:rPr>
          <w:lang w:val="uk-UA"/>
        </w:rPr>
        <w:t xml:space="preserve"> </w:t>
      </w:r>
      <w:r w:rsidR="005946BC" w:rsidRPr="000A38E5">
        <w:rPr>
          <w:lang w:val="uk-UA"/>
        </w:rPr>
        <w:t>та по ній проїжджає екскаватор</w:t>
      </w:r>
      <w:r w:rsidR="00D83351" w:rsidRPr="00E93710">
        <w:rPr>
          <w:lang w:val="uk-UA"/>
        </w:rPr>
        <w:t>.</w:t>
      </w:r>
    </w:p>
    <w:p w:rsidR="00D83351" w:rsidRPr="000A38E5" w:rsidRDefault="00D83351" w:rsidP="00852217">
      <w:pPr>
        <w:pStyle w:val="ECHRHeading4"/>
        <w:rPr>
          <w:lang w:val="uk-UA"/>
        </w:rPr>
      </w:pPr>
      <w:r w:rsidRPr="00E93710">
        <w:rPr>
          <w:lang w:val="uk-UA"/>
        </w:rPr>
        <w:lastRenderedPageBreak/>
        <w:t>(a)</w:t>
      </w:r>
      <w:r w:rsidR="00334477" w:rsidRPr="000A38E5">
        <w:rPr>
          <w:lang w:val="uk-UA"/>
        </w:rPr>
        <w:t xml:space="preserve"> </w:t>
      </w:r>
      <w:r w:rsidR="005946BC" w:rsidRPr="000A38E5">
        <w:rPr>
          <w:lang w:val="uk-UA"/>
        </w:rPr>
        <w:t>Перший та другий заявники</w:t>
      </w:r>
    </w:p>
    <w:bookmarkStart w:id="28" w:name="first_applicant_statement_to_police"/>
    <w:p w:rsidR="00D83351" w:rsidRPr="000A38E5"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46</w:t>
      </w:r>
      <w:r w:rsidRPr="00E93710">
        <w:rPr>
          <w:lang w:val="uk-UA"/>
        </w:rPr>
        <w:fldChar w:fldCharType="end"/>
      </w:r>
      <w:bookmarkEnd w:id="28"/>
      <w:r w:rsidR="00D83351" w:rsidRPr="00E93710">
        <w:rPr>
          <w:lang w:val="uk-UA"/>
        </w:rPr>
        <w:t>.</w:t>
      </w:r>
      <w:r w:rsidR="00334477" w:rsidRPr="000A38E5">
        <w:rPr>
          <w:lang w:val="uk-UA"/>
        </w:rPr>
        <w:t xml:space="preserve"> </w:t>
      </w:r>
      <w:r w:rsidR="005946BC" w:rsidRPr="000A38E5">
        <w:rPr>
          <w:lang w:val="uk-UA"/>
        </w:rPr>
        <w:t>У своїй заяві в міліції перший заявник сказав,</w:t>
      </w:r>
      <w:r w:rsidR="00D83351" w:rsidRPr="00E93710">
        <w:rPr>
          <w:lang w:val="uk-UA"/>
        </w:rPr>
        <w:t xml:space="preserve"> </w:t>
      </w:r>
      <w:r w:rsidR="005946BC" w:rsidRPr="000A38E5">
        <w:rPr>
          <w:lang w:val="uk-UA"/>
        </w:rPr>
        <w:t>що о 7:30 ранку 28 травня</w:t>
      </w:r>
      <w:r w:rsidR="00D83351" w:rsidRPr="00E93710">
        <w:rPr>
          <w:lang w:val="uk-UA"/>
        </w:rPr>
        <w:t xml:space="preserve"> 2010 </w:t>
      </w:r>
      <w:r w:rsidR="005946BC" w:rsidRPr="000A38E5">
        <w:rPr>
          <w:lang w:val="uk-UA"/>
        </w:rPr>
        <w:t>р</w:t>
      </w:r>
      <w:r w:rsidR="00E4255C" w:rsidRPr="000A38E5">
        <w:rPr>
          <w:lang w:val="uk-UA"/>
        </w:rPr>
        <w:t>оку</w:t>
      </w:r>
      <w:r w:rsidR="005946BC" w:rsidRPr="000A38E5">
        <w:rPr>
          <w:lang w:val="uk-UA"/>
        </w:rPr>
        <w:t xml:space="preserve"> він був у парку </w:t>
      </w:r>
      <w:r w:rsidR="0085000B" w:rsidRPr="000A38E5">
        <w:rPr>
          <w:lang w:val="uk-UA"/>
        </w:rPr>
        <w:t>ім.</w:t>
      </w:r>
      <w:r w:rsidR="005946BC" w:rsidRPr="000A38E5">
        <w:rPr>
          <w:lang w:val="uk-UA"/>
        </w:rPr>
        <w:t xml:space="preserve"> Горького з</w:t>
      </w:r>
      <w:r w:rsidR="00C910D2" w:rsidRPr="000A38E5">
        <w:rPr>
          <w:lang w:val="uk-UA"/>
        </w:rPr>
        <w:t>і</w:t>
      </w:r>
      <w:r w:rsidR="005946BC" w:rsidRPr="000A38E5">
        <w:rPr>
          <w:lang w:val="uk-UA"/>
        </w:rPr>
        <w:t xml:space="preserve"> своїм велосипедом</w:t>
      </w:r>
      <w:r w:rsidR="00D83351" w:rsidRPr="000A38E5">
        <w:rPr>
          <w:lang w:val="uk-UA"/>
        </w:rPr>
        <w:t xml:space="preserve">. </w:t>
      </w:r>
      <w:r w:rsidR="005946BC" w:rsidRPr="000A38E5">
        <w:rPr>
          <w:lang w:val="uk-UA"/>
        </w:rPr>
        <w:t xml:space="preserve">Його схопили люди з відзнаками </w:t>
      </w:r>
      <w:proofErr w:type="spellStart"/>
      <w:r w:rsidR="005946BC" w:rsidRPr="000A38E5">
        <w:rPr>
          <w:lang w:val="uk-UA"/>
        </w:rPr>
        <w:t>МО</w:t>
      </w:r>
      <w:proofErr w:type="spellEnd"/>
      <w:r w:rsidR="00D83351" w:rsidRPr="000A38E5">
        <w:rPr>
          <w:lang w:val="uk-UA"/>
        </w:rPr>
        <w:t xml:space="preserve"> </w:t>
      </w:r>
      <w:r w:rsidR="005946BC" w:rsidRPr="000A38E5">
        <w:rPr>
          <w:lang w:val="uk-UA"/>
        </w:rPr>
        <w:t>та передали міліції</w:t>
      </w:r>
      <w:r w:rsidR="00D83351" w:rsidRPr="000A38E5">
        <w:rPr>
          <w:lang w:val="uk-UA"/>
        </w:rPr>
        <w:t>.</w:t>
      </w:r>
    </w:p>
    <w:bookmarkStart w:id="29" w:name="second_applicant_statement_to_police"/>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47</w:t>
      </w:r>
      <w:r w:rsidRPr="00E93710">
        <w:rPr>
          <w:lang w:val="uk-UA"/>
        </w:rPr>
        <w:fldChar w:fldCharType="end"/>
      </w:r>
      <w:bookmarkEnd w:id="29"/>
      <w:r w:rsidR="00D83351" w:rsidRPr="00E93710">
        <w:rPr>
          <w:lang w:val="uk-UA"/>
        </w:rPr>
        <w:t>.</w:t>
      </w:r>
      <w:r w:rsidR="00334477" w:rsidRPr="000A38E5">
        <w:rPr>
          <w:lang w:val="uk-UA"/>
        </w:rPr>
        <w:t xml:space="preserve"> </w:t>
      </w:r>
      <w:r w:rsidR="005946BC" w:rsidRPr="000A38E5">
        <w:rPr>
          <w:lang w:val="uk-UA"/>
        </w:rPr>
        <w:t>У своїй заяві в міліції другий заявник</w:t>
      </w:r>
      <w:r w:rsidR="00D83351" w:rsidRPr="00E93710">
        <w:rPr>
          <w:lang w:val="uk-UA"/>
        </w:rPr>
        <w:t xml:space="preserve"> </w:t>
      </w:r>
      <w:r w:rsidR="005946BC" w:rsidRPr="000A38E5">
        <w:rPr>
          <w:lang w:val="uk-UA"/>
        </w:rPr>
        <w:t>стверджував, що о 7:20 ранку 28 травня</w:t>
      </w:r>
      <w:r w:rsidR="00D83351" w:rsidRPr="00E93710">
        <w:rPr>
          <w:lang w:val="uk-UA"/>
        </w:rPr>
        <w:t xml:space="preserve"> 2010 </w:t>
      </w:r>
      <w:r w:rsidR="005946BC" w:rsidRPr="000A38E5">
        <w:rPr>
          <w:lang w:val="uk-UA"/>
        </w:rPr>
        <w:t>р</w:t>
      </w:r>
      <w:r w:rsidR="00E4255C" w:rsidRPr="000A38E5">
        <w:rPr>
          <w:lang w:val="uk-UA"/>
        </w:rPr>
        <w:t>оку</w:t>
      </w:r>
      <w:r w:rsidR="005946BC" w:rsidRPr="000A38E5">
        <w:rPr>
          <w:lang w:val="uk-UA"/>
        </w:rPr>
        <w:t xml:space="preserve"> він був у парку біля залізничного переїзду</w:t>
      </w:r>
      <w:r w:rsidR="00D83351" w:rsidRPr="00E93710">
        <w:rPr>
          <w:lang w:val="uk-UA"/>
        </w:rPr>
        <w:t xml:space="preserve">, </w:t>
      </w:r>
      <w:r w:rsidR="005946BC" w:rsidRPr="000A38E5">
        <w:rPr>
          <w:lang w:val="uk-UA"/>
        </w:rPr>
        <w:t>де бачив натовп та підійшов ближче, щоб узнати, що трапилося</w:t>
      </w:r>
      <w:r w:rsidR="00D83351" w:rsidRPr="00E93710">
        <w:rPr>
          <w:lang w:val="uk-UA"/>
        </w:rPr>
        <w:t xml:space="preserve">. </w:t>
      </w:r>
      <w:r w:rsidR="005946BC" w:rsidRPr="000A38E5">
        <w:rPr>
          <w:lang w:val="uk-UA"/>
        </w:rPr>
        <w:t>Він не знав, що там проводилося будівництво</w:t>
      </w:r>
      <w:r w:rsidR="00D83351" w:rsidRPr="00E93710">
        <w:rPr>
          <w:lang w:val="uk-UA"/>
        </w:rPr>
        <w:t xml:space="preserve">. </w:t>
      </w:r>
      <w:r w:rsidR="005946BC" w:rsidRPr="000A38E5">
        <w:rPr>
          <w:lang w:val="uk-UA"/>
        </w:rPr>
        <w:t xml:space="preserve">Особи з відзнаками </w:t>
      </w:r>
      <w:proofErr w:type="spellStart"/>
      <w:r w:rsidR="005946BC" w:rsidRPr="000A38E5">
        <w:rPr>
          <w:lang w:val="uk-UA"/>
        </w:rPr>
        <w:t>МО</w:t>
      </w:r>
      <w:proofErr w:type="spellEnd"/>
      <w:r w:rsidR="005946BC" w:rsidRPr="000A38E5">
        <w:rPr>
          <w:lang w:val="uk-UA"/>
        </w:rPr>
        <w:t xml:space="preserve"> відштовхнули його та інших від залізничного переїзду</w:t>
      </w:r>
      <w:r w:rsidR="00D83351" w:rsidRPr="00E93710">
        <w:rPr>
          <w:lang w:val="uk-UA"/>
        </w:rPr>
        <w:t xml:space="preserve"> </w:t>
      </w:r>
      <w:r w:rsidR="005946BC" w:rsidRPr="000A38E5">
        <w:rPr>
          <w:lang w:val="uk-UA"/>
        </w:rPr>
        <w:t>та оточили</w:t>
      </w:r>
      <w:r w:rsidR="00D83351" w:rsidRPr="00E93710">
        <w:rPr>
          <w:lang w:val="uk-UA"/>
        </w:rPr>
        <w:t xml:space="preserve">. </w:t>
      </w:r>
      <w:r w:rsidR="005946BC" w:rsidRPr="000A38E5">
        <w:rPr>
          <w:lang w:val="uk-UA"/>
        </w:rPr>
        <w:t>Після цього підійшли міліціонери та витягли його з кола</w:t>
      </w:r>
      <w:r w:rsidR="00D83351" w:rsidRPr="00E93710">
        <w:rPr>
          <w:lang w:val="uk-UA"/>
        </w:rPr>
        <w:t xml:space="preserve"> </w:t>
      </w:r>
      <w:r w:rsidR="005946BC" w:rsidRPr="000A38E5">
        <w:rPr>
          <w:lang w:val="uk-UA"/>
        </w:rPr>
        <w:t>й відвели до відділку</w:t>
      </w:r>
      <w:r w:rsidR="00D83351" w:rsidRPr="00E93710">
        <w:rPr>
          <w:lang w:val="uk-UA"/>
        </w:rPr>
        <w:t xml:space="preserve">. </w:t>
      </w:r>
      <w:r w:rsidR="005946BC" w:rsidRPr="000A38E5">
        <w:rPr>
          <w:lang w:val="uk-UA"/>
        </w:rPr>
        <w:t>Він не чув ніяких попереджень залишити місце будівництва</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48</w:t>
      </w:r>
      <w:r w:rsidRPr="00E93710">
        <w:rPr>
          <w:noProof/>
          <w:lang w:val="uk-UA"/>
        </w:rPr>
        <w:fldChar w:fldCharType="end"/>
      </w:r>
      <w:r w:rsidR="00D83351" w:rsidRPr="00E93710">
        <w:rPr>
          <w:lang w:val="uk-UA"/>
        </w:rPr>
        <w:t>.</w:t>
      </w:r>
      <w:r w:rsidR="00334477" w:rsidRPr="000A38E5">
        <w:rPr>
          <w:lang w:val="uk-UA"/>
        </w:rPr>
        <w:t xml:space="preserve"> </w:t>
      </w:r>
      <w:r w:rsidR="005727CD" w:rsidRPr="000A38E5">
        <w:rPr>
          <w:lang w:val="uk-UA"/>
        </w:rPr>
        <w:t>28 травня</w:t>
      </w:r>
      <w:r w:rsidR="00D83351" w:rsidRPr="00E93710">
        <w:rPr>
          <w:lang w:val="uk-UA"/>
        </w:rPr>
        <w:t xml:space="preserve"> 2010 </w:t>
      </w:r>
      <w:r w:rsidR="005727CD" w:rsidRPr="000A38E5">
        <w:rPr>
          <w:lang w:val="uk-UA"/>
        </w:rPr>
        <w:t>р</w:t>
      </w:r>
      <w:r w:rsidR="00E4255C" w:rsidRPr="000A38E5">
        <w:rPr>
          <w:lang w:val="uk-UA"/>
        </w:rPr>
        <w:t>оку</w:t>
      </w:r>
      <w:r w:rsidR="005727CD" w:rsidRPr="000A38E5">
        <w:rPr>
          <w:lang w:val="uk-UA"/>
        </w:rPr>
        <w:t xml:space="preserve"> справи проти першого та другого заявника були відправлені до суду</w:t>
      </w:r>
      <w:r w:rsidR="00D83351" w:rsidRPr="00E93710">
        <w:rPr>
          <w:lang w:val="uk-UA"/>
        </w:rPr>
        <w:t xml:space="preserve">. </w:t>
      </w:r>
      <w:r w:rsidR="005727CD" w:rsidRPr="000A38E5">
        <w:rPr>
          <w:lang w:val="uk-UA"/>
        </w:rPr>
        <w:t>Заявники просили відкласти слухання за їх справами,</w:t>
      </w:r>
      <w:r w:rsidR="00D83351" w:rsidRPr="00E93710">
        <w:rPr>
          <w:lang w:val="uk-UA"/>
        </w:rPr>
        <w:t xml:space="preserve"> </w:t>
      </w:r>
      <w:r w:rsidR="005727CD" w:rsidRPr="000A38E5">
        <w:rPr>
          <w:lang w:val="uk-UA"/>
        </w:rPr>
        <w:t>оскільки потребували часу для призначення адвоката</w:t>
      </w:r>
      <w:r w:rsidR="00D83351" w:rsidRPr="00E93710">
        <w:rPr>
          <w:lang w:val="uk-UA"/>
        </w:rPr>
        <w:t xml:space="preserve">. </w:t>
      </w:r>
      <w:r w:rsidR="005727CD" w:rsidRPr="000A38E5">
        <w:rPr>
          <w:lang w:val="uk-UA"/>
        </w:rPr>
        <w:t>Вони призначили адвоката того ж дня</w:t>
      </w:r>
      <w:r w:rsidR="00D83351" w:rsidRPr="00E93710">
        <w:rPr>
          <w:lang w:val="uk-UA"/>
        </w:rPr>
        <w:t>.</w:t>
      </w:r>
    </w:p>
    <w:bookmarkStart w:id="30" w:name="second_applicants_adminoffence_reports"/>
    <w:p w:rsidR="00D83351" w:rsidRPr="000A38E5"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49</w:t>
      </w:r>
      <w:r w:rsidRPr="00E93710">
        <w:rPr>
          <w:lang w:val="uk-UA"/>
        </w:rPr>
        <w:fldChar w:fldCharType="end"/>
      </w:r>
      <w:bookmarkEnd w:id="30"/>
      <w:r w:rsidR="00D83351" w:rsidRPr="00E93710">
        <w:rPr>
          <w:lang w:val="uk-UA"/>
        </w:rPr>
        <w:t>.</w:t>
      </w:r>
      <w:r w:rsidR="00334477" w:rsidRPr="000A38E5">
        <w:rPr>
          <w:lang w:val="uk-UA"/>
        </w:rPr>
        <w:t xml:space="preserve"> </w:t>
      </w:r>
      <w:r w:rsidR="005727CD" w:rsidRPr="000A38E5">
        <w:rPr>
          <w:lang w:val="uk-UA"/>
        </w:rPr>
        <w:t>Матеріали справи стосовно адміністративного правопорушення другого заявника</w:t>
      </w:r>
      <w:r w:rsidR="00D83351" w:rsidRPr="00E93710">
        <w:rPr>
          <w:lang w:val="uk-UA"/>
        </w:rPr>
        <w:t xml:space="preserve"> </w:t>
      </w:r>
      <w:r w:rsidR="005727CD" w:rsidRPr="000A38E5">
        <w:rPr>
          <w:lang w:val="uk-UA"/>
        </w:rPr>
        <w:t xml:space="preserve">містять дві версії </w:t>
      </w:r>
      <w:r w:rsidR="00E4255C" w:rsidRPr="000A38E5">
        <w:rPr>
          <w:lang w:val="uk-UA"/>
        </w:rPr>
        <w:t>рапорту</w:t>
      </w:r>
      <w:r w:rsidR="005727CD" w:rsidRPr="000A38E5">
        <w:rPr>
          <w:lang w:val="uk-UA"/>
        </w:rPr>
        <w:t>, складеного міліціонерами</w:t>
      </w:r>
      <w:r w:rsidR="00E4255C" w:rsidRPr="000A38E5">
        <w:rPr>
          <w:lang w:val="uk-UA"/>
        </w:rPr>
        <w:t>, що затримували,</w:t>
      </w:r>
      <w:r w:rsidR="00D83351" w:rsidRPr="00E93710">
        <w:rPr>
          <w:lang w:val="uk-UA"/>
        </w:rPr>
        <w:t xml:space="preserve"> </w:t>
      </w:r>
      <w:r w:rsidR="005727CD" w:rsidRPr="000A38E5">
        <w:rPr>
          <w:lang w:val="uk-UA"/>
        </w:rPr>
        <w:t>та адресованого їх начальникам стосовно обставин арешту</w:t>
      </w:r>
      <w:r w:rsidR="00D83351" w:rsidRPr="00E93710">
        <w:rPr>
          <w:lang w:val="uk-UA"/>
        </w:rPr>
        <w:t xml:space="preserve">. </w:t>
      </w:r>
      <w:r w:rsidR="005727CD" w:rsidRPr="000A38E5">
        <w:rPr>
          <w:lang w:val="uk-UA"/>
        </w:rPr>
        <w:t>В першій версії говориться, що другий заявник був відправлений до міліцейського відділку,</w:t>
      </w:r>
      <w:r w:rsidR="00D83351" w:rsidRPr="00E93710">
        <w:rPr>
          <w:lang w:val="uk-UA"/>
        </w:rPr>
        <w:t xml:space="preserve"> </w:t>
      </w:r>
      <w:r w:rsidR="005727CD" w:rsidRPr="000A38E5">
        <w:rPr>
          <w:lang w:val="uk-UA"/>
        </w:rPr>
        <w:t xml:space="preserve">тому що протестував на місці будівництва у парку </w:t>
      </w:r>
      <w:r w:rsidR="0085000B" w:rsidRPr="000A38E5">
        <w:rPr>
          <w:lang w:val="uk-UA"/>
        </w:rPr>
        <w:t>ім.</w:t>
      </w:r>
      <w:r w:rsidR="005727CD" w:rsidRPr="000A38E5">
        <w:rPr>
          <w:lang w:val="uk-UA"/>
        </w:rPr>
        <w:t xml:space="preserve"> Горького</w:t>
      </w:r>
      <w:r w:rsidR="00D83351" w:rsidRPr="00E93710">
        <w:rPr>
          <w:lang w:val="uk-UA"/>
        </w:rPr>
        <w:t xml:space="preserve">, </w:t>
      </w:r>
      <w:r w:rsidR="005727CD" w:rsidRPr="000A38E5">
        <w:rPr>
          <w:lang w:val="uk-UA"/>
        </w:rPr>
        <w:t>і таким чином поставив своє життя під загрозу та втручався в будівельні роботи</w:t>
      </w:r>
      <w:r w:rsidR="00D83351" w:rsidRPr="00E93710">
        <w:rPr>
          <w:lang w:val="uk-UA"/>
        </w:rPr>
        <w:t xml:space="preserve">. </w:t>
      </w:r>
      <w:r w:rsidR="005727CD" w:rsidRPr="000A38E5">
        <w:rPr>
          <w:lang w:val="uk-UA"/>
        </w:rPr>
        <w:t>У другій версії говориться, що заявник був присутній</w:t>
      </w:r>
      <w:r w:rsidR="00D83351" w:rsidRPr="00E93710">
        <w:rPr>
          <w:lang w:val="uk-UA"/>
        </w:rPr>
        <w:t xml:space="preserve"> </w:t>
      </w:r>
      <w:r w:rsidR="005727CD" w:rsidRPr="000A38E5">
        <w:rPr>
          <w:lang w:val="uk-UA"/>
        </w:rPr>
        <w:t xml:space="preserve">на місці будівництва у парку </w:t>
      </w:r>
      <w:r w:rsidR="0085000B" w:rsidRPr="000A38E5">
        <w:rPr>
          <w:lang w:val="uk-UA"/>
        </w:rPr>
        <w:t>ім.</w:t>
      </w:r>
      <w:r w:rsidR="005727CD" w:rsidRPr="000A38E5">
        <w:rPr>
          <w:lang w:val="uk-UA"/>
        </w:rPr>
        <w:t xml:space="preserve"> Горького</w:t>
      </w:r>
      <w:r w:rsidR="00D83351" w:rsidRPr="000A38E5">
        <w:rPr>
          <w:lang w:val="uk-UA"/>
        </w:rPr>
        <w:t xml:space="preserve">, </w:t>
      </w:r>
      <w:r w:rsidR="005727CD" w:rsidRPr="000A38E5">
        <w:rPr>
          <w:lang w:val="uk-UA"/>
        </w:rPr>
        <w:t>відмовився залишити місце, незважаючи на численні попередження міліціонерів</w:t>
      </w:r>
      <w:r w:rsidR="00D83351" w:rsidRPr="000A38E5">
        <w:rPr>
          <w:lang w:val="uk-UA"/>
        </w:rPr>
        <w:t xml:space="preserve">, </w:t>
      </w:r>
      <w:r w:rsidR="005727CD" w:rsidRPr="000A38E5">
        <w:rPr>
          <w:lang w:val="uk-UA"/>
        </w:rPr>
        <w:t>та чинив опір, коли міліціонери намагалися відвести його від місця будівництва</w:t>
      </w:r>
      <w:r w:rsidR="00D83351" w:rsidRPr="000A38E5">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50</w:t>
      </w:r>
      <w:r w:rsidRPr="00E93710">
        <w:rPr>
          <w:noProof/>
          <w:lang w:val="uk-UA"/>
        </w:rPr>
        <w:fldChar w:fldCharType="end"/>
      </w:r>
      <w:r w:rsidR="00D83351" w:rsidRPr="00E93710">
        <w:rPr>
          <w:lang w:val="uk-UA"/>
        </w:rPr>
        <w:t>.</w:t>
      </w:r>
      <w:r w:rsidR="00334477" w:rsidRPr="000A38E5">
        <w:rPr>
          <w:lang w:val="uk-UA"/>
        </w:rPr>
        <w:t xml:space="preserve"> </w:t>
      </w:r>
      <w:r w:rsidR="005727CD" w:rsidRPr="000A38E5">
        <w:rPr>
          <w:lang w:val="uk-UA"/>
        </w:rPr>
        <w:t>31 травня</w:t>
      </w:r>
      <w:r w:rsidR="00D83351" w:rsidRPr="00E93710">
        <w:rPr>
          <w:lang w:val="uk-UA"/>
        </w:rPr>
        <w:t xml:space="preserve"> 2010 </w:t>
      </w:r>
      <w:r w:rsidR="005727CD" w:rsidRPr="000A38E5">
        <w:rPr>
          <w:lang w:val="uk-UA"/>
        </w:rPr>
        <w:t>р</w:t>
      </w:r>
      <w:r w:rsidR="00E4255C" w:rsidRPr="000A38E5">
        <w:rPr>
          <w:lang w:val="uk-UA"/>
        </w:rPr>
        <w:t>оку</w:t>
      </w:r>
      <w:r w:rsidR="005727CD" w:rsidRPr="000A38E5">
        <w:rPr>
          <w:lang w:val="uk-UA"/>
        </w:rPr>
        <w:t xml:space="preserve"> адвокат першого та другого заявників</w:t>
      </w:r>
      <w:r w:rsidR="00D83351" w:rsidRPr="00E93710">
        <w:rPr>
          <w:lang w:val="uk-UA"/>
        </w:rPr>
        <w:t xml:space="preserve"> </w:t>
      </w:r>
      <w:r w:rsidR="005727CD" w:rsidRPr="000A38E5">
        <w:rPr>
          <w:lang w:val="uk-UA"/>
        </w:rPr>
        <w:t xml:space="preserve">попросив суд </w:t>
      </w:r>
      <w:r w:rsidR="00E4255C" w:rsidRPr="000A38E5">
        <w:rPr>
          <w:lang w:val="uk-UA"/>
        </w:rPr>
        <w:t xml:space="preserve">долучити </w:t>
      </w:r>
      <w:r w:rsidR="005727CD" w:rsidRPr="000A38E5">
        <w:rPr>
          <w:lang w:val="uk-UA"/>
        </w:rPr>
        <w:t>до матеріалів та розглянути</w:t>
      </w:r>
      <w:r w:rsidR="00D83351" w:rsidRPr="00E93710">
        <w:rPr>
          <w:lang w:val="uk-UA"/>
        </w:rPr>
        <w:t xml:space="preserve"> </w:t>
      </w:r>
      <w:r w:rsidR="005727CD" w:rsidRPr="000A38E5">
        <w:rPr>
          <w:lang w:val="uk-UA"/>
        </w:rPr>
        <w:t>відеозапис подій 28 травня</w:t>
      </w:r>
      <w:r w:rsidR="00D83351" w:rsidRPr="00E93710">
        <w:rPr>
          <w:lang w:val="uk-UA"/>
        </w:rPr>
        <w:t xml:space="preserve"> 2010</w:t>
      </w:r>
      <w:r w:rsidR="005727CD" w:rsidRPr="00E93710">
        <w:rPr>
          <w:lang w:val="uk-UA"/>
        </w:rPr>
        <w:t xml:space="preserve"> р</w:t>
      </w:r>
      <w:r w:rsidR="00E4255C" w:rsidRPr="00E93710">
        <w:rPr>
          <w:lang w:val="uk-UA"/>
        </w:rPr>
        <w:t>оку</w:t>
      </w:r>
      <w:r w:rsidR="00D83351" w:rsidRPr="00E93710">
        <w:rPr>
          <w:lang w:val="uk-UA"/>
        </w:rPr>
        <w:t>.</w:t>
      </w:r>
    </w:p>
    <w:bookmarkStart w:id="31" w:name="court_examined_video"/>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51</w:t>
      </w:r>
      <w:r w:rsidRPr="00E93710">
        <w:rPr>
          <w:lang w:val="uk-UA"/>
        </w:rPr>
        <w:fldChar w:fldCharType="end"/>
      </w:r>
      <w:bookmarkEnd w:id="31"/>
      <w:r w:rsidR="00D83351" w:rsidRPr="00E93710">
        <w:rPr>
          <w:lang w:val="uk-UA"/>
        </w:rPr>
        <w:t>.</w:t>
      </w:r>
      <w:r w:rsidR="00334477" w:rsidRPr="000A38E5">
        <w:rPr>
          <w:lang w:val="uk-UA"/>
        </w:rPr>
        <w:t xml:space="preserve"> </w:t>
      </w:r>
      <w:r w:rsidR="00260CBE" w:rsidRPr="000A38E5">
        <w:rPr>
          <w:lang w:val="uk-UA"/>
        </w:rPr>
        <w:t>9 червня</w:t>
      </w:r>
      <w:r w:rsidR="00D83351" w:rsidRPr="00E93710">
        <w:rPr>
          <w:lang w:val="uk-UA"/>
        </w:rPr>
        <w:t xml:space="preserve"> 2010 </w:t>
      </w:r>
      <w:r w:rsidR="00260CBE" w:rsidRPr="000A38E5">
        <w:rPr>
          <w:lang w:val="uk-UA"/>
        </w:rPr>
        <w:t>р</w:t>
      </w:r>
      <w:r w:rsidR="00E4255C" w:rsidRPr="000A38E5">
        <w:rPr>
          <w:lang w:val="uk-UA"/>
        </w:rPr>
        <w:t>оку</w:t>
      </w:r>
      <w:r w:rsidR="00260CBE" w:rsidRPr="000A38E5">
        <w:rPr>
          <w:lang w:val="uk-UA"/>
        </w:rPr>
        <w:t xml:space="preserve"> районний суд провів слухання, на якому вислухав міліціонерів,</w:t>
      </w:r>
      <w:r w:rsidR="00D83351" w:rsidRPr="00E93710">
        <w:rPr>
          <w:lang w:val="uk-UA"/>
        </w:rPr>
        <w:t xml:space="preserve"> </w:t>
      </w:r>
      <w:r w:rsidR="00260CBE" w:rsidRPr="000A38E5">
        <w:rPr>
          <w:lang w:val="uk-UA"/>
        </w:rPr>
        <w:t>які підтверджували обвинувачення та опис подій,</w:t>
      </w:r>
      <w:r w:rsidR="00D83351" w:rsidRPr="00E93710">
        <w:rPr>
          <w:lang w:val="uk-UA"/>
        </w:rPr>
        <w:t xml:space="preserve"> </w:t>
      </w:r>
      <w:r w:rsidR="00260CBE" w:rsidRPr="000A38E5">
        <w:rPr>
          <w:lang w:val="uk-UA"/>
        </w:rPr>
        <w:t>зазначений у звітах про порушення</w:t>
      </w:r>
      <w:r w:rsidR="00D83351" w:rsidRPr="00E93710">
        <w:rPr>
          <w:lang w:val="uk-UA"/>
        </w:rPr>
        <w:t xml:space="preserve">. </w:t>
      </w:r>
      <w:r w:rsidR="00260CBE" w:rsidRPr="000A38E5">
        <w:rPr>
          <w:lang w:val="uk-UA"/>
        </w:rPr>
        <w:t>Він також вислухав заявників та деяких свідків</w:t>
      </w:r>
      <w:r w:rsidR="00D83351" w:rsidRPr="00E93710">
        <w:rPr>
          <w:lang w:val="uk-UA"/>
        </w:rPr>
        <w:t xml:space="preserve">, </w:t>
      </w:r>
      <w:r w:rsidR="00260CBE" w:rsidRPr="000A38E5">
        <w:rPr>
          <w:lang w:val="uk-UA"/>
        </w:rPr>
        <w:t xml:space="preserve">і </w:t>
      </w:r>
      <w:r w:rsidR="00E4255C" w:rsidRPr="000A38E5">
        <w:rPr>
          <w:lang w:val="uk-UA"/>
        </w:rPr>
        <w:t xml:space="preserve">переглянув </w:t>
      </w:r>
      <w:r w:rsidR="00260CBE" w:rsidRPr="000A38E5">
        <w:rPr>
          <w:lang w:val="uk-UA"/>
        </w:rPr>
        <w:t>відеозапис, наданий адвокатом заявників</w:t>
      </w:r>
      <w:r w:rsidR="00D83351" w:rsidRPr="00E93710">
        <w:rPr>
          <w:lang w:val="uk-UA"/>
        </w:rPr>
        <w:t>.</w:t>
      </w:r>
    </w:p>
    <w:bookmarkStart w:id="32" w:name="first_applicant_statement_in_court"/>
    <w:p w:rsidR="00D83351" w:rsidRPr="000A38E5"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52</w:t>
      </w:r>
      <w:r w:rsidRPr="00E93710">
        <w:rPr>
          <w:lang w:val="uk-UA"/>
        </w:rPr>
        <w:fldChar w:fldCharType="end"/>
      </w:r>
      <w:bookmarkEnd w:id="32"/>
      <w:r w:rsidR="00D83351" w:rsidRPr="00E93710">
        <w:rPr>
          <w:lang w:val="uk-UA"/>
        </w:rPr>
        <w:t>.</w:t>
      </w:r>
      <w:r w:rsidR="00334477" w:rsidRPr="000A38E5">
        <w:rPr>
          <w:lang w:val="uk-UA"/>
        </w:rPr>
        <w:t xml:space="preserve"> </w:t>
      </w:r>
      <w:r w:rsidR="003430D1" w:rsidRPr="000A38E5">
        <w:rPr>
          <w:lang w:val="uk-UA"/>
        </w:rPr>
        <w:t>Перший заявник стверджував, що вранці 28 травня</w:t>
      </w:r>
      <w:r w:rsidR="00D83351" w:rsidRPr="00E93710">
        <w:rPr>
          <w:lang w:val="uk-UA"/>
        </w:rPr>
        <w:t xml:space="preserve"> </w:t>
      </w:r>
      <w:r w:rsidR="003430D1" w:rsidRPr="000A38E5">
        <w:rPr>
          <w:lang w:val="uk-UA"/>
        </w:rPr>
        <w:t xml:space="preserve">він їхав на велосипеді по парку </w:t>
      </w:r>
      <w:r w:rsidR="0085000B" w:rsidRPr="000A38E5">
        <w:rPr>
          <w:lang w:val="uk-UA"/>
        </w:rPr>
        <w:t>ім.</w:t>
      </w:r>
      <w:r w:rsidR="003430D1" w:rsidRPr="000A38E5">
        <w:rPr>
          <w:lang w:val="uk-UA"/>
        </w:rPr>
        <w:t xml:space="preserve"> Горького</w:t>
      </w:r>
      <w:r w:rsidR="00D83351" w:rsidRPr="00E93710">
        <w:rPr>
          <w:lang w:val="uk-UA"/>
        </w:rPr>
        <w:t xml:space="preserve"> </w:t>
      </w:r>
      <w:r w:rsidR="003430D1" w:rsidRPr="000A38E5">
        <w:rPr>
          <w:lang w:val="uk-UA"/>
        </w:rPr>
        <w:t>на роботу</w:t>
      </w:r>
      <w:r w:rsidR="00D83351" w:rsidRPr="00E93710">
        <w:rPr>
          <w:lang w:val="uk-UA"/>
        </w:rPr>
        <w:t xml:space="preserve">. </w:t>
      </w:r>
      <w:r w:rsidR="003430D1" w:rsidRPr="000A38E5">
        <w:rPr>
          <w:lang w:val="uk-UA"/>
        </w:rPr>
        <w:t>Він побачив багато людей в місці, де валили дерева,</w:t>
      </w:r>
      <w:r w:rsidR="00D83351" w:rsidRPr="00E93710">
        <w:rPr>
          <w:lang w:val="uk-UA"/>
        </w:rPr>
        <w:t xml:space="preserve"> </w:t>
      </w:r>
      <w:r w:rsidR="003430D1" w:rsidRPr="000A38E5">
        <w:rPr>
          <w:lang w:val="uk-UA"/>
        </w:rPr>
        <w:t>та під’їхав ближче</w:t>
      </w:r>
      <w:r w:rsidR="00D83351" w:rsidRPr="00E93710">
        <w:rPr>
          <w:lang w:val="uk-UA"/>
        </w:rPr>
        <w:t xml:space="preserve">. </w:t>
      </w:r>
      <w:r w:rsidR="003430D1" w:rsidRPr="000A38E5">
        <w:rPr>
          <w:lang w:val="uk-UA"/>
        </w:rPr>
        <w:t>Там він побачив червоно-білу стрічку, але не зрозумів, що вона означала,</w:t>
      </w:r>
      <w:r w:rsidR="00D83351" w:rsidRPr="00E93710">
        <w:rPr>
          <w:lang w:val="uk-UA"/>
        </w:rPr>
        <w:t xml:space="preserve"> </w:t>
      </w:r>
      <w:r w:rsidR="00E4255C" w:rsidRPr="000A38E5">
        <w:rPr>
          <w:lang w:val="uk-UA"/>
        </w:rPr>
        <w:t xml:space="preserve">ніби </w:t>
      </w:r>
      <w:r w:rsidR="003430D1" w:rsidRPr="000A38E5">
        <w:rPr>
          <w:lang w:val="uk-UA"/>
        </w:rPr>
        <w:t>відповідна зона була місцем будівництва</w:t>
      </w:r>
      <w:r w:rsidR="00D83351" w:rsidRPr="00E93710">
        <w:rPr>
          <w:lang w:val="uk-UA"/>
        </w:rPr>
        <w:t xml:space="preserve">. </w:t>
      </w:r>
      <w:r w:rsidR="003430D1" w:rsidRPr="000A38E5">
        <w:rPr>
          <w:lang w:val="uk-UA"/>
        </w:rPr>
        <w:t xml:space="preserve">Люди з відзнаками </w:t>
      </w:r>
      <w:proofErr w:type="spellStart"/>
      <w:r w:rsidR="003430D1" w:rsidRPr="000A38E5">
        <w:rPr>
          <w:lang w:val="uk-UA"/>
        </w:rPr>
        <w:t>МО</w:t>
      </w:r>
      <w:proofErr w:type="spellEnd"/>
      <w:r w:rsidR="003430D1" w:rsidRPr="000A38E5">
        <w:rPr>
          <w:lang w:val="uk-UA"/>
        </w:rPr>
        <w:t xml:space="preserve"> намагалися відштовхнути його та інших</w:t>
      </w:r>
      <w:r w:rsidR="00D83351" w:rsidRPr="000A38E5">
        <w:rPr>
          <w:lang w:val="uk-UA"/>
        </w:rPr>
        <w:t xml:space="preserve"> </w:t>
      </w:r>
      <w:r w:rsidR="003430D1" w:rsidRPr="000A38E5">
        <w:rPr>
          <w:lang w:val="uk-UA"/>
        </w:rPr>
        <w:t>від залізничного переїзду</w:t>
      </w:r>
      <w:r w:rsidR="00D83351" w:rsidRPr="000A38E5">
        <w:rPr>
          <w:lang w:val="uk-UA"/>
        </w:rPr>
        <w:t xml:space="preserve"> </w:t>
      </w:r>
      <w:r w:rsidR="003430D1" w:rsidRPr="000A38E5">
        <w:rPr>
          <w:lang w:val="uk-UA"/>
        </w:rPr>
        <w:t>та оточили, після чого</w:t>
      </w:r>
      <w:r w:rsidR="00D83351" w:rsidRPr="000A38E5">
        <w:rPr>
          <w:lang w:val="uk-UA"/>
        </w:rPr>
        <w:t xml:space="preserve"> </w:t>
      </w:r>
      <w:r w:rsidR="003430D1" w:rsidRPr="000A38E5">
        <w:rPr>
          <w:lang w:val="uk-UA"/>
        </w:rPr>
        <w:t xml:space="preserve">його </w:t>
      </w:r>
      <w:r w:rsidR="00E4255C" w:rsidRPr="000A38E5">
        <w:rPr>
          <w:lang w:val="uk-UA"/>
        </w:rPr>
        <w:t xml:space="preserve">забрали </w:t>
      </w:r>
      <w:r w:rsidR="003430D1" w:rsidRPr="000A38E5">
        <w:rPr>
          <w:lang w:val="uk-UA"/>
        </w:rPr>
        <w:t>міліціонери, які не звертали конкретно до нього ніяких наказів</w:t>
      </w:r>
      <w:r w:rsidR="00D83351" w:rsidRPr="000A38E5">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bookmarkStart w:id="33" w:name="second_applicant_statement_in_court"/>
      <w:r w:rsidR="0075299E" w:rsidRPr="00E93710">
        <w:rPr>
          <w:noProof/>
          <w:lang w:val="uk-UA"/>
        </w:rPr>
        <w:t>53</w:t>
      </w:r>
      <w:bookmarkEnd w:id="33"/>
      <w:r w:rsidRPr="00E93710">
        <w:rPr>
          <w:noProof/>
          <w:lang w:val="uk-UA"/>
        </w:rPr>
        <w:fldChar w:fldCharType="end"/>
      </w:r>
      <w:r w:rsidR="00D83351" w:rsidRPr="00E93710">
        <w:rPr>
          <w:lang w:val="uk-UA"/>
        </w:rPr>
        <w:t>.</w:t>
      </w:r>
      <w:r w:rsidR="00334477" w:rsidRPr="000A38E5">
        <w:rPr>
          <w:lang w:val="uk-UA"/>
        </w:rPr>
        <w:t xml:space="preserve"> </w:t>
      </w:r>
      <w:r w:rsidR="003430D1" w:rsidRPr="000A38E5">
        <w:rPr>
          <w:lang w:val="uk-UA"/>
        </w:rPr>
        <w:t>Другий заявник стверджував, що вранці 28 травня</w:t>
      </w:r>
      <w:r w:rsidR="00D83351" w:rsidRPr="00E93710">
        <w:rPr>
          <w:lang w:val="uk-UA"/>
        </w:rPr>
        <w:t xml:space="preserve"> </w:t>
      </w:r>
      <w:r w:rsidR="003430D1" w:rsidRPr="000A38E5">
        <w:rPr>
          <w:lang w:val="uk-UA"/>
        </w:rPr>
        <w:t>він пішов до парку, щоб побачити події</w:t>
      </w:r>
      <w:r w:rsidR="00D83351" w:rsidRPr="00E93710">
        <w:rPr>
          <w:lang w:val="uk-UA"/>
        </w:rPr>
        <w:t xml:space="preserve"> </w:t>
      </w:r>
      <w:r w:rsidR="003430D1" w:rsidRPr="000A38E5">
        <w:rPr>
          <w:lang w:val="uk-UA"/>
        </w:rPr>
        <w:t>стосовно повалення дерев</w:t>
      </w:r>
      <w:r w:rsidR="00D83351" w:rsidRPr="00E93710">
        <w:rPr>
          <w:lang w:val="uk-UA"/>
        </w:rPr>
        <w:t xml:space="preserve">. </w:t>
      </w:r>
      <w:r w:rsidR="003430D1" w:rsidRPr="000A38E5">
        <w:rPr>
          <w:lang w:val="uk-UA"/>
        </w:rPr>
        <w:t>Там було багато людей</w:t>
      </w:r>
      <w:r w:rsidR="00D83351" w:rsidRPr="00E93710">
        <w:rPr>
          <w:lang w:val="uk-UA"/>
        </w:rPr>
        <w:t xml:space="preserve">. </w:t>
      </w:r>
      <w:r w:rsidR="005F7386" w:rsidRPr="000A38E5">
        <w:rPr>
          <w:lang w:val="uk-UA"/>
        </w:rPr>
        <w:t>Була прикріплена червоно-біла стрічка, але він не розумів,</w:t>
      </w:r>
      <w:r w:rsidR="00D83351" w:rsidRPr="00E93710">
        <w:rPr>
          <w:lang w:val="uk-UA"/>
        </w:rPr>
        <w:t xml:space="preserve"> </w:t>
      </w:r>
      <w:r w:rsidR="005F7386" w:rsidRPr="000A38E5">
        <w:rPr>
          <w:lang w:val="uk-UA"/>
        </w:rPr>
        <w:t xml:space="preserve">що вона </w:t>
      </w:r>
      <w:r w:rsidR="00E4255C" w:rsidRPr="000A38E5">
        <w:rPr>
          <w:lang w:val="uk-UA"/>
        </w:rPr>
        <w:t>по</w:t>
      </w:r>
      <w:r w:rsidR="005F7386" w:rsidRPr="000A38E5">
        <w:rPr>
          <w:lang w:val="uk-UA"/>
        </w:rPr>
        <w:t>значала</w:t>
      </w:r>
      <w:r w:rsidR="00E4255C" w:rsidRPr="000A38E5">
        <w:rPr>
          <w:lang w:val="uk-UA"/>
        </w:rPr>
        <w:t xml:space="preserve"> </w:t>
      </w:r>
      <w:r w:rsidR="005F7386" w:rsidRPr="000A38E5">
        <w:rPr>
          <w:lang w:val="uk-UA"/>
        </w:rPr>
        <w:t>місце будівництва,</w:t>
      </w:r>
      <w:r w:rsidR="00D83351" w:rsidRPr="00E93710">
        <w:rPr>
          <w:lang w:val="uk-UA"/>
        </w:rPr>
        <w:t xml:space="preserve"> </w:t>
      </w:r>
      <w:r w:rsidR="005F7386" w:rsidRPr="000A38E5">
        <w:rPr>
          <w:lang w:val="uk-UA"/>
        </w:rPr>
        <w:t>і що його присутність там могла бути небезпечною</w:t>
      </w:r>
      <w:r w:rsidR="00D83351" w:rsidRPr="00E93710">
        <w:rPr>
          <w:lang w:val="uk-UA"/>
        </w:rPr>
        <w:t xml:space="preserve">. </w:t>
      </w:r>
      <w:r w:rsidR="005F7386" w:rsidRPr="000A38E5">
        <w:rPr>
          <w:lang w:val="uk-UA"/>
        </w:rPr>
        <w:t>Він описав подальші події близько до опису, наданого першим заявником</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54</w:t>
      </w:r>
      <w:r w:rsidRPr="00E93710">
        <w:rPr>
          <w:noProof/>
          <w:lang w:val="uk-UA"/>
        </w:rPr>
        <w:fldChar w:fldCharType="end"/>
      </w:r>
      <w:r w:rsidR="00D83351" w:rsidRPr="00E93710">
        <w:rPr>
          <w:lang w:val="uk-UA"/>
        </w:rPr>
        <w:t>.</w:t>
      </w:r>
      <w:r w:rsidR="00334477" w:rsidRPr="000A38E5">
        <w:rPr>
          <w:lang w:val="uk-UA"/>
        </w:rPr>
        <w:t xml:space="preserve"> </w:t>
      </w:r>
      <w:r w:rsidR="00E4255C" w:rsidRPr="000A38E5">
        <w:rPr>
          <w:lang w:val="uk-UA"/>
        </w:rPr>
        <w:t xml:space="preserve">В результаті розгляду </w:t>
      </w:r>
      <w:r w:rsidR="004E25C2" w:rsidRPr="000A38E5">
        <w:rPr>
          <w:lang w:val="uk-UA"/>
        </w:rPr>
        <w:t xml:space="preserve">суд </w:t>
      </w:r>
      <w:r w:rsidR="00E4255C" w:rsidRPr="000A38E5">
        <w:rPr>
          <w:lang w:val="uk-UA"/>
        </w:rPr>
        <w:t xml:space="preserve">визнав </w:t>
      </w:r>
      <w:r w:rsidR="004E25C2" w:rsidRPr="000A38E5">
        <w:rPr>
          <w:lang w:val="uk-UA"/>
        </w:rPr>
        <w:t>першого та другого заявників</w:t>
      </w:r>
      <w:r w:rsidR="00D83351" w:rsidRPr="00E93710">
        <w:rPr>
          <w:lang w:val="uk-UA"/>
        </w:rPr>
        <w:t xml:space="preserve"> </w:t>
      </w:r>
      <w:r w:rsidR="00E4255C" w:rsidRPr="00E93710">
        <w:rPr>
          <w:lang w:val="uk-UA"/>
        </w:rPr>
        <w:t xml:space="preserve">винуватими </w:t>
      </w:r>
      <w:r w:rsidR="004E25C2" w:rsidRPr="000A38E5">
        <w:rPr>
          <w:lang w:val="uk-UA"/>
        </w:rPr>
        <w:t xml:space="preserve">за обвинуваченням та </w:t>
      </w:r>
      <w:r w:rsidR="00E4255C" w:rsidRPr="000A38E5">
        <w:rPr>
          <w:lang w:val="uk-UA"/>
        </w:rPr>
        <w:t xml:space="preserve">засудив </w:t>
      </w:r>
      <w:r w:rsidR="004E25C2" w:rsidRPr="000A38E5">
        <w:rPr>
          <w:lang w:val="uk-UA"/>
        </w:rPr>
        <w:t xml:space="preserve">їх до адміністративного </w:t>
      </w:r>
      <w:r w:rsidR="00E4255C" w:rsidRPr="000A38E5">
        <w:rPr>
          <w:lang w:val="uk-UA"/>
        </w:rPr>
        <w:t xml:space="preserve">арешту </w:t>
      </w:r>
      <w:r w:rsidR="004E25C2" w:rsidRPr="000A38E5">
        <w:rPr>
          <w:lang w:val="uk-UA"/>
        </w:rPr>
        <w:t>строком на п’ятнадцять діб</w:t>
      </w:r>
      <w:r w:rsidR="00D83351" w:rsidRPr="00E93710">
        <w:rPr>
          <w:lang w:val="uk-UA"/>
        </w:rPr>
        <w:t xml:space="preserve">. </w:t>
      </w:r>
      <w:r w:rsidR="004E25C2" w:rsidRPr="000A38E5">
        <w:rPr>
          <w:lang w:val="uk-UA"/>
        </w:rPr>
        <w:t>Суд стверджував, що у світлі розглянутих доказів</w:t>
      </w:r>
      <w:r w:rsidR="00D83351" w:rsidRPr="00E93710">
        <w:rPr>
          <w:lang w:val="uk-UA"/>
        </w:rPr>
        <w:t xml:space="preserve">, </w:t>
      </w:r>
      <w:r w:rsidR="004E25C2" w:rsidRPr="000A38E5">
        <w:rPr>
          <w:lang w:val="uk-UA"/>
        </w:rPr>
        <w:t>у тому числі наданих захистом</w:t>
      </w:r>
      <w:r w:rsidR="00D83351" w:rsidRPr="00E93710">
        <w:rPr>
          <w:lang w:val="uk-UA"/>
        </w:rPr>
        <w:t xml:space="preserve">, </w:t>
      </w:r>
      <w:r w:rsidR="004E25C2" w:rsidRPr="000A38E5">
        <w:rPr>
          <w:lang w:val="uk-UA"/>
        </w:rPr>
        <w:t>він переконаний у вин</w:t>
      </w:r>
      <w:r w:rsidR="00E4255C" w:rsidRPr="000A38E5">
        <w:rPr>
          <w:lang w:val="uk-UA"/>
        </w:rPr>
        <w:t>уватості</w:t>
      </w:r>
      <w:r w:rsidR="004E25C2" w:rsidRPr="000A38E5">
        <w:rPr>
          <w:lang w:val="uk-UA"/>
        </w:rPr>
        <w:t xml:space="preserve"> заявників</w:t>
      </w:r>
      <w:r w:rsidR="00D83351" w:rsidRPr="00E93710">
        <w:rPr>
          <w:lang w:val="uk-UA"/>
        </w:rPr>
        <w:t xml:space="preserve">. </w:t>
      </w:r>
      <w:r w:rsidR="008B3727" w:rsidRPr="000A38E5">
        <w:rPr>
          <w:lang w:val="uk-UA"/>
        </w:rPr>
        <w:t>Він також стверджував, що наданий адвокатом заявників відеозапис</w:t>
      </w:r>
      <w:r w:rsidR="00D83351" w:rsidRPr="00E93710">
        <w:rPr>
          <w:lang w:val="uk-UA"/>
        </w:rPr>
        <w:t xml:space="preserve"> </w:t>
      </w:r>
      <w:r w:rsidR="008B3727" w:rsidRPr="000A38E5">
        <w:rPr>
          <w:lang w:val="uk-UA"/>
        </w:rPr>
        <w:t xml:space="preserve">не </w:t>
      </w:r>
      <w:r w:rsidR="00E4255C" w:rsidRPr="000A38E5">
        <w:rPr>
          <w:lang w:val="uk-UA"/>
        </w:rPr>
        <w:t xml:space="preserve">виправдовував </w:t>
      </w:r>
      <w:r w:rsidR="008B3727" w:rsidRPr="000A38E5">
        <w:rPr>
          <w:lang w:val="uk-UA"/>
        </w:rPr>
        <w:t>їх, оскільки мав перерви</w:t>
      </w:r>
      <w:r w:rsidR="00D83351" w:rsidRPr="00E93710">
        <w:rPr>
          <w:lang w:val="uk-UA"/>
        </w:rPr>
        <w:t xml:space="preserve"> </w:t>
      </w:r>
      <w:r w:rsidR="008B3727" w:rsidRPr="000A38E5">
        <w:rPr>
          <w:lang w:val="uk-UA"/>
        </w:rPr>
        <w:t>та не демонстрував деяких свідків</w:t>
      </w:r>
      <w:r w:rsidR="00D83351" w:rsidRPr="00E93710">
        <w:rPr>
          <w:lang w:val="uk-UA"/>
        </w:rPr>
        <w:t xml:space="preserve">; </w:t>
      </w:r>
      <w:r w:rsidR="00360E36" w:rsidRPr="000A38E5">
        <w:rPr>
          <w:lang w:val="uk-UA"/>
        </w:rPr>
        <w:t>а тому не міг вважатися повним записом відповідних подій</w:t>
      </w:r>
      <w:r w:rsidR="00D83351" w:rsidRPr="00E93710">
        <w:rPr>
          <w:lang w:val="uk-UA"/>
        </w:rPr>
        <w:t xml:space="preserve">. </w:t>
      </w:r>
      <w:r w:rsidR="00360E36" w:rsidRPr="000A38E5">
        <w:rPr>
          <w:lang w:val="uk-UA"/>
        </w:rPr>
        <w:t>Розглянувши обставини справи та характер заявників</w:t>
      </w:r>
      <w:r w:rsidR="00D83351" w:rsidRPr="00E93710">
        <w:rPr>
          <w:lang w:val="uk-UA"/>
        </w:rPr>
        <w:t xml:space="preserve">, </w:t>
      </w:r>
      <w:r w:rsidR="00360E36" w:rsidRPr="000A38E5">
        <w:rPr>
          <w:lang w:val="uk-UA"/>
        </w:rPr>
        <w:t xml:space="preserve">суд був також переконаний, що покарання менш серйозне, ніж </w:t>
      </w:r>
      <w:r w:rsidR="00E4255C" w:rsidRPr="000A38E5">
        <w:rPr>
          <w:lang w:val="uk-UA"/>
        </w:rPr>
        <w:t>арешт</w:t>
      </w:r>
      <w:r w:rsidR="00360E36" w:rsidRPr="000A38E5">
        <w:rPr>
          <w:lang w:val="uk-UA"/>
        </w:rPr>
        <w:t>, не буде належним</w:t>
      </w:r>
      <w:r w:rsidR="00D83351" w:rsidRPr="00E93710">
        <w:rPr>
          <w:lang w:val="uk-UA"/>
        </w:rPr>
        <w:t xml:space="preserve">. </w:t>
      </w:r>
      <w:r w:rsidR="00360E36" w:rsidRPr="000A38E5">
        <w:rPr>
          <w:lang w:val="uk-UA"/>
        </w:rPr>
        <w:t>Рішення було виконано негайно і заявники були взяті під варту</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55</w:t>
      </w:r>
      <w:r w:rsidRPr="00E93710">
        <w:rPr>
          <w:noProof/>
          <w:lang w:val="uk-UA"/>
        </w:rPr>
        <w:fldChar w:fldCharType="end"/>
      </w:r>
      <w:r w:rsidR="00D83351" w:rsidRPr="00E93710">
        <w:rPr>
          <w:lang w:val="uk-UA"/>
        </w:rPr>
        <w:t>.</w:t>
      </w:r>
      <w:r w:rsidR="00334477" w:rsidRPr="000A38E5">
        <w:rPr>
          <w:lang w:val="uk-UA"/>
        </w:rPr>
        <w:t xml:space="preserve"> </w:t>
      </w:r>
      <w:r w:rsidR="006F36ED" w:rsidRPr="000A38E5">
        <w:rPr>
          <w:lang w:val="uk-UA"/>
        </w:rPr>
        <w:t xml:space="preserve">Рішення районного суду були </w:t>
      </w:r>
      <w:r w:rsidR="00E4255C" w:rsidRPr="000A38E5">
        <w:rPr>
          <w:lang w:val="uk-UA"/>
        </w:rPr>
        <w:t xml:space="preserve">надані </w:t>
      </w:r>
      <w:r w:rsidR="006F36ED" w:rsidRPr="000A38E5">
        <w:rPr>
          <w:lang w:val="uk-UA"/>
        </w:rPr>
        <w:t>першому та другому заявникам,</w:t>
      </w:r>
      <w:r w:rsidR="00D83351" w:rsidRPr="00E93710">
        <w:rPr>
          <w:lang w:val="uk-UA"/>
        </w:rPr>
        <w:t xml:space="preserve"> </w:t>
      </w:r>
      <w:r w:rsidR="006F36ED" w:rsidRPr="000A38E5">
        <w:rPr>
          <w:lang w:val="uk-UA"/>
        </w:rPr>
        <w:t>і 10 червня 2010 року їх адвокат</w:t>
      </w:r>
      <w:r w:rsidR="00D83351" w:rsidRPr="00E93710">
        <w:rPr>
          <w:lang w:val="uk-UA"/>
        </w:rPr>
        <w:t xml:space="preserve"> </w:t>
      </w:r>
      <w:r w:rsidR="006F36ED" w:rsidRPr="000A38E5">
        <w:rPr>
          <w:lang w:val="uk-UA"/>
        </w:rPr>
        <w:t>подав апеляцію до Харківського обласного апеляційного суду (надалі – «апеляційний суд»)</w:t>
      </w:r>
      <w:r w:rsidR="00D83351" w:rsidRPr="00E93710">
        <w:rPr>
          <w:lang w:val="uk-UA"/>
        </w:rPr>
        <w:t xml:space="preserve">. </w:t>
      </w:r>
      <w:r w:rsidR="006F36ED" w:rsidRPr="000A38E5">
        <w:rPr>
          <w:lang w:val="uk-UA"/>
        </w:rPr>
        <w:t>Він стверджував, що районний суд не виклав свій аналіз доказів,</w:t>
      </w:r>
      <w:r w:rsidR="00D83351" w:rsidRPr="00E93710">
        <w:rPr>
          <w:lang w:val="uk-UA"/>
        </w:rPr>
        <w:t xml:space="preserve"> </w:t>
      </w:r>
      <w:r w:rsidR="006F36ED" w:rsidRPr="000A38E5">
        <w:rPr>
          <w:lang w:val="uk-UA"/>
        </w:rPr>
        <w:t>які призвели до його висновку про вин</w:t>
      </w:r>
      <w:r w:rsidR="00E4255C" w:rsidRPr="000A38E5">
        <w:rPr>
          <w:lang w:val="uk-UA"/>
        </w:rPr>
        <w:t xml:space="preserve">уватість </w:t>
      </w:r>
      <w:r w:rsidR="006F36ED" w:rsidRPr="000A38E5">
        <w:rPr>
          <w:lang w:val="uk-UA"/>
        </w:rPr>
        <w:t>заявників</w:t>
      </w:r>
      <w:r w:rsidR="00D83351" w:rsidRPr="00E93710">
        <w:rPr>
          <w:lang w:val="uk-UA"/>
        </w:rPr>
        <w:t xml:space="preserve">, </w:t>
      </w:r>
      <w:r w:rsidR="006F36ED" w:rsidRPr="000A38E5">
        <w:rPr>
          <w:lang w:val="uk-UA"/>
        </w:rPr>
        <w:t>і тому не обґрунтував свої рішення належним чином</w:t>
      </w:r>
      <w:r w:rsidR="00D83351" w:rsidRPr="00E93710">
        <w:rPr>
          <w:lang w:val="uk-UA"/>
        </w:rPr>
        <w:t xml:space="preserve">. </w:t>
      </w:r>
      <w:r w:rsidR="006F36ED" w:rsidRPr="000A38E5">
        <w:rPr>
          <w:lang w:val="uk-UA"/>
        </w:rPr>
        <w:t xml:space="preserve">Він також стверджував, </w:t>
      </w:r>
      <w:r w:rsidR="00E4255C" w:rsidRPr="000A38E5">
        <w:rPr>
          <w:lang w:val="uk-UA"/>
        </w:rPr>
        <w:t>щ</w:t>
      </w:r>
      <w:r w:rsidR="006F36ED" w:rsidRPr="000A38E5">
        <w:rPr>
          <w:lang w:val="uk-UA"/>
        </w:rPr>
        <w:t xml:space="preserve">о відповідно до Кодексу </w:t>
      </w:r>
      <w:r w:rsidR="00E4255C" w:rsidRPr="000A38E5">
        <w:rPr>
          <w:lang w:val="uk-UA"/>
        </w:rPr>
        <w:t xml:space="preserve">про </w:t>
      </w:r>
      <w:r w:rsidR="006F36ED" w:rsidRPr="000A38E5">
        <w:rPr>
          <w:lang w:val="uk-UA"/>
        </w:rPr>
        <w:t>адміністративн</w:t>
      </w:r>
      <w:r w:rsidR="00E4255C" w:rsidRPr="000A38E5">
        <w:rPr>
          <w:lang w:val="uk-UA"/>
        </w:rPr>
        <w:t>і</w:t>
      </w:r>
      <w:r w:rsidR="006F36ED" w:rsidRPr="000A38E5">
        <w:rPr>
          <w:lang w:val="uk-UA"/>
        </w:rPr>
        <w:t xml:space="preserve"> правопорушен</w:t>
      </w:r>
      <w:r w:rsidR="00E4255C" w:rsidRPr="000A38E5">
        <w:rPr>
          <w:lang w:val="uk-UA"/>
        </w:rPr>
        <w:t>ня</w:t>
      </w:r>
      <w:r w:rsidR="00022D5C" w:rsidRPr="000A38E5">
        <w:rPr>
          <w:lang w:val="uk-UA"/>
        </w:rPr>
        <w:t>,</w:t>
      </w:r>
      <w:r w:rsidR="00D83351" w:rsidRPr="00E93710">
        <w:rPr>
          <w:lang w:val="uk-UA"/>
        </w:rPr>
        <w:t xml:space="preserve"> </w:t>
      </w:r>
      <w:r w:rsidR="00022D5C" w:rsidRPr="000A38E5">
        <w:rPr>
          <w:lang w:val="uk-UA"/>
        </w:rPr>
        <w:t>адміністративн</w:t>
      </w:r>
      <w:r w:rsidR="00E4255C" w:rsidRPr="000A38E5">
        <w:rPr>
          <w:lang w:val="uk-UA"/>
        </w:rPr>
        <w:t>ий</w:t>
      </w:r>
      <w:r w:rsidR="00022D5C" w:rsidRPr="000A38E5">
        <w:rPr>
          <w:lang w:val="uk-UA"/>
        </w:rPr>
        <w:t xml:space="preserve"> </w:t>
      </w:r>
      <w:r w:rsidR="00E4255C" w:rsidRPr="000A38E5">
        <w:rPr>
          <w:lang w:val="uk-UA"/>
        </w:rPr>
        <w:t xml:space="preserve">арешт </w:t>
      </w:r>
      <w:r w:rsidR="00022D5C" w:rsidRPr="000A38E5">
        <w:rPr>
          <w:lang w:val="uk-UA"/>
        </w:rPr>
        <w:t xml:space="preserve">можна було застосовувати лише у </w:t>
      </w:r>
      <w:r w:rsidR="00E53851" w:rsidRPr="000A38E5">
        <w:rPr>
          <w:lang w:val="uk-UA"/>
        </w:rPr>
        <w:t>виняткових</w:t>
      </w:r>
      <w:r w:rsidR="00022D5C" w:rsidRPr="000A38E5">
        <w:rPr>
          <w:lang w:val="uk-UA"/>
        </w:rPr>
        <w:t xml:space="preserve"> випадках</w:t>
      </w:r>
      <w:r w:rsidR="00D83351" w:rsidRPr="00E93710">
        <w:rPr>
          <w:lang w:val="uk-UA"/>
        </w:rPr>
        <w:t xml:space="preserve">. </w:t>
      </w:r>
      <w:r w:rsidR="00022D5C" w:rsidRPr="000A38E5">
        <w:rPr>
          <w:lang w:val="uk-UA"/>
        </w:rPr>
        <w:t xml:space="preserve">Суд не пояснив </w:t>
      </w:r>
      <w:r w:rsidR="00E53851" w:rsidRPr="000A38E5">
        <w:rPr>
          <w:lang w:val="uk-UA"/>
        </w:rPr>
        <w:t>винятковий</w:t>
      </w:r>
      <w:r w:rsidR="00022D5C" w:rsidRPr="000A38E5">
        <w:rPr>
          <w:lang w:val="uk-UA"/>
        </w:rPr>
        <w:t xml:space="preserve"> характер справ заявників,</w:t>
      </w:r>
      <w:r w:rsidR="00D83351" w:rsidRPr="00E93710">
        <w:rPr>
          <w:lang w:val="uk-UA"/>
        </w:rPr>
        <w:t xml:space="preserve"> </w:t>
      </w:r>
      <w:r w:rsidR="00022D5C" w:rsidRPr="000A38E5">
        <w:rPr>
          <w:lang w:val="uk-UA"/>
        </w:rPr>
        <w:t>який міг виправдати серйозність покарання</w:t>
      </w:r>
      <w:r w:rsidR="00D83351" w:rsidRPr="00E93710">
        <w:rPr>
          <w:lang w:val="uk-UA"/>
        </w:rPr>
        <w:t>.</w:t>
      </w:r>
    </w:p>
    <w:p w:rsidR="00D83351" w:rsidRPr="00E93710" w:rsidRDefault="004E7608" w:rsidP="00852217">
      <w:pPr>
        <w:pStyle w:val="ECHRPara"/>
        <w:rPr>
          <w:lang w:val="uk-UA"/>
        </w:rPr>
      </w:pPr>
      <w:r w:rsidRPr="00E93710">
        <w:rPr>
          <w:lang w:val="uk-UA"/>
        </w:rPr>
        <w:lastRenderedPageBreak/>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56</w:t>
      </w:r>
      <w:r w:rsidRPr="00E93710">
        <w:rPr>
          <w:noProof/>
          <w:lang w:val="uk-UA"/>
        </w:rPr>
        <w:fldChar w:fldCharType="end"/>
      </w:r>
      <w:r w:rsidR="00D83351" w:rsidRPr="00E93710">
        <w:rPr>
          <w:lang w:val="uk-UA"/>
        </w:rPr>
        <w:t>.</w:t>
      </w:r>
      <w:r w:rsidR="00334477" w:rsidRPr="000A38E5">
        <w:rPr>
          <w:lang w:val="uk-UA"/>
        </w:rPr>
        <w:t xml:space="preserve"> </w:t>
      </w:r>
      <w:r w:rsidR="00022D5C" w:rsidRPr="000A38E5">
        <w:rPr>
          <w:lang w:val="uk-UA"/>
        </w:rPr>
        <w:t>14 червня</w:t>
      </w:r>
      <w:r w:rsidR="00D83351" w:rsidRPr="00E93710">
        <w:rPr>
          <w:lang w:val="uk-UA"/>
        </w:rPr>
        <w:t xml:space="preserve"> 2010 </w:t>
      </w:r>
      <w:r w:rsidR="00022D5C" w:rsidRPr="000A38E5">
        <w:rPr>
          <w:lang w:val="uk-UA"/>
        </w:rPr>
        <w:t>р</w:t>
      </w:r>
      <w:r w:rsidR="00E4255C" w:rsidRPr="000A38E5">
        <w:rPr>
          <w:lang w:val="uk-UA"/>
        </w:rPr>
        <w:t>оку</w:t>
      </w:r>
      <w:r w:rsidR="00022D5C" w:rsidRPr="000A38E5">
        <w:rPr>
          <w:lang w:val="uk-UA"/>
        </w:rPr>
        <w:t xml:space="preserve"> районний суд повідомив адвоката та заявників</w:t>
      </w:r>
      <w:r w:rsidR="00D83351" w:rsidRPr="00E93710">
        <w:rPr>
          <w:lang w:val="uk-UA"/>
        </w:rPr>
        <w:t xml:space="preserve"> (</w:t>
      </w:r>
      <w:r w:rsidR="00022D5C" w:rsidRPr="000A38E5">
        <w:rPr>
          <w:lang w:val="uk-UA"/>
        </w:rPr>
        <w:t>через ізолятор</w:t>
      </w:r>
      <w:r w:rsidR="00C910D2" w:rsidRPr="000A38E5">
        <w:rPr>
          <w:lang w:val="uk-UA"/>
        </w:rPr>
        <w:t xml:space="preserve"> тимчасового тримання</w:t>
      </w:r>
      <w:r w:rsidR="00D83351" w:rsidRPr="00E93710">
        <w:rPr>
          <w:lang w:val="uk-UA"/>
        </w:rPr>
        <w:t>)</w:t>
      </w:r>
      <w:r w:rsidR="00022D5C" w:rsidRPr="000A38E5">
        <w:rPr>
          <w:lang w:val="uk-UA"/>
        </w:rPr>
        <w:t>,</w:t>
      </w:r>
      <w:r w:rsidR="00D83351" w:rsidRPr="00E93710">
        <w:rPr>
          <w:lang w:val="uk-UA"/>
        </w:rPr>
        <w:t xml:space="preserve"> </w:t>
      </w:r>
      <w:r w:rsidR="00022D5C" w:rsidRPr="000A38E5">
        <w:rPr>
          <w:lang w:val="uk-UA"/>
        </w:rPr>
        <w:t>що їх справи були відправлені до апеляційного суду</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57</w:t>
      </w:r>
      <w:r w:rsidRPr="00E93710">
        <w:rPr>
          <w:noProof/>
          <w:lang w:val="uk-UA"/>
        </w:rPr>
        <w:fldChar w:fldCharType="end"/>
      </w:r>
      <w:r w:rsidR="00D83351" w:rsidRPr="00E93710">
        <w:rPr>
          <w:lang w:val="uk-UA"/>
        </w:rPr>
        <w:t>.</w:t>
      </w:r>
      <w:r w:rsidR="00334477" w:rsidRPr="000A38E5">
        <w:rPr>
          <w:lang w:val="uk-UA"/>
        </w:rPr>
        <w:t xml:space="preserve"> </w:t>
      </w:r>
      <w:r w:rsidR="00022D5C" w:rsidRPr="000A38E5">
        <w:rPr>
          <w:lang w:val="uk-UA"/>
        </w:rPr>
        <w:t>Відповідно до довідки в національних матеріалах</w:t>
      </w:r>
      <w:r w:rsidR="00D83351" w:rsidRPr="00E93710">
        <w:rPr>
          <w:lang w:val="uk-UA"/>
        </w:rPr>
        <w:t xml:space="preserve">, </w:t>
      </w:r>
      <w:r w:rsidR="009961B8" w:rsidRPr="000A38E5">
        <w:rPr>
          <w:lang w:val="uk-UA"/>
        </w:rPr>
        <w:t>о 17:00 17 червня</w:t>
      </w:r>
      <w:r w:rsidR="00D83351" w:rsidRPr="00E93710">
        <w:rPr>
          <w:lang w:val="uk-UA"/>
        </w:rPr>
        <w:t xml:space="preserve"> 2010 </w:t>
      </w:r>
      <w:r w:rsidR="009961B8" w:rsidRPr="000A38E5">
        <w:rPr>
          <w:lang w:val="uk-UA"/>
        </w:rPr>
        <w:t>р</w:t>
      </w:r>
      <w:r w:rsidR="00E4255C" w:rsidRPr="000A38E5">
        <w:rPr>
          <w:lang w:val="uk-UA"/>
        </w:rPr>
        <w:t>оку</w:t>
      </w:r>
      <w:r w:rsidR="009961B8" w:rsidRPr="000A38E5">
        <w:rPr>
          <w:lang w:val="uk-UA"/>
        </w:rPr>
        <w:t xml:space="preserve"> співробітник апеляційного суду повідомив адвоката заявників,</w:t>
      </w:r>
      <w:r w:rsidR="00D83351" w:rsidRPr="00E93710">
        <w:rPr>
          <w:lang w:val="uk-UA"/>
        </w:rPr>
        <w:t xml:space="preserve"> </w:t>
      </w:r>
      <w:r w:rsidR="009961B8" w:rsidRPr="000A38E5">
        <w:rPr>
          <w:lang w:val="uk-UA"/>
        </w:rPr>
        <w:t>що судові слухання за справами першого та другого заявників</w:t>
      </w:r>
      <w:r w:rsidR="00D83351" w:rsidRPr="00E93710">
        <w:rPr>
          <w:lang w:val="uk-UA"/>
        </w:rPr>
        <w:t xml:space="preserve"> </w:t>
      </w:r>
      <w:r w:rsidR="009961B8" w:rsidRPr="000A38E5">
        <w:rPr>
          <w:lang w:val="uk-UA"/>
        </w:rPr>
        <w:t>будуть проведені о 14:00</w:t>
      </w:r>
      <w:r w:rsidR="00D83351" w:rsidRPr="00E93710">
        <w:rPr>
          <w:lang w:val="uk-UA"/>
        </w:rPr>
        <w:t xml:space="preserve"> </w:t>
      </w:r>
      <w:r w:rsidR="009961B8" w:rsidRPr="000A38E5">
        <w:rPr>
          <w:lang w:val="uk-UA"/>
        </w:rPr>
        <w:t>та 14:20</w:t>
      </w:r>
      <w:r w:rsidR="00D83351" w:rsidRPr="00E93710">
        <w:rPr>
          <w:lang w:val="uk-UA"/>
        </w:rPr>
        <w:t xml:space="preserve"> </w:t>
      </w:r>
      <w:r w:rsidR="009961B8" w:rsidRPr="000A38E5">
        <w:rPr>
          <w:lang w:val="uk-UA"/>
        </w:rPr>
        <w:t>наступного дня, відповідно</w:t>
      </w:r>
      <w:r w:rsidR="00D83351" w:rsidRPr="00E93710">
        <w:rPr>
          <w:lang w:val="uk-UA"/>
        </w:rPr>
        <w:t xml:space="preserve">. </w:t>
      </w:r>
      <w:r w:rsidR="009961B8" w:rsidRPr="000A38E5">
        <w:rPr>
          <w:lang w:val="uk-UA"/>
        </w:rPr>
        <w:t>Того ж дня адвокат вивчив матеріали</w:t>
      </w:r>
      <w:r w:rsidR="00D83351" w:rsidRPr="00E93710">
        <w:rPr>
          <w:lang w:val="uk-UA"/>
        </w:rPr>
        <w:t>.</w:t>
      </w:r>
    </w:p>
    <w:bookmarkStart w:id="34" w:name="CoA_first_second_applicants"/>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58</w:t>
      </w:r>
      <w:r w:rsidRPr="00E93710">
        <w:rPr>
          <w:lang w:val="uk-UA"/>
        </w:rPr>
        <w:fldChar w:fldCharType="end"/>
      </w:r>
      <w:bookmarkEnd w:id="34"/>
      <w:r w:rsidR="00D83351" w:rsidRPr="00E93710">
        <w:rPr>
          <w:lang w:val="uk-UA"/>
        </w:rPr>
        <w:t>.</w:t>
      </w:r>
      <w:r w:rsidR="00334477" w:rsidRPr="000A38E5">
        <w:rPr>
          <w:lang w:val="uk-UA"/>
        </w:rPr>
        <w:t xml:space="preserve"> </w:t>
      </w:r>
      <w:r w:rsidR="002712C2" w:rsidRPr="000A38E5">
        <w:rPr>
          <w:lang w:val="uk-UA"/>
        </w:rPr>
        <w:t>18 червня</w:t>
      </w:r>
      <w:r w:rsidR="00D83351" w:rsidRPr="00E93710">
        <w:rPr>
          <w:lang w:val="uk-UA"/>
        </w:rPr>
        <w:t xml:space="preserve"> 2010 </w:t>
      </w:r>
      <w:r w:rsidR="002712C2" w:rsidRPr="000A38E5">
        <w:rPr>
          <w:lang w:val="uk-UA"/>
        </w:rPr>
        <w:t>р</w:t>
      </w:r>
      <w:r w:rsidR="00E4255C" w:rsidRPr="000A38E5">
        <w:rPr>
          <w:lang w:val="uk-UA"/>
        </w:rPr>
        <w:t>оку</w:t>
      </w:r>
      <w:r w:rsidR="002712C2" w:rsidRPr="000A38E5">
        <w:rPr>
          <w:lang w:val="uk-UA"/>
        </w:rPr>
        <w:t xml:space="preserve"> апеляційний суд вислухав апеляції першого та другого заявників за їх відсутн</w:t>
      </w:r>
      <w:r w:rsidR="00E4255C" w:rsidRPr="000A38E5">
        <w:rPr>
          <w:lang w:val="uk-UA"/>
        </w:rPr>
        <w:t>ості</w:t>
      </w:r>
      <w:r w:rsidR="002712C2" w:rsidRPr="000A38E5">
        <w:rPr>
          <w:lang w:val="uk-UA"/>
        </w:rPr>
        <w:t>,</w:t>
      </w:r>
      <w:r w:rsidR="00D83351" w:rsidRPr="00E93710">
        <w:rPr>
          <w:lang w:val="uk-UA"/>
        </w:rPr>
        <w:t xml:space="preserve"> </w:t>
      </w:r>
      <w:r w:rsidR="002712C2" w:rsidRPr="000A38E5">
        <w:rPr>
          <w:lang w:val="uk-UA"/>
        </w:rPr>
        <w:t>але у присутності їх адвоката</w:t>
      </w:r>
      <w:r w:rsidR="00D83351" w:rsidRPr="00E93710">
        <w:rPr>
          <w:lang w:val="uk-UA"/>
        </w:rPr>
        <w:t xml:space="preserve">, </w:t>
      </w:r>
      <w:r w:rsidR="002712C2" w:rsidRPr="000A38E5">
        <w:rPr>
          <w:lang w:val="uk-UA"/>
        </w:rPr>
        <w:t>і залишив їх засудження у силі</w:t>
      </w:r>
      <w:r w:rsidR="00D83351" w:rsidRPr="00E93710">
        <w:rPr>
          <w:lang w:val="uk-UA"/>
        </w:rPr>
        <w:t xml:space="preserve">. </w:t>
      </w:r>
      <w:r w:rsidR="002712C2" w:rsidRPr="000A38E5">
        <w:rPr>
          <w:lang w:val="uk-UA"/>
        </w:rPr>
        <w:t>Апеляційний суд визнав, що матеріали справи демонстрували,</w:t>
      </w:r>
      <w:r w:rsidR="00D83351" w:rsidRPr="00E93710">
        <w:rPr>
          <w:lang w:val="uk-UA"/>
        </w:rPr>
        <w:t xml:space="preserve"> </w:t>
      </w:r>
      <w:r w:rsidR="002712C2" w:rsidRPr="000A38E5">
        <w:rPr>
          <w:lang w:val="uk-UA"/>
        </w:rPr>
        <w:t>що міліціонери діяли в рамках закону, наказуючи заявникам залишити місце будівництва</w:t>
      </w:r>
      <w:r w:rsidR="00D83351" w:rsidRPr="00E93710">
        <w:rPr>
          <w:lang w:val="uk-UA"/>
        </w:rPr>
        <w:t xml:space="preserve">. </w:t>
      </w:r>
      <w:r w:rsidR="005C77A7" w:rsidRPr="000A38E5">
        <w:rPr>
          <w:lang w:val="uk-UA"/>
        </w:rPr>
        <w:t>Будівництво проводилося на основі належних дозволів</w:t>
      </w:r>
      <w:r w:rsidR="00D83351" w:rsidRPr="00E93710">
        <w:rPr>
          <w:lang w:val="uk-UA"/>
        </w:rPr>
        <w:t xml:space="preserve"> </w:t>
      </w:r>
      <w:r w:rsidR="005C77A7" w:rsidRPr="000A38E5">
        <w:rPr>
          <w:lang w:val="uk-UA"/>
        </w:rPr>
        <w:t xml:space="preserve">і заявники не </w:t>
      </w:r>
      <w:r w:rsidR="00E4255C" w:rsidRPr="000A38E5">
        <w:rPr>
          <w:lang w:val="uk-UA"/>
        </w:rPr>
        <w:t xml:space="preserve">довели </w:t>
      </w:r>
      <w:r w:rsidR="005C77A7" w:rsidRPr="000A38E5">
        <w:rPr>
          <w:lang w:val="uk-UA"/>
        </w:rPr>
        <w:t>зворотне</w:t>
      </w:r>
      <w:r w:rsidR="00D83351" w:rsidRPr="00E93710">
        <w:rPr>
          <w:lang w:val="uk-UA"/>
        </w:rPr>
        <w:t xml:space="preserve">. </w:t>
      </w:r>
      <w:r w:rsidR="005C77A7" w:rsidRPr="000A38E5">
        <w:rPr>
          <w:lang w:val="uk-UA"/>
        </w:rPr>
        <w:t>У той же час суд зробив висновок, що районний суд</w:t>
      </w:r>
      <w:r w:rsidR="00D83351" w:rsidRPr="00E93710">
        <w:rPr>
          <w:lang w:val="uk-UA"/>
        </w:rPr>
        <w:t xml:space="preserve"> </w:t>
      </w:r>
      <w:r w:rsidR="005F451D" w:rsidRPr="000A38E5">
        <w:rPr>
          <w:lang w:val="uk-UA"/>
        </w:rPr>
        <w:t>не мав достатніх підстав для накладання на заявників максимального покарання</w:t>
      </w:r>
      <w:r w:rsidR="00D83351" w:rsidRPr="00E93710">
        <w:rPr>
          <w:lang w:val="uk-UA"/>
        </w:rPr>
        <w:t xml:space="preserve">, </w:t>
      </w:r>
      <w:r w:rsidR="005F451D" w:rsidRPr="000A38E5">
        <w:rPr>
          <w:lang w:val="uk-UA"/>
        </w:rPr>
        <w:t>оскільки не взяв до уваги обставини їх справ</w:t>
      </w:r>
      <w:r w:rsidR="00D83351" w:rsidRPr="00E93710">
        <w:rPr>
          <w:lang w:val="uk-UA"/>
        </w:rPr>
        <w:t xml:space="preserve"> </w:t>
      </w:r>
      <w:r w:rsidR="005F451D" w:rsidRPr="000A38E5">
        <w:rPr>
          <w:lang w:val="uk-UA"/>
        </w:rPr>
        <w:t>та особисті характеристики заявників</w:t>
      </w:r>
      <w:r w:rsidR="00D83351" w:rsidRPr="00E93710">
        <w:rPr>
          <w:lang w:val="uk-UA"/>
        </w:rPr>
        <w:t xml:space="preserve">. </w:t>
      </w:r>
      <w:r w:rsidR="005F451D" w:rsidRPr="000A38E5">
        <w:rPr>
          <w:lang w:val="uk-UA"/>
        </w:rPr>
        <w:t xml:space="preserve">Відповідно, апеляційний суд зменшив строк їх затримання до дев’яти </w:t>
      </w:r>
      <w:r w:rsidR="00E4255C" w:rsidRPr="000A38E5">
        <w:rPr>
          <w:lang w:val="uk-UA"/>
        </w:rPr>
        <w:t>діб</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59</w:t>
      </w:r>
      <w:r w:rsidRPr="00E93710">
        <w:rPr>
          <w:noProof/>
          <w:lang w:val="uk-UA"/>
        </w:rPr>
        <w:fldChar w:fldCharType="end"/>
      </w:r>
      <w:r w:rsidR="00D83351" w:rsidRPr="00E93710">
        <w:rPr>
          <w:lang w:val="uk-UA"/>
        </w:rPr>
        <w:t>.</w:t>
      </w:r>
      <w:r w:rsidR="00334477" w:rsidRPr="000A38E5">
        <w:rPr>
          <w:lang w:val="uk-UA"/>
        </w:rPr>
        <w:t xml:space="preserve"> </w:t>
      </w:r>
      <w:r w:rsidR="003E2D41" w:rsidRPr="000A38E5">
        <w:rPr>
          <w:lang w:val="uk-UA"/>
        </w:rPr>
        <w:t>Того ж дня це рішення стало остаточним</w:t>
      </w:r>
      <w:r w:rsidR="00D83351" w:rsidRPr="00E93710">
        <w:rPr>
          <w:lang w:val="uk-UA"/>
        </w:rPr>
        <w:t xml:space="preserve"> </w:t>
      </w:r>
      <w:r w:rsidR="003E2D41" w:rsidRPr="000A38E5">
        <w:rPr>
          <w:lang w:val="uk-UA"/>
        </w:rPr>
        <w:t>і перший та другий заявники були звільнені</w:t>
      </w:r>
      <w:r w:rsidR="00D83351" w:rsidRPr="00E93710">
        <w:rPr>
          <w:lang w:val="uk-UA"/>
        </w:rPr>
        <w:t>.</w:t>
      </w:r>
    </w:p>
    <w:p w:rsidR="00D83351" w:rsidRPr="000A38E5" w:rsidRDefault="00D83351" w:rsidP="00852217">
      <w:pPr>
        <w:pStyle w:val="ECHRHeading4"/>
        <w:rPr>
          <w:lang w:val="uk-UA"/>
        </w:rPr>
      </w:pPr>
      <w:r w:rsidRPr="00E93710">
        <w:rPr>
          <w:lang w:val="uk-UA"/>
        </w:rPr>
        <w:t>(b)</w:t>
      </w:r>
      <w:r w:rsidR="00334477" w:rsidRPr="000A38E5">
        <w:rPr>
          <w:lang w:val="uk-UA"/>
        </w:rPr>
        <w:t xml:space="preserve"> </w:t>
      </w:r>
      <w:r w:rsidR="006A710E" w:rsidRPr="000A38E5">
        <w:rPr>
          <w:lang w:val="uk-UA"/>
        </w:rPr>
        <w:t>Третій та четвертий заявники</w:t>
      </w:r>
    </w:p>
    <w:p w:rsidR="00D83351" w:rsidRPr="000A38E5"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60</w:t>
      </w:r>
      <w:r w:rsidRPr="00E93710">
        <w:rPr>
          <w:noProof/>
          <w:lang w:val="uk-UA"/>
        </w:rPr>
        <w:fldChar w:fldCharType="end"/>
      </w:r>
      <w:r w:rsidR="00D83351" w:rsidRPr="00E93710">
        <w:rPr>
          <w:lang w:val="uk-UA"/>
        </w:rPr>
        <w:t>.</w:t>
      </w:r>
      <w:r w:rsidR="00334477" w:rsidRPr="000A38E5">
        <w:rPr>
          <w:lang w:val="uk-UA"/>
        </w:rPr>
        <w:t xml:space="preserve"> </w:t>
      </w:r>
      <w:r w:rsidR="006A710E" w:rsidRPr="000A38E5">
        <w:rPr>
          <w:lang w:val="uk-UA"/>
        </w:rPr>
        <w:t>В ході слухання у районному суді</w:t>
      </w:r>
      <w:r w:rsidR="00D83351" w:rsidRPr="00E93710">
        <w:rPr>
          <w:lang w:val="uk-UA"/>
        </w:rPr>
        <w:t xml:space="preserve"> </w:t>
      </w:r>
      <w:r w:rsidR="006A710E" w:rsidRPr="000A38E5">
        <w:rPr>
          <w:lang w:val="uk-UA"/>
        </w:rPr>
        <w:t xml:space="preserve">третій заявник стверджував, що дійсно був у парку </w:t>
      </w:r>
      <w:r w:rsidR="0085000B" w:rsidRPr="000A38E5">
        <w:rPr>
          <w:lang w:val="uk-UA"/>
        </w:rPr>
        <w:t>ім.</w:t>
      </w:r>
      <w:r w:rsidR="006A710E" w:rsidRPr="000A38E5">
        <w:rPr>
          <w:lang w:val="uk-UA"/>
        </w:rPr>
        <w:t xml:space="preserve"> Горького</w:t>
      </w:r>
      <w:r w:rsidR="00D83351" w:rsidRPr="000A38E5">
        <w:rPr>
          <w:lang w:val="uk-UA"/>
        </w:rPr>
        <w:t xml:space="preserve">, </w:t>
      </w:r>
      <w:r w:rsidR="006A710E" w:rsidRPr="000A38E5">
        <w:rPr>
          <w:lang w:val="uk-UA"/>
        </w:rPr>
        <w:t>не чув ніяких наказів міліціонерів залишити місце будівництва,</w:t>
      </w:r>
      <w:r w:rsidR="00D83351" w:rsidRPr="000A38E5">
        <w:rPr>
          <w:lang w:val="uk-UA"/>
        </w:rPr>
        <w:t xml:space="preserve"> </w:t>
      </w:r>
      <w:r w:rsidR="006A710E" w:rsidRPr="000A38E5">
        <w:rPr>
          <w:lang w:val="uk-UA"/>
        </w:rPr>
        <w:t>але чув накази осіб у цивільному одязі</w:t>
      </w:r>
      <w:r w:rsidR="00D83351" w:rsidRPr="000A38E5">
        <w:rPr>
          <w:lang w:val="uk-UA"/>
        </w:rPr>
        <w:t xml:space="preserve">. </w:t>
      </w:r>
      <w:r w:rsidR="000C6898" w:rsidRPr="000A38E5">
        <w:rPr>
          <w:lang w:val="uk-UA"/>
        </w:rPr>
        <w:t>Він та інші протестуючі були оточені особами у цивільному одязі</w:t>
      </w:r>
      <w:r w:rsidR="00E4255C" w:rsidRPr="000A38E5">
        <w:rPr>
          <w:lang w:val="uk-UA"/>
        </w:rPr>
        <w:t>,</w:t>
      </w:r>
      <w:r w:rsidR="00D83351" w:rsidRPr="000A38E5">
        <w:rPr>
          <w:lang w:val="uk-UA"/>
        </w:rPr>
        <w:t xml:space="preserve"> </w:t>
      </w:r>
      <w:r w:rsidR="000C6898" w:rsidRPr="000A38E5">
        <w:rPr>
          <w:lang w:val="uk-UA"/>
        </w:rPr>
        <w:t>і його витягли з оточення міліціонери</w:t>
      </w:r>
      <w:r w:rsidR="00D83351" w:rsidRPr="000A38E5">
        <w:rPr>
          <w:lang w:val="uk-UA"/>
        </w:rPr>
        <w:t xml:space="preserve">, </w:t>
      </w:r>
      <w:r w:rsidR="000C6898" w:rsidRPr="000A38E5">
        <w:rPr>
          <w:lang w:val="uk-UA"/>
        </w:rPr>
        <w:t xml:space="preserve">які </w:t>
      </w:r>
      <w:r w:rsidR="00E4255C" w:rsidRPr="000A38E5">
        <w:rPr>
          <w:lang w:val="uk-UA"/>
        </w:rPr>
        <w:t xml:space="preserve">доставили </w:t>
      </w:r>
      <w:r w:rsidR="000C6898" w:rsidRPr="000A38E5">
        <w:rPr>
          <w:lang w:val="uk-UA"/>
        </w:rPr>
        <w:t>його до міліцейського відділку</w:t>
      </w:r>
      <w:r w:rsidR="00D83351" w:rsidRPr="000A38E5">
        <w:rPr>
          <w:lang w:val="uk-UA"/>
        </w:rPr>
        <w:t>.</w:t>
      </w:r>
    </w:p>
    <w:p w:rsidR="00D83351" w:rsidRPr="00E93710" w:rsidRDefault="005E34F3" w:rsidP="00852217">
      <w:pPr>
        <w:pStyle w:val="ECHRPara"/>
        <w:rPr>
          <w:lang w:val="uk-UA"/>
        </w:rPr>
      </w:pPr>
      <w:r w:rsidRPr="000A38E5">
        <w:rPr>
          <w:lang w:val="uk-UA"/>
        </w:rPr>
        <w:t>14 червня</w:t>
      </w:r>
      <w:r w:rsidR="00D83351" w:rsidRPr="000A38E5">
        <w:rPr>
          <w:lang w:val="uk-UA"/>
        </w:rPr>
        <w:t xml:space="preserve"> 2010 </w:t>
      </w:r>
      <w:r w:rsidRPr="000A38E5">
        <w:rPr>
          <w:lang w:val="uk-UA"/>
        </w:rPr>
        <w:t>р</w:t>
      </w:r>
      <w:r w:rsidR="00E4255C" w:rsidRPr="000A38E5">
        <w:rPr>
          <w:lang w:val="uk-UA"/>
        </w:rPr>
        <w:t>оку</w:t>
      </w:r>
      <w:r w:rsidRPr="000A38E5">
        <w:rPr>
          <w:lang w:val="uk-UA"/>
        </w:rPr>
        <w:t xml:space="preserve"> районний суд, вислухавши міліціонерів</w:t>
      </w:r>
      <w:r w:rsidR="00D83351" w:rsidRPr="000A38E5">
        <w:rPr>
          <w:lang w:val="uk-UA"/>
        </w:rPr>
        <w:t xml:space="preserve">, </w:t>
      </w:r>
      <w:r w:rsidRPr="000A38E5">
        <w:rPr>
          <w:lang w:val="uk-UA"/>
        </w:rPr>
        <w:t>які підтверджували обвинувачення</w:t>
      </w:r>
      <w:r w:rsidR="00D83351" w:rsidRPr="000A38E5">
        <w:rPr>
          <w:lang w:val="uk-UA"/>
        </w:rPr>
        <w:t xml:space="preserve">, </w:t>
      </w:r>
      <w:r w:rsidRPr="000A38E5">
        <w:rPr>
          <w:lang w:val="uk-UA"/>
        </w:rPr>
        <w:t>третього та четвертого заявників та деяких свідків</w:t>
      </w:r>
      <w:r w:rsidR="00D83351" w:rsidRPr="000A38E5">
        <w:rPr>
          <w:lang w:val="uk-UA"/>
        </w:rPr>
        <w:t xml:space="preserve">, </w:t>
      </w:r>
      <w:r w:rsidR="00E4255C" w:rsidRPr="000A38E5">
        <w:rPr>
          <w:lang w:val="uk-UA"/>
        </w:rPr>
        <w:t xml:space="preserve">визнав </w:t>
      </w:r>
      <w:r w:rsidR="008D6E23" w:rsidRPr="000A38E5">
        <w:rPr>
          <w:lang w:val="uk-UA"/>
        </w:rPr>
        <w:t xml:space="preserve">заявників </w:t>
      </w:r>
      <w:r w:rsidR="00E4255C" w:rsidRPr="000A38E5">
        <w:rPr>
          <w:lang w:val="uk-UA"/>
        </w:rPr>
        <w:t xml:space="preserve">винуватими </w:t>
      </w:r>
      <w:r w:rsidR="008D6E23" w:rsidRPr="000A38E5">
        <w:rPr>
          <w:lang w:val="uk-UA"/>
        </w:rPr>
        <w:t>та призначив штраф розміром</w:t>
      </w:r>
      <w:r w:rsidR="007C6EE5" w:rsidRPr="000A38E5">
        <w:rPr>
          <w:lang w:val="uk-UA"/>
        </w:rPr>
        <w:t xml:space="preserve"> 136 </w:t>
      </w:r>
      <w:r w:rsidR="008D6E23" w:rsidRPr="000A38E5">
        <w:rPr>
          <w:lang w:val="uk-UA"/>
        </w:rPr>
        <w:t>та</w:t>
      </w:r>
      <w:r w:rsidR="007C6EE5" w:rsidRPr="00E93710">
        <w:rPr>
          <w:lang w:val="uk-UA"/>
        </w:rPr>
        <w:t> </w:t>
      </w:r>
      <w:r w:rsidR="00D83351" w:rsidRPr="000A38E5">
        <w:rPr>
          <w:lang w:val="uk-UA"/>
        </w:rPr>
        <w:t xml:space="preserve">170 </w:t>
      </w:r>
      <w:r w:rsidR="008D6E23" w:rsidRPr="000A38E5">
        <w:rPr>
          <w:lang w:val="uk-UA"/>
        </w:rPr>
        <w:t>українських гривень</w:t>
      </w:r>
      <w:r w:rsidR="00D83351" w:rsidRPr="000A38E5">
        <w:rPr>
          <w:lang w:val="uk-UA"/>
        </w:rPr>
        <w:t xml:space="preserve"> (</w:t>
      </w:r>
      <w:r w:rsidR="00D83351" w:rsidRPr="00E93710">
        <w:rPr>
          <w:lang w:val="uk-UA"/>
        </w:rPr>
        <w:t>UAH</w:t>
      </w:r>
      <w:r w:rsidR="00D83351" w:rsidRPr="000A38E5">
        <w:rPr>
          <w:lang w:val="uk-UA"/>
        </w:rPr>
        <w:t>)</w:t>
      </w:r>
      <w:r w:rsidR="008D6E23" w:rsidRPr="000A38E5">
        <w:rPr>
          <w:lang w:val="uk-UA"/>
        </w:rPr>
        <w:t>,</w:t>
      </w:r>
      <w:r w:rsidR="00D83351" w:rsidRPr="000A38E5">
        <w:rPr>
          <w:lang w:val="uk-UA"/>
        </w:rPr>
        <w:t xml:space="preserve"> </w:t>
      </w:r>
      <w:r w:rsidR="00C32E02" w:rsidRPr="000A38E5">
        <w:rPr>
          <w:lang w:val="uk-UA"/>
        </w:rPr>
        <w:t>відповідно, на той час – еквівалент приблизно</w:t>
      </w:r>
      <w:r w:rsidR="00D83351" w:rsidRPr="000A38E5">
        <w:rPr>
          <w:lang w:val="uk-UA"/>
        </w:rPr>
        <w:t xml:space="preserve"> 14 </w:t>
      </w:r>
      <w:r w:rsidR="00C32E02" w:rsidRPr="000A38E5">
        <w:rPr>
          <w:lang w:val="uk-UA"/>
        </w:rPr>
        <w:t>та</w:t>
      </w:r>
      <w:r w:rsidR="00D83351" w:rsidRPr="000A38E5">
        <w:rPr>
          <w:lang w:val="uk-UA"/>
        </w:rPr>
        <w:t xml:space="preserve"> 17 </w:t>
      </w:r>
      <w:r w:rsidR="00C32E02" w:rsidRPr="000A38E5">
        <w:rPr>
          <w:lang w:val="uk-UA"/>
        </w:rPr>
        <w:t>євро</w:t>
      </w:r>
      <w:r w:rsidR="00D83351" w:rsidRPr="000A38E5">
        <w:rPr>
          <w:lang w:val="uk-UA"/>
        </w:rPr>
        <w:t xml:space="preserve"> (</w:t>
      </w:r>
      <w:r w:rsidR="00D83351" w:rsidRPr="00E93710">
        <w:rPr>
          <w:lang w:val="uk-UA"/>
        </w:rPr>
        <w:t>EUR</w:t>
      </w:r>
      <w:r w:rsidR="00D83351" w:rsidRPr="000A38E5">
        <w:rPr>
          <w:lang w:val="uk-UA"/>
        </w:rPr>
        <w:t>) (</w:t>
      </w:r>
      <w:r w:rsidR="00DE420E" w:rsidRPr="000A38E5">
        <w:rPr>
          <w:lang w:val="uk-UA"/>
        </w:rPr>
        <w:t>див. пункт</w:t>
      </w:r>
      <w:r w:rsidR="00D83351" w:rsidRPr="000A38E5">
        <w:rPr>
          <w:lang w:val="uk-UA"/>
        </w:rPr>
        <w:t xml:space="preserve"> </w:t>
      </w:r>
      <w:fldSimple w:instr=" REF CAO_185 \h  \* MERGEFORMAT ">
        <w:r w:rsidR="0075299E" w:rsidRPr="00E93710">
          <w:rPr>
            <w:noProof/>
            <w:lang w:val="uk-UA"/>
          </w:rPr>
          <w:t>97</w:t>
        </w:r>
      </w:fldSimple>
      <w:r w:rsidR="00D83351" w:rsidRPr="000A38E5">
        <w:rPr>
          <w:lang w:val="uk-UA"/>
        </w:rPr>
        <w:t xml:space="preserve"> </w:t>
      </w:r>
      <w:r w:rsidR="00DE420E" w:rsidRPr="000A38E5">
        <w:rPr>
          <w:lang w:val="uk-UA"/>
        </w:rPr>
        <w:t>нижче</w:t>
      </w:r>
      <w:r w:rsidR="00D83351" w:rsidRPr="000A38E5">
        <w:rPr>
          <w:lang w:val="uk-UA"/>
        </w:rPr>
        <w:t xml:space="preserve">). </w:t>
      </w:r>
      <w:r w:rsidR="00DE420E" w:rsidRPr="000A38E5">
        <w:rPr>
          <w:lang w:val="uk-UA"/>
        </w:rPr>
        <w:t>Заявники рішення оскаржили</w:t>
      </w:r>
      <w:r w:rsidR="00D83351" w:rsidRPr="000A38E5">
        <w:rPr>
          <w:lang w:val="uk-UA"/>
        </w:rPr>
        <w:t xml:space="preserve">. </w:t>
      </w:r>
      <w:r w:rsidR="00DE420E" w:rsidRPr="000A38E5">
        <w:rPr>
          <w:lang w:val="uk-UA"/>
        </w:rPr>
        <w:t>У своїй апеляції третій заявник стверджував, зокрема</w:t>
      </w:r>
      <w:r w:rsidR="00D83351" w:rsidRPr="000A38E5">
        <w:rPr>
          <w:lang w:val="uk-UA"/>
        </w:rPr>
        <w:t xml:space="preserve">, </w:t>
      </w:r>
      <w:r w:rsidR="00DE420E" w:rsidRPr="000A38E5">
        <w:rPr>
          <w:lang w:val="uk-UA"/>
        </w:rPr>
        <w:t>що його не можна було притягти до відповідальності за невиконання наказів міліції,</w:t>
      </w:r>
      <w:r w:rsidR="00D83351" w:rsidRPr="000A38E5">
        <w:rPr>
          <w:lang w:val="uk-UA"/>
        </w:rPr>
        <w:t xml:space="preserve"> </w:t>
      </w:r>
      <w:r w:rsidR="00DE420E" w:rsidRPr="000A38E5">
        <w:rPr>
          <w:lang w:val="uk-UA"/>
        </w:rPr>
        <w:t>оскільки він мав право бути присутнім у парку</w:t>
      </w:r>
      <w:r w:rsidR="00D83351" w:rsidRPr="000A38E5">
        <w:rPr>
          <w:lang w:val="uk-UA"/>
        </w:rPr>
        <w:t xml:space="preserve"> </w:t>
      </w:r>
      <w:r w:rsidR="00DE420E" w:rsidRPr="000A38E5">
        <w:rPr>
          <w:lang w:val="uk-UA"/>
        </w:rPr>
        <w:t>і наказ залишити його не мав правової основи</w:t>
      </w:r>
      <w:r w:rsidR="00D83351" w:rsidRPr="000A38E5">
        <w:rPr>
          <w:lang w:val="uk-UA"/>
        </w:rPr>
        <w:t xml:space="preserve">. </w:t>
      </w:r>
      <w:r w:rsidR="00DE420E" w:rsidRPr="000A38E5">
        <w:rPr>
          <w:lang w:val="uk-UA"/>
        </w:rPr>
        <w:t>Четвертий заявник також стверджував, що міліціонери</w:t>
      </w:r>
      <w:r w:rsidR="00D83351" w:rsidRPr="00E93710">
        <w:rPr>
          <w:lang w:val="uk-UA"/>
        </w:rPr>
        <w:t xml:space="preserve"> </w:t>
      </w:r>
      <w:r w:rsidR="007551B3" w:rsidRPr="000A38E5">
        <w:rPr>
          <w:lang w:val="uk-UA"/>
        </w:rPr>
        <w:t>не наказували залишити територію</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61</w:t>
      </w:r>
      <w:r w:rsidRPr="00E93710">
        <w:rPr>
          <w:noProof/>
          <w:lang w:val="uk-UA"/>
        </w:rPr>
        <w:fldChar w:fldCharType="end"/>
      </w:r>
      <w:r w:rsidR="00D83351" w:rsidRPr="00E93710">
        <w:rPr>
          <w:lang w:val="uk-UA"/>
        </w:rPr>
        <w:t>.</w:t>
      </w:r>
      <w:r w:rsidR="00334477" w:rsidRPr="000A38E5">
        <w:rPr>
          <w:lang w:val="uk-UA"/>
        </w:rPr>
        <w:t xml:space="preserve"> </w:t>
      </w:r>
      <w:r w:rsidR="007551B3" w:rsidRPr="000A38E5">
        <w:rPr>
          <w:lang w:val="uk-UA"/>
        </w:rPr>
        <w:t>27 липня та 11 серпня</w:t>
      </w:r>
      <w:r w:rsidR="00D83351" w:rsidRPr="00E93710">
        <w:rPr>
          <w:lang w:val="uk-UA"/>
        </w:rPr>
        <w:t xml:space="preserve"> 2010 </w:t>
      </w:r>
      <w:r w:rsidR="007551B3" w:rsidRPr="000A38E5">
        <w:rPr>
          <w:lang w:val="uk-UA"/>
        </w:rPr>
        <w:t>р</w:t>
      </w:r>
      <w:r w:rsidR="00E4255C" w:rsidRPr="000A38E5">
        <w:rPr>
          <w:lang w:val="uk-UA"/>
        </w:rPr>
        <w:t>оку</w:t>
      </w:r>
      <w:r w:rsidR="007551B3" w:rsidRPr="000A38E5">
        <w:rPr>
          <w:lang w:val="uk-UA"/>
        </w:rPr>
        <w:t xml:space="preserve">, </w:t>
      </w:r>
      <w:r w:rsidR="00A03B9E" w:rsidRPr="000A38E5">
        <w:rPr>
          <w:lang w:val="uk-UA"/>
        </w:rPr>
        <w:t>відповідно, рішення за справами цих заявників</w:t>
      </w:r>
      <w:r w:rsidR="00D83351" w:rsidRPr="00E93710">
        <w:rPr>
          <w:lang w:val="uk-UA"/>
        </w:rPr>
        <w:t xml:space="preserve"> </w:t>
      </w:r>
      <w:r w:rsidR="00A03B9E" w:rsidRPr="000A38E5">
        <w:rPr>
          <w:lang w:val="uk-UA"/>
        </w:rPr>
        <w:t>були залишені в силі апеляційним судом</w:t>
      </w:r>
      <w:r w:rsidR="00D83351" w:rsidRPr="00E93710">
        <w:rPr>
          <w:lang w:val="uk-UA"/>
        </w:rPr>
        <w:t>.</w:t>
      </w:r>
    </w:p>
    <w:p w:rsidR="00D83351" w:rsidRPr="000A38E5" w:rsidRDefault="00D83351" w:rsidP="00852217">
      <w:pPr>
        <w:pStyle w:val="ECHRHeading4"/>
        <w:rPr>
          <w:lang w:val="uk-UA"/>
        </w:rPr>
      </w:pPr>
      <w:r w:rsidRPr="00E93710">
        <w:rPr>
          <w:lang w:val="uk-UA"/>
        </w:rPr>
        <w:t>(c)</w:t>
      </w:r>
      <w:r w:rsidR="00334477" w:rsidRPr="000A38E5">
        <w:rPr>
          <w:lang w:val="uk-UA"/>
        </w:rPr>
        <w:t xml:space="preserve"> </w:t>
      </w:r>
      <w:r w:rsidR="007175C1" w:rsidRPr="000A38E5">
        <w:rPr>
          <w:lang w:val="uk-UA"/>
        </w:rPr>
        <w:t>П’ятий заявник</w:t>
      </w:r>
    </w:p>
    <w:bookmarkStart w:id="35" w:name="fith_applicant_acquittal"/>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62</w:t>
      </w:r>
      <w:r w:rsidRPr="00E93710">
        <w:rPr>
          <w:lang w:val="uk-UA"/>
        </w:rPr>
        <w:fldChar w:fldCharType="end"/>
      </w:r>
      <w:bookmarkEnd w:id="35"/>
      <w:r w:rsidR="00D83351" w:rsidRPr="00E93710">
        <w:rPr>
          <w:lang w:val="uk-UA"/>
        </w:rPr>
        <w:t>.</w:t>
      </w:r>
      <w:r w:rsidR="00334477" w:rsidRPr="000A38E5">
        <w:rPr>
          <w:lang w:val="uk-UA"/>
        </w:rPr>
        <w:t xml:space="preserve"> </w:t>
      </w:r>
      <w:r w:rsidR="007175C1" w:rsidRPr="000A38E5">
        <w:rPr>
          <w:lang w:val="uk-UA"/>
        </w:rPr>
        <w:t>23 червня</w:t>
      </w:r>
      <w:r w:rsidR="00D83351" w:rsidRPr="00E93710">
        <w:rPr>
          <w:lang w:val="uk-UA"/>
        </w:rPr>
        <w:t xml:space="preserve"> 2010 </w:t>
      </w:r>
      <w:r w:rsidR="007175C1" w:rsidRPr="000A38E5">
        <w:rPr>
          <w:lang w:val="uk-UA"/>
        </w:rPr>
        <w:t>р</w:t>
      </w:r>
      <w:r w:rsidR="00E4255C" w:rsidRPr="000A38E5">
        <w:rPr>
          <w:lang w:val="uk-UA"/>
        </w:rPr>
        <w:t>оку</w:t>
      </w:r>
      <w:r w:rsidR="007175C1" w:rsidRPr="000A38E5">
        <w:rPr>
          <w:lang w:val="uk-UA"/>
        </w:rPr>
        <w:t xml:space="preserve"> районний суд, вислухавши міліціонерів, п’ятого заявника та деяких свідків</w:t>
      </w:r>
      <w:r w:rsidR="00D83351" w:rsidRPr="00E93710">
        <w:rPr>
          <w:lang w:val="uk-UA"/>
        </w:rPr>
        <w:t xml:space="preserve">, </w:t>
      </w:r>
      <w:r w:rsidR="00E4255C" w:rsidRPr="00E93710">
        <w:rPr>
          <w:lang w:val="uk-UA"/>
        </w:rPr>
        <w:t xml:space="preserve">визнав </w:t>
      </w:r>
      <w:r w:rsidR="00B850D0" w:rsidRPr="000A38E5">
        <w:rPr>
          <w:lang w:val="uk-UA"/>
        </w:rPr>
        <w:t xml:space="preserve">п’ятого заявника </w:t>
      </w:r>
      <w:r w:rsidR="00E4255C" w:rsidRPr="000A38E5">
        <w:rPr>
          <w:lang w:val="uk-UA"/>
        </w:rPr>
        <w:t xml:space="preserve">винуватим </w:t>
      </w:r>
      <w:r w:rsidR="00B850D0" w:rsidRPr="000A38E5">
        <w:rPr>
          <w:lang w:val="uk-UA"/>
        </w:rPr>
        <w:t>та призначив йому штраф у розмірі</w:t>
      </w:r>
      <w:r w:rsidR="00D83351" w:rsidRPr="00E93710">
        <w:rPr>
          <w:lang w:val="uk-UA"/>
        </w:rPr>
        <w:t xml:space="preserve"> 170</w:t>
      </w:r>
      <w:r w:rsidR="00B850D0" w:rsidRPr="000A38E5">
        <w:rPr>
          <w:lang w:val="uk-UA"/>
        </w:rPr>
        <w:t xml:space="preserve"> гривень</w:t>
      </w:r>
      <w:r w:rsidR="00D83351" w:rsidRPr="00E93710">
        <w:rPr>
          <w:lang w:val="uk-UA"/>
        </w:rPr>
        <w:t xml:space="preserve">, </w:t>
      </w:r>
      <w:r w:rsidR="00B850D0" w:rsidRPr="000A38E5">
        <w:rPr>
          <w:lang w:val="uk-UA"/>
        </w:rPr>
        <w:t>на той час – еквівалент приблизно</w:t>
      </w:r>
      <w:r w:rsidR="00D83351" w:rsidRPr="00E93710">
        <w:rPr>
          <w:lang w:val="uk-UA"/>
        </w:rPr>
        <w:t> 17</w:t>
      </w:r>
      <w:r w:rsidR="00B850D0" w:rsidRPr="00E93710">
        <w:rPr>
          <w:lang w:val="uk-UA"/>
        </w:rPr>
        <w:t xml:space="preserve"> євро</w:t>
      </w:r>
      <w:r w:rsidR="00D83351" w:rsidRPr="00E93710">
        <w:rPr>
          <w:lang w:val="uk-UA"/>
        </w:rPr>
        <w:t xml:space="preserve">. </w:t>
      </w:r>
      <w:r w:rsidR="00B850D0" w:rsidRPr="000A38E5">
        <w:rPr>
          <w:lang w:val="uk-UA"/>
        </w:rPr>
        <w:t>27 липня</w:t>
      </w:r>
      <w:r w:rsidR="00D83351" w:rsidRPr="00E93710">
        <w:rPr>
          <w:lang w:val="uk-UA"/>
        </w:rPr>
        <w:t xml:space="preserve"> 2010 </w:t>
      </w:r>
      <w:r w:rsidR="00B850D0" w:rsidRPr="000A38E5">
        <w:rPr>
          <w:lang w:val="uk-UA"/>
        </w:rPr>
        <w:t>р</w:t>
      </w:r>
      <w:r w:rsidR="00E4255C" w:rsidRPr="000A38E5">
        <w:rPr>
          <w:lang w:val="uk-UA"/>
        </w:rPr>
        <w:t>оку</w:t>
      </w:r>
      <w:r w:rsidR="00B850D0" w:rsidRPr="000A38E5">
        <w:rPr>
          <w:lang w:val="uk-UA"/>
        </w:rPr>
        <w:t xml:space="preserve"> </w:t>
      </w:r>
      <w:r w:rsidR="006D511E" w:rsidRPr="000A38E5">
        <w:rPr>
          <w:lang w:val="uk-UA"/>
        </w:rPr>
        <w:t>апеляційний суд остаточним рішенням скасував засудження</w:t>
      </w:r>
      <w:r w:rsidR="00D83351" w:rsidRPr="00E93710">
        <w:rPr>
          <w:lang w:val="uk-UA"/>
        </w:rPr>
        <w:t xml:space="preserve"> </w:t>
      </w:r>
      <w:r w:rsidR="006D511E" w:rsidRPr="000A38E5">
        <w:rPr>
          <w:lang w:val="uk-UA"/>
        </w:rPr>
        <w:t>та припинив провадження проти п’ятого заявника</w:t>
      </w:r>
      <w:r w:rsidR="00D83351" w:rsidRPr="00E93710">
        <w:rPr>
          <w:lang w:val="uk-UA"/>
        </w:rPr>
        <w:t xml:space="preserve"> </w:t>
      </w:r>
      <w:r w:rsidR="006D511E" w:rsidRPr="000A38E5">
        <w:rPr>
          <w:lang w:val="uk-UA"/>
        </w:rPr>
        <w:t>відповідно до статті</w:t>
      </w:r>
      <w:r w:rsidR="00D83351" w:rsidRPr="00E93710">
        <w:rPr>
          <w:lang w:val="uk-UA"/>
        </w:rPr>
        <w:t xml:space="preserve"> 22 </w:t>
      </w:r>
      <w:r w:rsidR="00E62654" w:rsidRPr="000A38E5">
        <w:rPr>
          <w:lang w:val="uk-UA"/>
        </w:rPr>
        <w:t>Кодексу адміністративних правопорушень</w:t>
      </w:r>
      <w:r w:rsidR="00D83351" w:rsidRPr="00E93710">
        <w:rPr>
          <w:lang w:val="uk-UA"/>
        </w:rPr>
        <w:t xml:space="preserve"> (</w:t>
      </w:r>
      <w:r w:rsidR="00E62654" w:rsidRPr="000A38E5">
        <w:rPr>
          <w:lang w:val="uk-UA"/>
        </w:rPr>
        <w:t>див. пункт</w:t>
      </w:r>
      <w:r w:rsidR="00121B3C" w:rsidRPr="00E93710">
        <w:rPr>
          <w:lang w:val="uk-UA"/>
        </w:rPr>
        <w:t> </w:t>
      </w:r>
      <w:fldSimple w:instr=" REF CAO_reprimand \h  \* MERGEFORMAT ">
        <w:r w:rsidR="0075299E" w:rsidRPr="00E93710">
          <w:rPr>
            <w:noProof/>
            <w:lang w:val="uk-UA"/>
          </w:rPr>
          <w:t>95</w:t>
        </w:r>
      </w:fldSimple>
      <w:r w:rsidR="00D83351" w:rsidRPr="00E93710">
        <w:rPr>
          <w:lang w:val="uk-UA"/>
        </w:rPr>
        <w:t xml:space="preserve"> </w:t>
      </w:r>
      <w:r w:rsidR="00E62654" w:rsidRPr="000A38E5">
        <w:rPr>
          <w:lang w:val="uk-UA"/>
        </w:rPr>
        <w:t>нижче</w:t>
      </w:r>
      <w:r w:rsidR="00D83351" w:rsidRPr="00E93710">
        <w:rPr>
          <w:lang w:val="uk-UA"/>
        </w:rPr>
        <w:t xml:space="preserve">). </w:t>
      </w:r>
      <w:r w:rsidR="00E62654" w:rsidRPr="000A38E5">
        <w:rPr>
          <w:lang w:val="uk-UA"/>
        </w:rPr>
        <w:t>Він визнав, що суд першої інстанції правильно встановив</w:t>
      </w:r>
      <w:r w:rsidR="00D83351" w:rsidRPr="00E93710">
        <w:rPr>
          <w:lang w:val="uk-UA"/>
        </w:rPr>
        <w:t xml:space="preserve"> </w:t>
      </w:r>
      <w:r w:rsidR="00E62654" w:rsidRPr="000A38E5">
        <w:rPr>
          <w:lang w:val="uk-UA"/>
        </w:rPr>
        <w:t>факти стосовно вин</w:t>
      </w:r>
      <w:r w:rsidR="00E4255C" w:rsidRPr="000A38E5">
        <w:rPr>
          <w:lang w:val="uk-UA"/>
        </w:rPr>
        <w:t xml:space="preserve">уватості </w:t>
      </w:r>
      <w:r w:rsidR="00E62654" w:rsidRPr="000A38E5">
        <w:rPr>
          <w:lang w:val="uk-UA"/>
        </w:rPr>
        <w:t>заявника</w:t>
      </w:r>
      <w:r w:rsidR="00D83351" w:rsidRPr="00E93710">
        <w:rPr>
          <w:lang w:val="uk-UA"/>
        </w:rPr>
        <w:t xml:space="preserve">, </w:t>
      </w:r>
      <w:r w:rsidR="00E62654" w:rsidRPr="000A38E5">
        <w:rPr>
          <w:lang w:val="uk-UA"/>
        </w:rPr>
        <w:t>але рішення не було достатньо обґрунтованим</w:t>
      </w:r>
      <w:r w:rsidR="00D83351" w:rsidRPr="00E93710">
        <w:rPr>
          <w:lang w:val="uk-UA"/>
        </w:rPr>
        <w:t xml:space="preserve"> </w:t>
      </w:r>
      <w:r w:rsidR="00E62654" w:rsidRPr="000A38E5">
        <w:rPr>
          <w:lang w:val="uk-UA"/>
        </w:rPr>
        <w:t>стосовно рівня небезпеки поведінки заявника</w:t>
      </w:r>
      <w:r w:rsidR="00D83351" w:rsidRPr="00E93710">
        <w:rPr>
          <w:lang w:val="uk-UA"/>
        </w:rPr>
        <w:t xml:space="preserve"> </w:t>
      </w:r>
      <w:r w:rsidR="00E62654" w:rsidRPr="000A38E5">
        <w:rPr>
          <w:lang w:val="uk-UA"/>
        </w:rPr>
        <w:t>та його дій</w:t>
      </w:r>
      <w:r w:rsidR="00A2471F" w:rsidRPr="000A38E5">
        <w:rPr>
          <w:lang w:val="uk-UA"/>
        </w:rPr>
        <w:t>,</w:t>
      </w:r>
      <w:r w:rsidR="00D83351" w:rsidRPr="00E93710">
        <w:rPr>
          <w:lang w:val="uk-UA"/>
        </w:rPr>
        <w:t xml:space="preserve"> </w:t>
      </w:r>
      <w:r w:rsidR="00A2471F" w:rsidRPr="000A38E5">
        <w:rPr>
          <w:lang w:val="uk-UA"/>
        </w:rPr>
        <w:t>а також щодо його особистих характеристик</w:t>
      </w:r>
      <w:r w:rsidR="00D83351" w:rsidRPr="00E93710">
        <w:rPr>
          <w:lang w:val="uk-UA"/>
        </w:rPr>
        <w:t xml:space="preserve">. </w:t>
      </w:r>
      <w:r w:rsidR="00A2471F" w:rsidRPr="000A38E5">
        <w:rPr>
          <w:lang w:val="uk-UA"/>
        </w:rPr>
        <w:t>Апеляційний суд визнав встановленим той факт,</w:t>
      </w:r>
      <w:r w:rsidR="00D83351" w:rsidRPr="00E93710">
        <w:rPr>
          <w:lang w:val="uk-UA"/>
        </w:rPr>
        <w:t xml:space="preserve"> </w:t>
      </w:r>
      <w:r w:rsidR="00A2471F" w:rsidRPr="000A38E5">
        <w:rPr>
          <w:lang w:val="uk-UA"/>
        </w:rPr>
        <w:t>що зареєстроване місце проживання заявника було у Харкові</w:t>
      </w:r>
      <w:r w:rsidR="00D83351" w:rsidRPr="00E93710">
        <w:rPr>
          <w:lang w:val="uk-UA"/>
        </w:rPr>
        <w:t xml:space="preserve">, </w:t>
      </w:r>
      <w:r w:rsidR="00A2471F" w:rsidRPr="000A38E5">
        <w:rPr>
          <w:lang w:val="uk-UA"/>
        </w:rPr>
        <w:t>що він мав місце роботи і що його дії</w:t>
      </w:r>
      <w:r w:rsidR="00D83351" w:rsidRPr="00E93710">
        <w:rPr>
          <w:lang w:val="uk-UA"/>
        </w:rPr>
        <w:t xml:space="preserve"> </w:t>
      </w:r>
      <w:r w:rsidR="00A2471F" w:rsidRPr="000A38E5">
        <w:rPr>
          <w:lang w:val="uk-UA"/>
        </w:rPr>
        <w:t>не чинили перешкоди громадському інтересу або приватним особам</w:t>
      </w:r>
      <w:r w:rsidR="00D83351" w:rsidRPr="00E93710">
        <w:rPr>
          <w:lang w:val="uk-UA"/>
        </w:rPr>
        <w:t xml:space="preserve">. </w:t>
      </w:r>
      <w:r w:rsidR="00B2447F" w:rsidRPr="000A38E5">
        <w:rPr>
          <w:lang w:val="uk-UA"/>
        </w:rPr>
        <w:t xml:space="preserve">Таким чином, </w:t>
      </w:r>
      <w:proofErr w:type="spellStart"/>
      <w:r w:rsidR="00B2447F" w:rsidRPr="000A38E5">
        <w:rPr>
          <w:lang w:val="uk-UA"/>
        </w:rPr>
        <w:t>делінквентний</w:t>
      </w:r>
      <w:proofErr w:type="spellEnd"/>
      <w:r w:rsidR="00B2447F" w:rsidRPr="000A38E5">
        <w:rPr>
          <w:lang w:val="uk-UA"/>
        </w:rPr>
        <w:t xml:space="preserve"> елемент</w:t>
      </w:r>
      <w:r w:rsidR="00D83351" w:rsidRPr="00E93710">
        <w:rPr>
          <w:lang w:val="uk-UA"/>
        </w:rPr>
        <w:t xml:space="preserve"> </w:t>
      </w:r>
      <w:r w:rsidR="00B2447F" w:rsidRPr="000A38E5">
        <w:rPr>
          <w:lang w:val="uk-UA"/>
        </w:rPr>
        <w:t>у його поведінці був настільки незначним,</w:t>
      </w:r>
      <w:r w:rsidR="00D83351" w:rsidRPr="00E93710">
        <w:rPr>
          <w:lang w:val="uk-UA"/>
        </w:rPr>
        <w:t xml:space="preserve"> </w:t>
      </w:r>
      <w:r w:rsidR="00B2447F" w:rsidRPr="000A38E5">
        <w:rPr>
          <w:lang w:val="uk-UA"/>
        </w:rPr>
        <w:t>що усного попередження було б достатньо</w:t>
      </w:r>
      <w:r w:rsidR="00121B3C" w:rsidRPr="00E93710">
        <w:rPr>
          <w:lang w:val="uk-UA"/>
        </w:rPr>
        <w:t xml:space="preserve"> </w:t>
      </w:r>
      <w:r w:rsidR="00B2447F" w:rsidRPr="000A38E5">
        <w:rPr>
          <w:lang w:val="uk-UA"/>
        </w:rPr>
        <w:t>відповідно до статті 22 Кодексу адміністративних правопорушень</w:t>
      </w:r>
      <w:r w:rsidR="00D83351" w:rsidRPr="00E93710">
        <w:rPr>
          <w:lang w:val="uk-UA"/>
        </w:rPr>
        <w:t xml:space="preserve"> (</w:t>
      </w:r>
      <w:r w:rsidR="00B2447F" w:rsidRPr="000A38E5">
        <w:rPr>
          <w:lang w:val="uk-UA"/>
        </w:rPr>
        <w:t>див. пункт</w:t>
      </w:r>
      <w:r w:rsidR="00D83351" w:rsidRPr="00E93710">
        <w:rPr>
          <w:lang w:val="uk-UA"/>
        </w:rPr>
        <w:t xml:space="preserve"> </w:t>
      </w:r>
      <w:fldSimple w:instr=" REF CAO_reprimand \h  \* MERGEFORMAT ">
        <w:r w:rsidR="0075299E" w:rsidRPr="00E93710">
          <w:rPr>
            <w:noProof/>
            <w:lang w:val="uk-UA"/>
          </w:rPr>
          <w:t>95</w:t>
        </w:r>
      </w:fldSimple>
      <w:r w:rsidR="00D83351" w:rsidRPr="00E93710">
        <w:rPr>
          <w:lang w:val="uk-UA"/>
        </w:rPr>
        <w:t xml:space="preserve"> </w:t>
      </w:r>
      <w:r w:rsidR="00B2447F" w:rsidRPr="000A38E5">
        <w:rPr>
          <w:lang w:val="uk-UA"/>
        </w:rPr>
        <w:t>нижче</w:t>
      </w:r>
      <w:r w:rsidR="00D83351" w:rsidRPr="00E93710">
        <w:rPr>
          <w:lang w:val="uk-UA"/>
        </w:rPr>
        <w:t xml:space="preserve">). </w:t>
      </w:r>
      <w:r w:rsidR="00390494" w:rsidRPr="000A38E5">
        <w:rPr>
          <w:lang w:val="uk-UA"/>
        </w:rPr>
        <w:t>Після цього суд оголосив догану</w:t>
      </w:r>
      <w:r w:rsidR="00D83351" w:rsidRPr="00E93710">
        <w:rPr>
          <w:lang w:val="uk-UA"/>
        </w:rPr>
        <w:t>.</w:t>
      </w:r>
    </w:p>
    <w:p w:rsidR="00D83351" w:rsidRPr="000A38E5" w:rsidRDefault="00D83351" w:rsidP="00852217">
      <w:pPr>
        <w:pStyle w:val="ECHRHeading4"/>
        <w:rPr>
          <w:lang w:val="uk-UA"/>
        </w:rPr>
      </w:pPr>
      <w:r w:rsidRPr="00E93710">
        <w:rPr>
          <w:lang w:val="uk-UA"/>
        </w:rPr>
        <w:t>(d)</w:t>
      </w:r>
      <w:r w:rsidR="00334477" w:rsidRPr="000A38E5">
        <w:rPr>
          <w:lang w:val="uk-UA"/>
        </w:rPr>
        <w:t xml:space="preserve"> </w:t>
      </w:r>
      <w:r w:rsidR="00390494" w:rsidRPr="000A38E5">
        <w:rPr>
          <w:lang w:val="uk-UA"/>
        </w:rPr>
        <w:t>Восьмий та десятий заявники</w:t>
      </w:r>
    </w:p>
    <w:bookmarkStart w:id="36" w:name="eight_applicant"/>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63</w:t>
      </w:r>
      <w:r w:rsidRPr="00E93710">
        <w:rPr>
          <w:lang w:val="uk-UA"/>
        </w:rPr>
        <w:fldChar w:fldCharType="end"/>
      </w:r>
      <w:bookmarkEnd w:id="36"/>
      <w:r w:rsidR="00D83351" w:rsidRPr="00E93710">
        <w:rPr>
          <w:lang w:val="uk-UA"/>
        </w:rPr>
        <w:t>.</w:t>
      </w:r>
      <w:r w:rsidR="00334477" w:rsidRPr="000A38E5">
        <w:rPr>
          <w:lang w:val="uk-UA"/>
        </w:rPr>
        <w:t xml:space="preserve"> </w:t>
      </w:r>
      <w:r w:rsidR="00390494" w:rsidRPr="000A38E5">
        <w:rPr>
          <w:lang w:val="uk-UA"/>
        </w:rPr>
        <w:t>8 червня та 12 липня</w:t>
      </w:r>
      <w:r w:rsidR="00D83351" w:rsidRPr="00E93710">
        <w:rPr>
          <w:lang w:val="uk-UA"/>
        </w:rPr>
        <w:t xml:space="preserve"> 2010 </w:t>
      </w:r>
      <w:r w:rsidR="00390494" w:rsidRPr="000A38E5">
        <w:rPr>
          <w:lang w:val="uk-UA"/>
        </w:rPr>
        <w:t>р</w:t>
      </w:r>
      <w:r w:rsidR="00E4255C" w:rsidRPr="000A38E5">
        <w:rPr>
          <w:lang w:val="uk-UA"/>
        </w:rPr>
        <w:t>оку</w:t>
      </w:r>
      <w:r w:rsidR="00390494" w:rsidRPr="000A38E5">
        <w:rPr>
          <w:lang w:val="uk-UA"/>
        </w:rPr>
        <w:t xml:space="preserve"> районний суд припинив провадження проти восьмого та десятого заявників</w:t>
      </w:r>
      <w:r w:rsidR="00D83351" w:rsidRPr="00E93710">
        <w:rPr>
          <w:lang w:val="uk-UA"/>
        </w:rPr>
        <w:t xml:space="preserve">. </w:t>
      </w:r>
      <w:r w:rsidR="00390494" w:rsidRPr="000A38E5">
        <w:rPr>
          <w:lang w:val="uk-UA"/>
        </w:rPr>
        <w:t>У своєму рішенні стосовно восьмого заявника районний суд зазначив</w:t>
      </w:r>
      <w:r w:rsidR="00D83351" w:rsidRPr="00E93710">
        <w:rPr>
          <w:lang w:val="uk-UA"/>
        </w:rPr>
        <w:t xml:space="preserve">, </w:t>
      </w:r>
      <w:r w:rsidR="00390494" w:rsidRPr="000A38E5">
        <w:rPr>
          <w:lang w:val="uk-UA"/>
        </w:rPr>
        <w:lastRenderedPageBreak/>
        <w:t>зокрема, що його пояснення відповідали</w:t>
      </w:r>
      <w:r w:rsidR="00D83351" w:rsidRPr="00E93710">
        <w:rPr>
          <w:lang w:val="uk-UA"/>
        </w:rPr>
        <w:t xml:space="preserve"> </w:t>
      </w:r>
      <w:r w:rsidR="00390494" w:rsidRPr="000A38E5">
        <w:rPr>
          <w:lang w:val="uk-UA"/>
        </w:rPr>
        <w:t>наданому ним приватному відеозапису подій</w:t>
      </w:r>
      <w:r w:rsidR="00D83351" w:rsidRPr="00E93710">
        <w:rPr>
          <w:lang w:val="uk-UA"/>
        </w:rPr>
        <w:t xml:space="preserve">. </w:t>
      </w:r>
      <w:r w:rsidR="00390494" w:rsidRPr="000A38E5">
        <w:rPr>
          <w:lang w:val="uk-UA"/>
        </w:rPr>
        <w:t>Мали місце невідповідності між різними міліцейськими звітами</w:t>
      </w:r>
      <w:r w:rsidR="00D83351" w:rsidRPr="00E93710">
        <w:rPr>
          <w:lang w:val="uk-UA"/>
        </w:rPr>
        <w:t xml:space="preserve"> </w:t>
      </w:r>
      <w:r w:rsidR="00390494" w:rsidRPr="000A38E5">
        <w:rPr>
          <w:lang w:val="uk-UA"/>
        </w:rPr>
        <w:t>в матеріалах справи та не було доказів того, що міліціонери належним чином сказали йому залишити територію</w:t>
      </w:r>
      <w:r w:rsidR="00D83351" w:rsidRPr="00E93710">
        <w:rPr>
          <w:lang w:val="uk-UA"/>
        </w:rPr>
        <w:t xml:space="preserve">. </w:t>
      </w:r>
      <w:r w:rsidR="00684DE8" w:rsidRPr="000A38E5">
        <w:rPr>
          <w:lang w:val="uk-UA"/>
        </w:rPr>
        <w:t>Стосовно десятого заявника суд також відмітив невідповідності між різними міліцейськими звітами в матеріалах справи</w:t>
      </w:r>
      <w:r w:rsidR="00D83351" w:rsidRPr="00E93710">
        <w:rPr>
          <w:lang w:val="uk-UA"/>
        </w:rPr>
        <w:t xml:space="preserve"> </w:t>
      </w:r>
      <w:r w:rsidR="00684DE8" w:rsidRPr="000A38E5">
        <w:rPr>
          <w:lang w:val="uk-UA"/>
        </w:rPr>
        <w:t>та відсутність доказів того, що міліціонери належним чином сказали йому залишити територію</w:t>
      </w:r>
      <w:r w:rsidR="00D83351" w:rsidRPr="00E93710">
        <w:rPr>
          <w:lang w:val="uk-UA"/>
        </w:rPr>
        <w:t>.</w:t>
      </w:r>
    </w:p>
    <w:p w:rsidR="00D83351" w:rsidRPr="000A38E5" w:rsidRDefault="00D83351" w:rsidP="00852217">
      <w:pPr>
        <w:pStyle w:val="ECHRHeading3"/>
        <w:rPr>
          <w:lang w:val="uk-UA"/>
        </w:rPr>
      </w:pPr>
      <w:r w:rsidRPr="00E93710">
        <w:rPr>
          <w:lang w:val="uk-UA"/>
        </w:rPr>
        <w:t>2.</w:t>
      </w:r>
      <w:r w:rsidR="00334477" w:rsidRPr="000A38E5">
        <w:rPr>
          <w:lang w:val="uk-UA"/>
        </w:rPr>
        <w:t xml:space="preserve"> </w:t>
      </w:r>
      <w:r w:rsidR="00CF6D2F" w:rsidRPr="000A38E5">
        <w:rPr>
          <w:lang w:val="uk-UA"/>
        </w:rPr>
        <w:t>Арешт шостого заявника 6 липня</w:t>
      </w:r>
      <w:r w:rsidRPr="00E93710">
        <w:rPr>
          <w:lang w:val="uk-UA"/>
        </w:rPr>
        <w:t xml:space="preserve"> 2010 </w:t>
      </w:r>
      <w:r w:rsidR="00CF6D2F" w:rsidRPr="000A38E5">
        <w:rPr>
          <w:lang w:val="uk-UA"/>
        </w:rPr>
        <w:t>р</w:t>
      </w:r>
      <w:r w:rsidR="00E4255C" w:rsidRPr="000A38E5">
        <w:rPr>
          <w:lang w:val="uk-UA"/>
        </w:rPr>
        <w:t>оку</w:t>
      </w:r>
      <w:r w:rsidR="00CF6D2F" w:rsidRPr="000A38E5">
        <w:rPr>
          <w:lang w:val="uk-UA"/>
        </w:rPr>
        <w:t xml:space="preserve"> та подальші провадження проти нього</w:t>
      </w:r>
    </w:p>
    <w:bookmarkStart w:id="37" w:name="six_applicant_arrest"/>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64</w:t>
      </w:r>
      <w:r w:rsidRPr="00E93710">
        <w:rPr>
          <w:lang w:val="uk-UA"/>
        </w:rPr>
        <w:fldChar w:fldCharType="end"/>
      </w:r>
      <w:bookmarkEnd w:id="37"/>
      <w:r w:rsidR="00D83351" w:rsidRPr="00E93710">
        <w:rPr>
          <w:lang w:val="uk-UA"/>
        </w:rPr>
        <w:t>.</w:t>
      </w:r>
      <w:r w:rsidR="00334477" w:rsidRPr="000A38E5">
        <w:rPr>
          <w:lang w:val="uk-UA"/>
        </w:rPr>
        <w:t xml:space="preserve"> </w:t>
      </w:r>
      <w:r w:rsidR="000A24C0" w:rsidRPr="000A38E5">
        <w:rPr>
          <w:lang w:val="uk-UA"/>
        </w:rPr>
        <w:t>6 липня 2010 р</w:t>
      </w:r>
      <w:r w:rsidR="00E4255C" w:rsidRPr="000A38E5">
        <w:rPr>
          <w:lang w:val="uk-UA"/>
        </w:rPr>
        <w:t>оку</w:t>
      </w:r>
      <w:r w:rsidR="00D83351" w:rsidRPr="00E93710">
        <w:rPr>
          <w:lang w:val="uk-UA"/>
        </w:rPr>
        <w:t xml:space="preserve"> </w:t>
      </w:r>
      <w:r w:rsidR="000A24C0" w:rsidRPr="000A38E5">
        <w:rPr>
          <w:lang w:val="uk-UA"/>
        </w:rPr>
        <w:t>шостий заявник був заарештований та обвинувачений у злісному невиконанні</w:t>
      </w:r>
      <w:r w:rsidR="00D83351" w:rsidRPr="00E93710">
        <w:rPr>
          <w:lang w:val="uk-UA"/>
        </w:rPr>
        <w:t xml:space="preserve"> </w:t>
      </w:r>
      <w:r w:rsidR="000A24C0" w:rsidRPr="000A38E5">
        <w:rPr>
          <w:lang w:val="uk-UA"/>
        </w:rPr>
        <w:t>наказів міліції залишити місце будівництва</w:t>
      </w:r>
      <w:r w:rsidR="00D83351" w:rsidRPr="00E93710">
        <w:rPr>
          <w:lang w:val="uk-UA"/>
        </w:rPr>
        <w:t>.</w:t>
      </w:r>
    </w:p>
    <w:bookmarkStart w:id="38" w:name="sixth_app_trial"/>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65</w:t>
      </w:r>
      <w:r w:rsidRPr="00E93710">
        <w:rPr>
          <w:lang w:val="uk-UA"/>
        </w:rPr>
        <w:fldChar w:fldCharType="end"/>
      </w:r>
      <w:bookmarkEnd w:id="38"/>
      <w:r w:rsidR="00D83351" w:rsidRPr="00E93710">
        <w:rPr>
          <w:lang w:val="uk-UA"/>
        </w:rPr>
        <w:t>.</w:t>
      </w:r>
      <w:r w:rsidR="00334477" w:rsidRPr="000A38E5">
        <w:rPr>
          <w:lang w:val="uk-UA"/>
        </w:rPr>
        <w:t xml:space="preserve"> </w:t>
      </w:r>
      <w:r w:rsidR="000A24C0" w:rsidRPr="000A38E5">
        <w:rPr>
          <w:lang w:val="uk-UA"/>
        </w:rPr>
        <w:t>7 липня</w:t>
      </w:r>
      <w:r w:rsidR="00D83351" w:rsidRPr="00E93710">
        <w:rPr>
          <w:lang w:val="uk-UA"/>
        </w:rPr>
        <w:t xml:space="preserve"> 2010 </w:t>
      </w:r>
      <w:r w:rsidR="000A24C0" w:rsidRPr="000A38E5">
        <w:rPr>
          <w:lang w:val="uk-UA"/>
        </w:rPr>
        <w:t>р</w:t>
      </w:r>
      <w:r w:rsidR="00E4255C" w:rsidRPr="000A38E5">
        <w:rPr>
          <w:lang w:val="uk-UA"/>
        </w:rPr>
        <w:t>оку</w:t>
      </w:r>
      <w:r w:rsidR="000A24C0" w:rsidRPr="000A38E5">
        <w:rPr>
          <w:lang w:val="uk-UA"/>
        </w:rPr>
        <w:t xml:space="preserve"> </w:t>
      </w:r>
      <w:r w:rsidR="00172DCA" w:rsidRPr="000A38E5">
        <w:rPr>
          <w:lang w:val="uk-UA"/>
        </w:rPr>
        <w:t>справу шостого заявника розглянув районний суд</w:t>
      </w:r>
      <w:r w:rsidR="00D83351" w:rsidRPr="00E93710">
        <w:rPr>
          <w:lang w:val="uk-UA"/>
        </w:rPr>
        <w:t xml:space="preserve">. </w:t>
      </w:r>
      <w:r w:rsidR="00172DCA" w:rsidRPr="000A38E5">
        <w:rPr>
          <w:lang w:val="uk-UA"/>
        </w:rPr>
        <w:t>На слуханні міліціонери підтвердили обвинувачення</w:t>
      </w:r>
      <w:r w:rsidR="00D83351" w:rsidRPr="00E93710">
        <w:rPr>
          <w:lang w:val="uk-UA"/>
        </w:rPr>
        <w:t xml:space="preserve">. </w:t>
      </w:r>
      <w:r w:rsidR="004A18C3" w:rsidRPr="000A38E5">
        <w:rPr>
          <w:lang w:val="uk-UA"/>
        </w:rPr>
        <w:t>Шостий заявник визнав, що сидів на землі</w:t>
      </w:r>
      <w:r w:rsidR="00D83351" w:rsidRPr="00E93710">
        <w:rPr>
          <w:lang w:val="uk-UA"/>
        </w:rPr>
        <w:t xml:space="preserve"> </w:t>
      </w:r>
      <w:r w:rsidR="004A18C3" w:rsidRPr="000A38E5">
        <w:rPr>
          <w:lang w:val="uk-UA"/>
        </w:rPr>
        <w:t>на місці будівництва</w:t>
      </w:r>
      <w:r w:rsidR="00D83351" w:rsidRPr="00E93710">
        <w:rPr>
          <w:lang w:val="uk-UA"/>
        </w:rPr>
        <w:t xml:space="preserve">, </w:t>
      </w:r>
      <w:r w:rsidR="004A18C3" w:rsidRPr="000A38E5">
        <w:rPr>
          <w:lang w:val="uk-UA"/>
        </w:rPr>
        <w:t>протестуючи проти повалення дерев</w:t>
      </w:r>
      <w:r w:rsidR="00D83351" w:rsidRPr="00E93710">
        <w:rPr>
          <w:lang w:val="uk-UA"/>
        </w:rPr>
        <w:t xml:space="preserve">, </w:t>
      </w:r>
      <w:r w:rsidR="004A18C3" w:rsidRPr="000A38E5">
        <w:rPr>
          <w:lang w:val="uk-UA"/>
        </w:rPr>
        <w:t>яке він вважав незаконним</w:t>
      </w:r>
      <w:r w:rsidR="00D83351" w:rsidRPr="00E93710">
        <w:rPr>
          <w:lang w:val="uk-UA"/>
        </w:rPr>
        <w:t xml:space="preserve">. </w:t>
      </w:r>
      <w:r w:rsidR="004604BA" w:rsidRPr="000A38E5">
        <w:rPr>
          <w:lang w:val="uk-UA"/>
        </w:rPr>
        <w:t>Він відмовився виконати накази міліціонерів залишити місце будівництва</w:t>
      </w:r>
      <w:r w:rsidR="00D83351" w:rsidRPr="00E93710">
        <w:rPr>
          <w:lang w:val="uk-UA"/>
        </w:rPr>
        <w:t xml:space="preserve">, </w:t>
      </w:r>
      <w:r w:rsidR="004604BA" w:rsidRPr="000A38E5">
        <w:rPr>
          <w:lang w:val="uk-UA"/>
        </w:rPr>
        <w:t>після чого міліціонери були змушені тягти його за руки, у той час як його ноги волоклися по землі</w:t>
      </w:r>
      <w:r w:rsidR="00D83351" w:rsidRPr="00E93710">
        <w:rPr>
          <w:lang w:val="uk-UA"/>
        </w:rPr>
        <w:t xml:space="preserve">. </w:t>
      </w:r>
      <w:r w:rsidR="004604BA" w:rsidRPr="000A38E5">
        <w:rPr>
          <w:lang w:val="uk-UA"/>
        </w:rPr>
        <w:t>Він також визнав, що сказав міліціонерам, що повернеться</w:t>
      </w:r>
      <w:r w:rsidR="00D83351" w:rsidRPr="00E93710">
        <w:rPr>
          <w:lang w:val="uk-UA"/>
        </w:rPr>
        <w:t xml:space="preserve"> </w:t>
      </w:r>
      <w:r w:rsidR="004604BA" w:rsidRPr="000A38E5">
        <w:rPr>
          <w:lang w:val="uk-UA"/>
        </w:rPr>
        <w:t>на місце будівництва, як тільки зможе</w:t>
      </w:r>
      <w:r w:rsidR="00D83351" w:rsidRPr="00E93710">
        <w:rPr>
          <w:lang w:val="uk-UA"/>
        </w:rPr>
        <w:t xml:space="preserve">. </w:t>
      </w:r>
      <w:r w:rsidR="009F0C46" w:rsidRPr="000A38E5">
        <w:rPr>
          <w:lang w:val="uk-UA"/>
        </w:rPr>
        <w:t>Свідки це підтвердили</w:t>
      </w:r>
      <w:r w:rsidR="00D83351" w:rsidRPr="00E93710">
        <w:rPr>
          <w:lang w:val="uk-UA"/>
        </w:rPr>
        <w:t xml:space="preserve">, </w:t>
      </w:r>
      <w:r w:rsidR="009F0C46" w:rsidRPr="000A38E5">
        <w:rPr>
          <w:lang w:val="uk-UA"/>
        </w:rPr>
        <w:t>один зі свідків також стверджував, що заявник намагався</w:t>
      </w:r>
      <w:r w:rsidR="00D83351" w:rsidRPr="00E93710">
        <w:rPr>
          <w:lang w:val="uk-UA"/>
        </w:rPr>
        <w:t xml:space="preserve"> </w:t>
      </w:r>
      <w:r w:rsidR="009F0C46" w:rsidRPr="000A38E5">
        <w:rPr>
          <w:lang w:val="uk-UA"/>
        </w:rPr>
        <w:t>вирватися з рук міліції</w:t>
      </w:r>
      <w:r w:rsidR="00D83351" w:rsidRPr="00E93710">
        <w:rPr>
          <w:lang w:val="uk-UA"/>
        </w:rPr>
        <w:t>.</w:t>
      </w:r>
    </w:p>
    <w:bookmarkStart w:id="39" w:name="sixth_app_trial_court_judgment"/>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66</w:t>
      </w:r>
      <w:r w:rsidRPr="00E93710">
        <w:rPr>
          <w:lang w:val="uk-UA"/>
        </w:rPr>
        <w:fldChar w:fldCharType="end"/>
      </w:r>
      <w:bookmarkEnd w:id="39"/>
      <w:r w:rsidR="00D83351" w:rsidRPr="00E93710">
        <w:rPr>
          <w:lang w:val="uk-UA"/>
        </w:rPr>
        <w:t>.</w:t>
      </w:r>
      <w:r w:rsidR="00334477" w:rsidRPr="000A38E5">
        <w:rPr>
          <w:lang w:val="uk-UA"/>
        </w:rPr>
        <w:t xml:space="preserve"> </w:t>
      </w:r>
      <w:r w:rsidR="009F0C46" w:rsidRPr="000A38E5">
        <w:rPr>
          <w:lang w:val="uk-UA"/>
        </w:rPr>
        <w:t>Того ж дня районний суд засудив шостого заявника</w:t>
      </w:r>
      <w:r w:rsidR="00D83351" w:rsidRPr="00E93710">
        <w:rPr>
          <w:lang w:val="uk-UA"/>
        </w:rPr>
        <w:t xml:space="preserve"> </w:t>
      </w:r>
      <w:r w:rsidR="009F0C46" w:rsidRPr="000A38E5">
        <w:rPr>
          <w:lang w:val="uk-UA"/>
        </w:rPr>
        <w:t>та приговорив його до адміністративного затримання строком на десять діб</w:t>
      </w:r>
      <w:r w:rsidR="00D83351" w:rsidRPr="00E93710">
        <w:rPr>
          <w:lang w:val="uk-UA"/>
        </w:rPr>
        <w:t xml:space="preserve">. </w:t>
      </w:r>
      <w:r w:rsidR="009F0C46" w:rsidRPr="000A38E5">
        <w:rPr>
          <w:lang w:val="uk-UA"/>
        </w:rPr>
        <w:t>Суд виклав докази, які описували поводження заявника</w:t>
      </w:r>
      <w:r w:rsidR="00D83351" w:rsidRPr="00E93710">
        <w:rPr>
          <w:lang w:val="uk-UA"/>
        </w:rPr>
        <w:t xml:space="preserve">. </w:t>
      </w:r>
      <w:r w:rsidR="009F0C46" w:rsidRPr="000A38E5">
        <w:rPr>
          <w:lang w:val="uk-UA"/>
        </w:rPr>
        <w:t>При обґрунтуванні санкції суд стверджував,</w:t>
      </w:r>
      <w:r w:rsidR="00D83351" w:rsidRPr="00E93710">
        <w:rPr>
          <w:lang w:val="uk-UA"/>
        </w:rPr>
        <w:t xml:space="preserve"> </w:t>
      </w:r>
      <w:r w:rsidR="009F0C46" w:rsidRPr="000A38E5">
        <w:rPr>
          <w:lang w:val="uk-UA"/>
        </w:rPr>
        <w:t>що прийняв до уваги характер порушення</w:t>
      </w:r>
      <w:r w:rsidR="00D83351" w:rsidRPr="00E93710">
        <w:rPr>
          <w:lang w:val="uk-UA"/>
        </w:rPr>
        <w:t xml:space="preserve"> </w:t>
      </w:r>
      <w:r w:rsidR="009F0C46" w:rsidRPr="000A38E5">
        <w:rPr>
          <w:lang w:val="uk-UA"/>
        </w:rPr>
        <w:t>та його конкретні обставини</w:t>
      </w:r>
      <w:r w:rsidR="00D83351" w:rsidRPr="00E93710">
        <w:rPr>
          <w:lang w:val="uk-UA"/>
        </w:rPr>
        <w:t xml:space="preserve">, </w:t>
      </w:r>
      <w:r w:rsidR="009F0C46" w:rsidRPr="000A38E5">
        <w:rPr>
          <w:lang w:val="uk-UA"/>
        </w:rPr>
        <w:t>особисті характеристики заявника</w:t>
      </w:r>
      <w:r w:rsidR="00D83351" w:rsidRPr="00E93710">
        <w:rPr>
          <w:lang w:val="uk-UA"/>
        </w:rPr>
        <w:t xml:space="preserve">, </w:t>
      </w:r>
      <w:r w:rsidR="009F0C46" w:rsidRPr="000A38E5">
        <w:rPr>
          <w:lang w:val="uk-UA"/>
        </w:rPr>
        <w:t>той факт, що він був безробітним</w:t>
      </w:r>
      <w:r w:rsidR="00D83351" w:rsidRPr="00E93710">
        <w:rPr>
          <w:lang w:val="uk-UA"/>
        </w:rPr>
        <w:t xml:space="preserve">, </w:t>
      </w:r>
      <w:r w:rsidR="00EC77B2" w:rsidRPr="000A38E5">
        <w:rPr>
          <w:lang w:val="uk-UA"/>
        </w:rPr>
        <w:t>відсутність обтяжуючих або пом’якшуючих обставин</w:t>
      </w:r>
      <w:r w:rsidR="00D83351" w:rsidRPr="00E93710">
        <w:rPr>
          <w:lang w:val="uk-UA"/>
        </w:rPr>
        <w:t xml:space="preserve">, </w:t>
      </w:r>
      <w:r w:rsidR="00EC77B2" w:rsidRPr="000A38E5">
        <w:rPr>
          <w:lang w:val="uk-UA"/>
        </w:rPr>
        <w:t>а також необхідність перевиховання порушника та запобігання новим порушенням</w:t>
      </w:r>
      <w:r w:rsidR="00D83351" w:rsidRPr="00E93710">
        <w:rPr>
          <w:lang w:val="uk-UA"/>
        </w:rPr>
        <w:t xml:space="preserve">. </w:t>
      </w:r>
      <w:r w:rsidR="003B7B6B" w:rsidRPr="000A38E5">
        <w:rPr>
          <w:lang w:val="uk-UA"/>
        </w:rPr>
        <w:t>Суд вважав, що використання санкцій менш серйозних, ніж затримання,</w:t>
      </w:r>
      <w:r w:rsidR="00D83351" w:rsidRPr="00E93710">
        <w:rPr>
          <w:lang w:val="uk-UA"/>
        </w:rPr>
        <w:t xml:space="preserve"> </w:t>
      </w:r>
      <w:r w:rsidR="003B7B6B" w:rsidRPr="000A38E5">
        <w:rPr>
          <w:lang w:val="uk-UA"/>
        </w:rPr>
        <w:t>буде недостатнім, і що адміністративне затримання</w:t>
      </w:r>
      <w:r w:rsidR="00D83351" w:rsidRPr="00E93710">
        <w:rPr>
          <w:lang w:val="uk-UA"/>
        </w:rPr>
        <w:t xml:space="preserve"> </w:t>
      </w:r>
      <w:r w:rsidR="003B7B6B" w:rsidRPr="000A38E5">
        <w:rPr>
          <w:lang w:val="uk-UA"/>
        </w:rPr>
        <w:t>було необхідним</w:t>
      </w:r>
      <w:r w:rsidR="00D83351" w:rsidRPr="00E93710">
        <w:rPr>
          <w:lang w:val="uk-UA"/>
        </w:rPr>
        <w:t xml:space="preserve">, </w:t>
      </w:r>
      <w:r w:rsidR="003B7B6B" w:rsidRPr="000A38E5">
        <w:rPr>
          <w:lang w:val="uk-UA"/>
        </w:rPr>
        <w:t>але не максимальної тривалості, передбаченої законом</w:t>
      </w:r>
      <w:r w:rsidR="00D83351" w:rsidRPr="00E93710">
        <w:rPr>
          <w:lang w:val="uk-UA"/>
        </w:rPr>
        <w:t xml:space="preserve">. </w:t>
      </w:r>
      <w:r w:rsidR="003B7B6B" w:rsidRPr="000A38E5">
        <w:rPr>
          <w:lang w:val="uk-UA"/>
        </w:rPr>
        <w:t>Заявник почав відбувати покарання негайно</w:t>
      </w:r>
      <w:r w:rsidR="00D83351" w:rsidRPr="00E93710">
        <w:rPr>
          <w:lang w:val="uk-UA"/>
        </w:rPr>
        <w:t>.</w:t>
      </w:r>
    </w:p>
    <w:bookmarkStart w:id="40" w:name="sixth_app_appeal"/>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67</w:t>
      </w:r>
      <w:r w:rsidRPr="00E93710">
        <w:rPr>
          <w:lang w:val="uk-UA"/>
        </w:rPr>
        <w:fldChar w:fldCharType="end"/>
      </w:r>
      <w:bookmarkEnd w:id="40"/>
      <w:r w:rsidR="00D83351" w:rsidRPr="00E93710">
        <w:rPr>
          <w:lang w:val="uk-UA"/>
        </w:rPr>
        <w:t>.</w:t>
      </w:r>
      <w:r w:rsidR="00334477" w:rsidRPr="000A38E5">
        <w:rPr>
          <w:lang w:val="uk-UA"/>
        </w:rPr>
        <w:t xml:space="preserve"> </w:t>
      </w:r>
      <w:r w:rsidR="003B7B6B" w:rsidRPr="000A38E5">
        <w:rPr>
          <w:lang w:val="uk-UA"/>
        </w:rPr>
        <w:t>Адвокат заявника подав апеляцію</w:t>
      </w:r>
      <w:r w:rsidR="00D83351" w:rsidRPr="00E93710">
        <w:rPr>
          <w:lang w:val="uk-UA"/>
        </w:rPr>
        <w:t xml:space="preserve">, </w:t>
      </w:r>
      <w:r w:rsidR="0003438B" w:rsidRPr="000A38E5">
        <w:rPr>
          <w:lang w:val="uk-UA"/>
        </w:rPr>
        <w:t>стверджуючи, що районний суд не виклав свій аналіз</w:t>
      </w:r>
      <w:r w:rsidR="00D83351" w:rsidRPr="00E93710">
        <w:rPr>
          <w:lang w:val="uk-UA"/>
        </w:rPr>
        <w:t xml:space="preserve"> </w:t>
      </w:r>
      <w:r w:rsidR="0003438B" w:rsidRPr="000A38E5">
        <w:rPr>
          <w:lang w:val="uk-UA"/>
        </w:rPr>
        <w:t>доказів, які призвели до його висновку про вину заявника</w:t>
      </w:r>
      <w:r w:rsidR="00D83351" w:rsidRPr="00E93710">
        <w:rPr>
          <w:lang w:val="uk-UA"/>
        </w:rPr>
        <w:t xml:space="preserve">, </w:t>
      </w:r>
      <w:r w:rsidR="0003438B" w:rsidRPr="000A38E5">
        <w:rPr>
          <w:lang w:val="uk-UA"/>
        </w:rPr>
        <w:t>і тому не обґрунтував своє рішення належним чином</w:t>
      </w:r>
      <w:r w:rsidR="00D83351" w:rsidRPr="00E93710">
        <w:rPr>
          <w:lang w:val="uk-UA"/>
        </w:rPr>
        <w:t xml:space="preserve">. </w:t>
      </w:r>
      <w:r w:rsidR="0003438B" w:rsidRPr="000A38E5">
        <w:rPr>
          <w:lang w:val="uk-UA"/>
        </w:rPr>
        <w:t>Він також стверджував, що відповідно до Кодексу адміністративних правопорушень,</w:t>
      </w:r>
      <w:r w:rsidR="00D83351" w:rsidRPr="00E93710">
        <w:rPr>
          <w:lang w:val="uk-UA"/>
        </w:rPr>
        <w:t xml:space="preserve"> </w:t>
      </w:r>
      <w:r w:rsidR="000653F2" w:rsidRPr="000A38E5">
        <w:rPr>
          <w:lang w:val="uk-UA"/>
        </w:rPr>
        <w:t xml:space="preserve">адміністративне затримання могло застосовуватися лише у </w:t>
      </w:r>
      <w:r w:rsidR="00E53851" w:rsidRPr="000A38E5">
        <w:rPr>
          <w:lang w:val="uk-UA"/>
        </w:rPr>
        <w:t>виняткових</w:t>
      </w:r>
      <w:r w:rsidR="000653F2" w:rsidRPr="000A38E5">
        <w:rPr>
          <w:lang w:val="uk-UA"/>
        </w:rPr>
        <w:t xml:space="preserve"> випадках</w:t>
      </w:r>
      <w:r w:rsidR="00D83351" w:rsidRPr="00E93710">
        <w:rPr>
          <w:lang w:val="uk-UA"/>
        </w:rPr>
        <w:t xml:space="preserve"> (</w:t>
      </w:r>
      <w:r w:rsidR="000653F2" w:rsidRPr="000A38E5">
        <w:rPr>
          <w:lang w:val="uk-UA"/>
        </w:rPr>
        <w:t>див. пункт</w:t>
      </w:r>
      <w:r w:rsidR="00D83351" w:rsidRPr="00E93710">
        <w:rPr>
          <w:lang w:val="uk-UA"/>
        </w:rPr>
        <w:t xml:space="preserve"> </w:t>
      </w:r>
      <w:fldSimple w:instr=" REF CAO_detention \h  \* MERGEFORMAT ">
        <w:r w:rsidR="0075299E" w:rsidRPr="00E93710">
          <w:rPr>
            <w:noProof/>
            <w:lang w:val="uk-UA"/>
          </w:rPr>
          <w:t>96</w:t>
        </w:r>
      </w:fldSimple>
      <w:r w:rsidR="00D83351" w:rsidRPr="00E93710">
        <w:rPr>
          <w:lang w:val="uk-UA"/>
        </w:rPr>
        <w:t xml:space="preserve"> </w:t>
      </w:r>
      <w:r w:rsidR="000653F2" w:rsidRPr="000A38E5">
        <w:rPr>
          <w:lang w:val="uk-UA"/>
        </w:rPr>
        <w:t>нижче</w:t>
      </w:r>
      <w:r w:rsidR="00D83351" w:rsidRPr="00E93710">
        <w:rPr>
          <w:lang w:val="uk-UA"/>
        </w:rPr>
        <w:t xml:space="preserve">). </w:t>
      </w:r>
      <w:r w:rsidR="000653F2" w:rsidRPr="000A38E5">
        <w:rPr>
          <w:lang w:val="uk-UA"/>
        </w:rPr>
        <w:t xml:space="preserve">Районний суд не пояснив </w:t>
      </w:r>
      <w:r w:rsidR="00E53851" w:rsidRPr="000A38E5">
        <w:rPr>
          <w:lang w:val="uk-UA"/>
        </w:rPr>
        <w:t>винятковий</w:t>
      </w:r>
      <w:r w:rsidR="000653F2" w:rsidRPr="000A38E5">
        <w:rPr>
          <w:lang w:val="uk-UA"/>
        </w:rPr>
        <w:t xml:space="preserve"> характер справи заявника,</w:t>
      </w:r>
      <w:r w:rsidR="00D83351" w:rsidRPr="00E93710">
        <w:rPr>
          <w:lang w:val="uk-UA"/>
        </w:rPr>
        <w:t xml:space="preserve"> </w:t>
      </w:r>
      <w:r w:rsidR="000653F2" w:rsidRPr="000A38E5">
        <w:rPr>
          <w:lang w:val="uk-UA"/>
        </w:rPr>
        <w:t>який міг би виправдати серйозність покарання</w:t>
      </w:r>
      <w:r w:rsidR="00D83351" w:rsidRPr="00E93710">
        <w:rPr>
          <w:lang w:val="uk-UA"/>
        </w:rPr>
        <w:t xml:space="preserve">. </w:t>
      </w:r>
      <w:r w:rsidR="000653F2" w:rsidRPr="000A38E5">
        <w:rPr>
          <w:lang w:val="uk-UA"/>
        </w:rPr>
        <w:t>Адвокат вимагав скасувати рішення районного суду</w:t>
      </w:r>
      <w:r w:rsidR="00D83351" w:rsidRPr="00E93710">
        <w:rPr>
          <w:lang w:val="uk-UA"/>
        </w:rPr>
        <w:t xml:space="preserve"> </w:t>
      </w:r>
      <w:r w:rsidR="000653F2" w:rsidRPr="000A38E5">
        <w:rPr>
          <w:lang w:val="uk-UA"/>
        </w:rPr>
        <w:t>та припинити провадження</w:t>
      </w:r>
      <w:r w:rsidR="00D83351" w:rsidRPr="00E93710">
        <w:rPr>
          <w:lang w:val="uk-UA"/>
        </w:rPr>
        <w:t>.</w:t>
      </w:r>
    </w:p>
    <w:bookmarkStart w:id="41" w:name="sixth_app_CoA"/>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68</w:t>
      </w:r>
      <w:r w:rsidRPr="00E93710">
        <w:rPr>
          <w:lang w:val="uk-UA"/>
        </w:rPr>
        <w:fldChar w:fldCharType="end"/>
      </w:r>
      <w:bookmarkEnd w:id="41"/>
      <w:r w:rsidR="00D83351" w:rsidRPr="00E93710">
        <w:rPr>
          <w:lang w:val="uk-UA"/>
        </w:rPr>
        <w:t>.</w:t>
      </w:r>
      <w:r w:rsidR="00334477" w:rsidRPr="000A38E5">
        <w:rPr>
          <w:lang w:val="uk-UA"/>
        </w:rPr>
        <w:t xml:space="preserve"> </w:t>
      </w:r>
      <w:r w:rsidR="00C9191A" w:rsidRPr="000A38E5">
        <w:rPr>
          <w:lang w:val="uk-UA"/>
        </w:rPr>
        <w:t>15 вересня</w:t>
      </w:r>
      <w:r w:rsidR="00D83351" w:rsidRPr="00E93710">
        <w:rPr>
          <w:lang w:val="uk-UA"/>
        </w:rPr>
        <w:t xml:space="preserve"> 2010</w:t>
      </w:r>
      <w:r w:rsidR="00C9191A" w:rsidRPr="000A38E5">
        <w:rPr>
          <w:lang w:val="uk-UA"/>
        </w:rPr>
        <w:t xml:space="preserve"> р.</w:t>
      </w:r>
      <w:r w:rsidR="00D83351" w:rsidRPr="00E93710">
        <w:rPr>
          <w:lang w:val="uk-UA"/>
        </w:rPr>
        <w:t xml:space="preserve">, </w:t>
      </w:r>
      <w:r w:rsidR="005B1E8F" w:rsidRPr="000A38E5">
        <w:rPr>
          <w:lang w:val="uk-UA"/>
        </w:rPr>
        <w:t>після слухання, на якому суд вислухав шостого заявника</w:t>
      </w:r>
      <w:r w:rsidR="00D83351" w:rsidRPr="00E93710">
        <w:rPr>
          <w:lang w:val="uk-UA"/>
        </w:rPr>
        <w:t xml:space="preserve"> </w:t>
      </w:r>
      <w:r w:rsidR="005B1E8F" w:rsidRPr="000A38E5">
        <w:rPr>
          <w:lang w:val="uk-UA"/>
        </w:rPr>
        <w:t>та його адвоката та розглянув</w:t>
      </w:r>
      <w:r w:rsidR="00D83351" w:rsidRPr="00E93710">
        <w:rPr>
          <w:lang w:val="uk-UA"/>
        </w:rPr>
        <w:t xml:space="preserve">, </w:t>
      </w:r>
      <w:r w:rsidR="005B1E8F" w:rsidRPr="000A38E5">
        <w:rPr>
          <w:lang w:val="uk-UA"/>
        </w:rPr>
        <w:t>за запитом захисту</w:t>
      </w:r>
      <w:r w:rsidR="00D83351" w:rsidRPr="00E93710">
        <w:rPr>
          <w:lang w:val="uk-UA"/>
        </w:rPr>
        <w:t xml:space="preserve">, </w:t>
      </w:r>
      <w:r w:rsidR="005B1E8F" w:rsidRPr="000A38E5">
        <w:rPr>
          <w:lang w:val="uk-UA"/>
        </w:rPr>
        <w:t>додаткового свідка</w:t>
      </w:r>
      <w:r w:rsidR="00D83351" w:rsidRPr="00E93710">
        <w:rPr>
          <w:lang w:val="uk-UA"/>
        </w:rPr>
        <w:t xml:space="preserve">, </w:t>
      </w:r>
      <w:r w:rsidR="005B1E8F" w:rsidRPr="000A38E5">
        <w:rPr>
          <w:lang w:val="uk-UA"/>
        </w:rPr>
        <w:t>апеляційний суд залишив рішення у силі</w:t>
      </w:r>
      <w:r w:rsidR="00D83351" w:rsidRPr="00E93710">
        <w:rPr>
          <w:lang w:val="uk-UA"/>
        </w:rPr>
        <w:t xml:space="preserve">. </w:t>
      </w:r>
      <w:r w:rsidR="005B1E8F" w:rsidRPr="000A38E5">
        <w:rPr>
          <w:lang w:val="uk-UA"/>
        </w:rPr>
        <w:t>Він перерахував докази у справі</w:t>
      </w:r>
      <w:r w:rsidR="00D83351" w:rsidRPr="00E93710">
        <w:rPr>
          <w:lang w:val="uk-UA"/>
        </w:rPr>
        <w:t xml:space="preserve"> </w:t>
      </w:r>
      <w:r w:rsidR="005B1E8F" w:rsidRPr="000A38E5">
        <w:rPr>
          <w:lang w:val="uk-UA"/>
        </w:rPr>
        <w:t>та дійшов висновку, що докази, особливо власні пояснення заявника у суді</w:t>
      </w:r>
      <w:r w:rsidR="00D83351" w:rsidRPr="00E93710">
        <w:rPr>
          <w:lang w:val="uk-UA"/>
        </w:rPr>
        <w:t xml:space="preserve">, </w:t>
      </w:r>
      <w:r w:rsidR="005B1E8F" w:rsidRPr="000A38E5">
        <w:rPr>
          <w:lang w:val="uk-UA"/>
        </w:rPr>
        <w:t>повністю підтримували висновки про вину заявника</w:t>
      </w:r>
      <w:r w:rsidR="00D83351" w:rsidRPr="00E93710">
        <w:rPr>
          <w:lang w:val="uk-UA"/>
        </w:rPr>
        <w:t xml:space="preserve">. </w:t>
      </w:r>
      <w:r w:rsidR="005B1E8F" w:rsidRPr="000A38E5">
        <w:rPr>
          <w:lang w:val="uk-UA"/>
        </w:rPr>
        <w:t>Всупереч аргументам заявника, ніщо не вказувало на незаконність</w:t>
      </w:r>
      <w:r w:rsidR="00D83351" w:rsidRPr="00E93710">
        <w:rPr>
          <w:lang w:val="uk-UA"/>
        </w:rPr>
        <w:t xml:space="preserve"> </w:t>
      </w:r>
      <w:r w:rsidR="005B1E8F" w:rsidRPr="000A38E5">
        <w:rPr>
          <w:lang w:val="uk-UA"/>
        </w:rPr>
        <w:t>у наказі міліції залишити територію</w:t>
      </w:r>
      <w:r w:rsidR="00D83351" w:rsidRPr="00E93710">
        <w:rPr>
          <w:lang w:val="uk-UA"/>
        </w:rPr>
        <w:t xml:space="preserve">, </w:t>
      </w:r>
      <w:r w:rsidR="005B1E8F" w:rsidRPr="000A38E5">
        <w:rPr>
          <w:lang w:val="uk-UA"/>
        </w:rPr>
        <w:t>зокрема, оскільки заявник не надав ніяких доказів</w:t>
      </w:r>
      <w:r w:rsidR="00D83351" w:rsidRPr="00E93710">
        <w:rPr>
          <w:lang w:val="uk-UA"/>
        </w:rPr>
        <w:t xml:space="preserve"> </w:t>
      </w:r>
      <w:r w:rsidR="005B1E8F" w:rsidRPr="000A38E5">
        <w:rPr>
          <w:lang w:val="uk-UA"/>
        </w:rPr>
        <w:t>подання будь-якої скарги щодо дій міліції</w:t>
      </w:r>
      <w:r w:rsidR="00D83351" w:rsidRPr="00E93710">
        <w:rPr>
          <w:lang w:val="uk-UA"/>
        </w:rPr>
        <w:t xml:space="preserve"> </w:t>
      </w:r>
      <w:r w:rsidR="005B1E8F" w:rsidRPr="000A38E5">
        <w:rPr>
          <w:lang w:val="uk-UA"/>
        </w:rPr>
        <w:t>або рішення виконавчого комітету від</w:t>
      </w:r>
      <w:r w:rsidR="00D83351" w:rsidRPr="00E93710">
        <w:rPr>
          <w:lang w:val="uk-UA"/>
        </w:rPr>
        <w:t xml:space="preserve"> 19 </w:t>
      </w:r>
      <w:r w:rsidR="005B1E8F" w:rsidRPr="000A38E5">
        <w:rPr>
          <w:lang w:val="uk-UA"/>
        </w:rPr>
        <w:t>травня</w:t>
      </w:r>
      <w:r w:rsidR="00D83351" w:rsidRPr="00E93710">
        <w:rPr>
          <w:lang w:val="uk-UA"/>
        </w:rPr>
        <w:t xml:space="preserve"> 2010</w:t>
      </w:r>
      <w:r w:rsidR="00DC125F" w:rsidRPr="00E93710">
        <w:rPr>
          <w:lang w:val="uk-UA"/>
        </w:rPr>
        <w:t xml:space="preserve"> р.,</w:t>
      </w:r>
      <w:r w:rsidR="00D83351" w:rsidRPr="00E93710">
        <w:rPr>
          <w:lang w:val="uk-UA"/>
        </w:rPr>
        <w:t xml:space="preserve"> </w:t>
      </w:r>
      <w:r w:rsidR="00DC125F" w:rsidRPr="000A38E5">
        <w:rPr>
          <w:lang w:val="uk-UA"/>
        </w:rPr>
        <w:t>яке дозволяло повалення дерев</w:t>
      </w:r>
      <w:r w:rsidR="00D83351" w:rsidRPr="00E93710">
        <w:rPr>
          <w:lang w:val="uk-UA"/>
        </w:rPr>
        <w:t xml:space="preserve">. </w:t>
      </w:r>
      <w:r w:rsidR="00DC125F" w:rsidRPr="000A38E5">
        <w:rPr>
          <w:lang w:val="uk-UA"/>
        </w:rPr>
        <w:t>Стосовно вироку, апеляційний суд був не в тій позиції, щоб його зменшити</w:t>
      </w:r>
      <w:r w:rsidR="00D83351" w:rsidRPr="00E93710">
        <w:rPr>
          <w:lang w:val="uk-UA"/>
        </w:rPr>
        <w:t xml:space="preserve">, </w:t>
      </w:r>
      <w:r w:rsidR="00DC125F" w:rsidRPr="000A38E5">
        <w:rPr>
          <w:lang w:val="uk-UA"/>
        </w:rPr>
        <w:t>оскільки ані заявник, ані його адвокат не просили суд змінити</w:t>
      </w:r>
      <w:r w:rsidR="00D83351" w:rsidRPr="00E93710">
        <w:rPr>
          <w:lang w:val="uk-UA"/>
        </w:rPr>
        <w:t xml:space="preserve"> </w:t>
      </w:r>
      <w:r w:rsidR="00DC125F" w:rsidRPr="000A38E5">
        <w:rPr>
          <w:lang w:val="uk-UA"/>
        </w:rPr>
        <w:t>рішення районного суду у цьому відношенні</w:t>
      </w:r>
      <w:r w:rsidR="00D83351" w:rsidRPr="00E93710">
        <w:rPr>
          <w:lang w:val="uk-UA"/>
        </w:rPr>
        <w:t xml:space="preserve">, </w:t>
      </w:r>
      <w:r w:rsidR="00DC125F" w:rsidRPr="000A38E5">
        <w:rPr>
          <w:lang w:val="uk-UA"/>
        </w:rPr>
        <w:t>у світлі будь-яких конкретних обставин справи</w:t>
      </w:r>
      <w:r w:rsidR="00D83351" w:rsidRPr="00E93710">
        <w:rPr>
          <w:lang w:val="uk-UA"/>
        </w:rPr>
        <w:t xml:space="preserve"> </w:t>
      </w:r>
      <w:r w:rsidR="00DC125F" w:rsidRPr="000A38E5">
        <w:rPr>
          <w:lang w:val="uk-UA"/>
        </w:rPr>
        <w:t>або особистих характеристик заявника</w:t>
      </w:r>
      <w:r w:rsidR="00D83351" w:rsidRPr="00E93710">
        <w:rPr>
          <w:lang w:val="uk-UA"/>
        </w:rPr>
        <w:t xml:space="preserve">, </w:t>
      </w:r>
      <w:r w:rsidR="00334311" w:rsidRPr="000A38E5">
        <w:rPr>
          <w:lang w:val="uk-UA"/>
        </w:rPr>
        <w:t>а наполягали лише на невинуватості заявника</w:t>
      </w:r>
      <w:r w:rsidR="00D83351" w:rsidRPr="00E93710">
        <w:rPr>
          <w:lang w:val="uk-UA"/>
        </w:rPr>
        <w:t>.</w:t>
      </w:r>
    </w:p>
    <w:p w:rsidR="00D83351" w:rsidRPr="000A38E5" w:rsidRDefault="00D83351" w:rsidP="00852217">
      <w:pPr>
        <w:pStyle w:val="ECHRHeading2"/>
        <w:rPr>
          <w:lang w:val="uk-UA"/>
        </w:rPr>
      </w:pPr>
      <w:r w:rsidRPr="00E93710">
        <w:rPr>
          <w:lang w:val="uk-UA"/>
        </w:rPr>
        <w:t>G.</w:t>
      </w:r>
      <w:r w:rsidR="00334477" w:rsidRPr="000A38E5">
        <w:rPr>
          <w:lang w:val="uk-UA"/>
        </w:rPr>
        <w:t xml:space="preserve"> </w:t>
      </w:r>
      <w:r w:rsidR="00334311" w:rsidRPr="000A38E5">
        <w:rPr>
          <w:lang w:val="uk-UA"/>
        </w:rPr>
        <w:t xml:space="preserve">Події після протестів у парку </w:t>
      </w:r>
      <w:r w:rsidR="0085000B" w:rsidRPr="000A38E5">
        <w:rPr>
          <w:lang w:val="uk-UA"/>
        </w:rPr>
        <w:t>ім.</w:t>
      </w:r>
      <w:r w:rsidR="00334311" w:rsidRPr="000A38E5">
        <w:rPr>
          <w:lang w:val="uk-UA"/>
        </w:rPr>
        <w:t xml:space="preserve"> Горького</w:t>
      </w:r>
    </w:p>
    <w:bookmarkStart w:id="42" w:name="regional_council_picket"/>
    <w:p w:rsidR="00D83351" w:rsidRPr="000A38E5" w:rsidRDefault="004E7608" w:rsidP="00852217">
      <w:pPr>
        <w:pStyle w:val="ECHRPara"/>
        <w:tabs>
          <w:tab w:val="left" w:pos="426"/>
        </w:tabs>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69</w:t>
      </w:r>
      <w:r w:rsidRPr="00E93710">
        <w:rPr>
          <w:lang w:val="uk-UA"/>
        </w:rPr>
        <w:fldChar w:fldCharType="end"/>
      </w:r>
      <w:bookmarkEnd w:id="42"/>
      <w:r w:rsidR="00D83351" w:rsidRPr="00E93710">
        <w:rPr>
          <w:lang w:val="uk-UA"/>
        </w:rPr>
        <w:t>.</w:t>
      </w:r>
      <w:r w:rsidR="00334477" w:rsidRPr="000A38E5">
        <w:rPr>
          <w:lang w:val="uk-UA"/>
        </w:rPr>
        <w:t xml:space="preserve"> </w:t>
      </w:r>
      <w:r w:rsidR="00334311" w:rsidRPr="000A38E5">
        <w:rPr>
          <w:lang w:val="uk-UA"/>
        </w:rPr>
        <w:t>2 червня</w:t>
      </w:r>
      <w:r w:rsidR="00D83351" w:rsidRPr="00E93710">
        <w:rPr>
          <w:lang w:val="uk-UA"/>
        </w:rPr>
        <w:t xml:space="preserve"> 2010 </w:t>
      </w:r>
      <w:r w:rsidR="00334311" w:rsidRPr="000A38E5">
        <w:rPr>
          <w:lang w:val="uk-UA"/>
        </w:rPr>
        <w:t xml:space="preserve">р. </w:t>
      </w:r>
      <w:r w:rsidR="00D824F1" w:rsidRPr="000A38E5">
        <w:rPr>
          <w:lang w:val="uk-UA"/>
        </w:rPr>
        <w:t>дев’ятий заявник проінформував голову міської міліції,</w:t>
      </w:r>
      <w:r w:rsidR="00D83351" w:rsidRPr="00E93710">
        <w:rPr>
          <w:lang w:val="uk-UA"/>
        </w:rPr>
        <w:t xml:space="preserve"> </w:t>
      </w:r>
      <w:r w:rsidR="00D824F1" w:rsidRPr="000A38E5">
        <w:rPr>
          <w:lang w:val="uk-UA"/>
        </w:rPr>
        <w:t xml:space="preserve">що у знак протесту проти знищення дерев у парку </w:t>
      </w:r>
      <w:r w:rsidR="0085000B" w:rsidRPr="000A38E5">
        <w:rPr>
          <w:lang w:val="uk-UA"/>
        </w:rPr>
        <w:t>ім.</w:t>
      </w:r>
      <w:r w:rsidR="00D824F1" w:rsidRPr="000A38E5">
        <w:rPr>
          <w:lang w:val="uk-UA"/>
        </w:rPr>
        <w:t xml:space="preserve"> Горького</w:t>
      </w:r>
      <w:r w:rsidR="00D83351" w:rsidRPr="000A38E5">
        <w:rPr>
          <w:lang w:val="uk-UA"/>
        </w:rPr>
        <w:t xml:space="preserve"> </w:t>
      </w:r>
      <w:r w:rsidR="00D824F1" w:rsidRPr="000A38E5">
        <w:rPr>
          <w:lang w:val="uk-UA"/>
        </w:rPr>
        <w:t xml:space="preserve">Харківська обласна рада буде пікетована </w:t>
      </w:r>
      <w:r w:rsidR="002173C9" w:rsidRPr="000A38E5">
        <w:rPr>
          <w:lang w:val="uk-UA"/>
        </w:rPr>
        <w:t>щ</w:t>
      </w:r>
      <w:r w:rsidR="00D824F1" w:rsidRPr="000A38E5">
        <w:rPr>
          <w:lang w:val="uk-UA"/>
        </w:rPr>
        <w:t>оденно з</w:t>
      </w:r>
      <w:r w:rsidR="00D83351" w:rsidRPr="000A38E5">
        <w:rPr>
          <w:lang w:val="uk-UA"/>
        </w:rPr>
        <w:t xml:space="preserve"> </w:t>
      </w:r>
      <w:r w:rsidR="00D824F1" w:rsidRPr="000A38E5">
        <w:rPr>
          <w:lang w:val="uk-UA"/>
        </w:rPr>
        <w:t>8:00 до 16:00</w:t>
      </w:r>
      <w:r w:rsidR="00D83351" w:rsidRPr="000A38E5">
        <w:rPr>
          <w:lang w:val="uk-UA"/>
        </w:rPr>
        <w:t xml:space="preserve">, </w:t>
      </w:r>
      <w:r w:rsidR="002173C9" w:rsidRPr="000A38E5">
        <w:rPr>
          <w:lang w:val="uk-UA"/>
        </w:rPr>
        <w:t>до подальшого повідомлення, об’єднанням «Зелений Фронт»</w:t>
      </w:r>
      <w:r w:rsidR="00D83351" w:rsidRPr="000A38E5">
        <w:rPr>
          <w:lang w:val="uk-UA"/>
        </w:rPr>
        <w:t xml:space="preserve">, </w:t>
      </w:r>
      <w:r w:rsidR="002173C9" w:rsidRPr="000A38E5">
        <w:rPr>
          <w:lang w:val="uk-UA"/>
        </w:rPr>
        <w:t>яке представляв дев’ятий заявник</w:t>
      </w:r>
      <w:r w:rsidR="00D83351" w:rsidRPr="000A38E5">
        <w:rPr>
          <w:lang w:val="uk-UA"/>
        </w:rPr>
        <w:t>.</w:t>
      </w:r>
    </w:p>
    <w:bookmarkStart w:id="43" w:name="environmental_inspectorate_letter_14_Jun"/>
    <w:p w:rsidR="00D83351" w:rsidRPr="00E93710" w:rsidRDefault="004E7608" w:rsidP="00852217">
      <w:pPr>
        <w:pStyle w:val="ECHRPara"/>
        <w:tabs>
          <w:tab w:val="left" w:pos="426"/>
        </w:tabs>
        <w:rPr>
          <w:lang w:val="uk-UA"/>
        </w:rPr>
      </w:pPr>
      <w:r w:rsidRPr="00E93710">
        <w:rPr>
          <w:lang w:val="uk-UA"/>
        </w:rPr>
        <w:lastRenderedPageBreak/>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70</w:t>
      </w:r>
      <w:r w:rsidRPr="00E93710">
        <w:rPr>
          <w:lang w:val="uk-UA"/>
        </w:rPr>
        <w:fldChar w:fldCharType="end"/>
      </w:r>
      <w:bookmarkEnd w:id="43"/>
      <w:r w:rsidR="00D83351" w:rsidRPr="00E93710">
        <w:rPr>
          <w:lang w:val="uk-UA"/>
        </w:rPr>
        <w:t>.</w:t>
      </w:r>
      <w:r w:rsidR="00334477" w:rsidRPr="000A38E5">
        <w:rPr>
          <w:lang w:val="uk-UA"/>
        </w:rPr>
        <w:t xml:space="preserve"> </w:t>
      </w:r>
      <w:r w:rsidR="002173C9" w:rsidRPr="000A38E5">
        <w:rPr>
          <w:lang w:val="uk-UA"/>
        </w:rPr>
        <w:t>14 червня</w:t>
      </w:r>
      <w:r w:rsidR="00D83351" w:rsidRPr="00E93710">
        <w:rPr>
          <w:lang w:val="uk-UA"/>
        </w:rPr>
        <w:t xml:space="preserve"> 2010 </w:t>
      </w:r>
      <w:r w:rsidR="002173C9" w:rsidRPr="000A38E5">
        <w:rPr>
          <w:lang w:val="uk-UA"/>
        </w:rPr>
        <w:t>р. Обласна інспекція охорони навколишнього середовища</w:t>
      </w:r>
      <w:r w:rsidR="00D83351" w:rsidRPr="00E93710">
        <w:rPr>
          <w:lang w:val="uk-UA"/>
        </w:rPr>
        <w:t xml:space="preserve"> </w:t>
      </w:r>
      <w:r w:rsidR="002173C9" w:rsidRPr="000A38E5">
        <w:rPr>
          <w:lang w:val="uk-UA"/>
        </w:rPr>
        <w:t>проінформувала Департамент муніципального будівництва,</w:t>
      </w:r>
      <w:r w:rsidR="00D83351" w:rsidRPr="00E93710">
        <w:rPr>
          <w:lang w:val="uk-UA"/>
        </w:rPr>
        <w:t xml:space="preserve"> </w:t>
      </w:r>
      <w:r w:rsidR="002173C9" w:rsidRPr="000A38E5">
        <w:rPr>
          <w:lang w:val="uk-UA"/>
        </w:rPr>
        <w:t>що не отримала оцінку впливу проекту будівництва дороги на навколишнє середовище</w:t>
      </w:r>
      <w:r w:rsidR="00D83351" w:rsidRPr="00E93710">
        <w:rPr>
          <w:lang w:val="uk-UA"/>
        </w:rPr>
        <w:t xml:space="preserve"> </w:t>
      </w:r>
      <w:r w:rsidR="002173C9" w:rsidRPr="000A38E5">
        <w:rPr>
          <w:lang w:val="uk-UA"/>
        </w:rPr>
        <w:t>від Інспекції</w:t>
      </w:r>
      <w:r w:rsidR="00D83351" w:rsidRPr="00E93710">
        <w:rPr>
          <w:lang w:val="uk-UA"/>
        </w:rPr>
        <w:t>.</w:t>
      </w:r>
    </w:p>
    <w:bookmarkStart w:id="44" w:name="replanting_decision"/>
    <w:p w:rsidR="00D83351" w:rsidRPr="00E93710" w:rsidRDefault="004E7608" w:rsidP="00852217">
      <w:pPr>
        <w:pStyle w:val="ECHRPara"/>
        <w:tabs>
          <w:tab w:val="left" w:pos="426"/>
        </w:tabs>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71</w:t>
      </w:r>
      <w:r w:rsidRPr="00E93710">
        <w:rPr>
          <w:lang w:val="uk-UA"/>
        </w:rPr>
        <w:fldChar w:fldCharType="end"/>
      </w:r>
      <w:bookmarkEnd w:id="44"/>
      <w:r w:rsidR="00D83351" w:rsidRPr="00E93710">
        <w:rPr>
          <w:lang w:val="uk-UA"/>
        </w:rPr>
        <w:t>.</w:t>
      </w:r>
      <w:r w:rsidR="00334477" w:rsidRPr="000A38E5">
        <w:rPr>
          <w:lang w:val="uk-UA"/>
        </w:rPr>
        <w:t xml:space="preserve"> </w:t>
      </w:r>
      <w:r w:rsidR="001A24E1" w:rsidRPr="000A38E5">
        <w:rPr>
          <w:lang w:val="uk-UA"/>
        </w:rPr>
        <w:t>17 червня</w:t>
      </w:r>
      <w:r w:rsidR="00D83351" w:rsidRPr="00E93710">
        <w:rPr>
          <w:lang w:val="uk-UA"/>
        </w:rPr>
        <w:t xml:space="preserve"> 2010</w:t>
      </w:r>
      <w:r w:rsidR="001A24E1" w:rsidRPr="000A38E5">
        <w:rPr>
          <w:lang w:val="uk-UA"/>
        </w:rPr>
        <w:t xml:space="preserve"> р.</w:t>
      </w:r>
      <w:r w:rsidR="00D83351" w:rsidRPr="00E93710">
        <w:rPr>
          <w:lang w:val="uk-UA"/>
        </w:rPr>
        <w:t xml:space="preserve"> </w:t>
      </w:r>
      <w:r w:rsidR="00BD4EF3" w:rsidRPr="000A38E5">
        <w:rPr>
          <w:lang w:val="uk-UA"/>
        </w:rPr>
        <w:t>виконавчий комітет наказав посадити у міських парках 1006 дерев</w:t>
      </w:r>
      <w:r w:rsidR="00D83351" w:rsidRPr="00E93710">
        <w:rPr>
          <w:lang w:val="uk-UA"/>
        </w:rPr>
        <w:t xml:space="preserve"> </w:t>
      </w:r>
      <w:r w:rsidR="00BD4EF3" w:rsidRPr="000A38E5">
        <w:rPr>
          <w:lang w:val="uk-UA"/>
        </w:rPr>
        <w:t xml:space="preserve">для компенсації дерев, повалених у парку </w:t>
      </w:r>
      <w:r w:rsidR="0085000B" w:rsidRPr="000A38E5">
        <w:rPr>
          <w:lang w:val="uk-UA"/>
        </w:rPr>
        <w:t>ім.</w:t>
      </w:r>
      <w:r w:rsidR="00BD4EF3" w:rsidRPr="000A38E5">
        <w:rPr>
          <w:lang w:val="uk-UA"/>
        </w:rPr>
        <w:t xml:space="preserve"> Горького</w:t>
      </w:r>
      <w:r w:rsidR="00D83351" w:rsidRPr="00E93710">
        <w:rPr>
          <w:lang w:val="uk-UA"/>
        </w:rPr>
        <w:t>.</w:t>
      </w:r>
    </w:p>
    <w:bookmarkStart w:id="45" w:name="EIA"/>
    <w:p w:rsidR="00D83351" w:rsidRPr="00E93710" w:rsidRDefault="004E7608" w:rsidP="00852217">
      <w:pPr>
        <w:pStyle w:val="ECHRPara"/>
        <w:tabs>
          <w:tab w:val="left" w:pos="426"/>
        </w:tabs>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72</w:t>
      </w:r>
      <w:r w:rsidRPr="00E93710">
        <w:rPr>
          <w:lang w:val="uk-UA"/>
        </w:rPr>
        <w:fldChar w:fldCharType="end"/>
      </w:r>
      <w:bookmarkEnd w:id="45"/>
      <w:r w:rsidR="00D83351" w:rsidRPr="00E93710">
        <w:rPr>
          <w:lang w:val="uk-UA"/>
        </w:rPr>
        <w:t>.</w:t>
      </w:r>
      <w:r w:rsidR="00334477" w:rsidRPr="000A38E5">
        <w:rPr>
          <w:lang w:val="uk-UA"/>
        </w:rPr>
        <w:t xml:space="preserve"> </w:t>
      </w:r>
      <w:r w:rsidR="00652DCF" w:rsidRPr="000A38E5">
        <w:rPr>
          <w:lang w:val="uk-UA"/>
        </w:rPr>
        <w:t>2 липня</w:t>
      </w:r>
      <w:r w:rsidR="00D83351" w:rsidRPr="00E93710">
        <w:rPr>
          <w:lang w:val="uk-UA"/>
        </w:rPr>
        <w:t xml:space="preserve"> 2010 </w:t>
      </w:r>
      <w:r w:rsidR="00652DCF" w:rsidRPr="000A38E5">
        <w:rPr>
          <w:lang w:val="uk-UA"/>
        </w:rPr>
        <w:t>р. Обласний департамент охорони навколишнього середовища</w:t>
      </w:r>
      <w:r w:rsidR="00D83351" w:rsidRPr="00E93710">
        <w:rPr>
          <w:lang w:val="uk-UA"/>
        </w:rPr>
        <w:t xml:space="preserve"> </w:t>
      </w:r>
      <w:r w:rsidR="00652DCF" w:rsidRPr="000A38E5">
        <w:rPr>
          <w:lang w:val="uk-UA"/>
        </w:rPr>
        <w:t>видав позитивний висновок державної екологічної експертизи</w:t>
      </w:r>
      <w:r w:rsidR="00D83351" w:rsidRPr="00E93710">
        <w:rPr>
          <w:lang w:val="uk-UA"/>
        </w:rPr>
        <w:t xml:space="preserve"> </w:t>
      </w:r>
      <w:r w:rsidR="00652DCF" w:rsidRPr="000A38E5">
        <w:rPr>
          <w:lang w:val="uk-UA"/>
        </w:rPr>
        <w:t>про проект будівництва дороги</w:t>
      </w:r>
      <w:r w:rsidR="00D83351" w:rsidRPr="00E93710">
        <w:rPr>
          <w:lang w:val="uk-UA"/>
        </w:rPr>
        <w:t>.</w:t>
      </w:r>
    </w:p>
    <w:p w:rsidR="00D83351" w:rsidRPr="000A38E5" w:rsidRDefault="00D83351" w:rsidP="00852217">
      <w:pPr>
        <w:pStyle w:val="ECHRHeading2"/>
        <w:rPr>
          <w:lang w:val="uk-UA"/>
        </w:rPr>
      </w:pPr>
      <w:r w:rsidRPr="00E93710">
        <w:rPr>
          <w:lang w:val="uk-UA"/>
        </w:rPr>
        <w:t>H.</w:t>
      </w:r>
      <w:r w:rsidR="00334477" w:rsidRPr="000A38E5">
        <w:rPr>
          <w:lang w:val="uk-UA"/>
        </w:rPr>
        <w:t xml:space="preserve"> </w:t>
      </w:r>
      <w:r w:rsidR="00E41FA3" w:rsidRPr="000A38E5">
        <w:rPr>
          <w:lang w:val="uk-UA"/>
        </w:rPr>
        <w:t>Національні провадження стосовно подій у парку</w:t>
      </w:r>
    </w:p>
    <w:p w:rsidR="00D83351" w:rsidRPr="000A38E5" w:rsidRDefault="00D83351" w:rsidP="00852217">
      <w:pPr>
        <w:pStyle w:val="ECHRHeading3"/>
        <w:rPr>
          <w:lang w:val="uk-UA"/>
        </w:rPr>
      </w:pPr>
      <w:r w:rsidRPr="000A38E5">
        <w:rPr>
          <w:lang w:val="uk-UA"/>
        </w:rPr>
        <w:t>1.</w:t>
      </w:r>
      <w:r w:rsidR="00334477" w:rsidRPr="000A38E5">
        <w:rPr>
          <w:lang w:val="uk-UA"/>
        </w:rPr>
        <w:t xml:space="preserve"> </w:t>
      </w:r>
      <w:r w:rsidR="00E41FA3" w:rsidRPr="000A38E5">
        <w:rPr>
          <w:lang w:val="uk-UA"/>
        </w:rPr>
        <w:t>Розслідування з боку прокуратури</w:t>
      </w:r>
    </w:p>
    <w:p w:rsidR="00D83351" w:rsidRPr="000A38E5" w:rsidRDefault="004E7608" w:rsidP="00852217">
      <w:pPr>
        <w:pStyle w:val="ECHRPara"/>
        <w:rPr>
          <w:lang w:val="uk-UA"/>
        </w:rPr>
      </w:pPr>
      <w:r w:rsidRPr="00E93710">
        <w:rPr>
          <w:lang w:val="uk-UA"/>
        </w:rPr>
        <w:fldChar w:fldCharType="begin"/>
      </w:r>
      <w:r w:rsidR="007C6EE5" w:rsidRPr="000A38E5">
        <w:rPr>
          <w:lang w:val="uk-UA"/>
        </w:rPr>
        <w:instrText xml:space="preserve"> </w:instrText>
      </w:r>
      <w:r w:rsidR="007C6EE5" w:rsidRPr="00E93710">
        <w:rPr>
          <w:lang w:val="uk-UA"/>
        </w:rPr>
        <w:instrText>SEQ</w:instrText>
      </w:r>
      <w:r w:rsidR="007C6EE5" w:rsidRPr="000A38E5">
        <w:rPr>
          <w:lang w:val="uk-UA"/>
        </w:rPr>
        <w:instrText xml:space="preserve"> </w:instrText>
      </w:r>
      <w:r w:rsidR="007C6EE5" w:rsidRPr="00E93710">
        <w:rPr>
          <w:lang w:val="uk-UA"/>
        </w:rPr>
        <w:instrText>level</w:instrText>
      </w:r>
      <w:r w:rsidR="007C6EE5" w:rsidRPr="000A38E5">
        <w:rPr>
          <w:lang w:val="uk-UA"/>
        </w:rPr>
        <w:instrText>0 \*</w:instrText>
      </w:r>
      <w:r w:rsidR="007C6EE5" w:rsidRPr="00E93710">
        <w:rPr>
          <w:lang w:val="uk-UA"/>
        </w:rPr>
        <w:instrText>arabic</w:instrText>
      </w:r>
      <w:r w:rsidR="007C6EE5" w:rsidRPr="000A38E5">
        <w:rPr>
          <w:lang w:val="uk-UA"/>
        </w:rPr>
        <w:instrText xml:space="preserve"> </w:instrText>
      </w:r>
      <w:r w:rsidRPr="00E93710">
        <w:rPr>
          <w:lang w:val="uk-UA"/>
        </w:rPr>
        <w:fldChar w:fldCharType="separate"/>
      </w:r>
      <w:r w:rsidR="0075299E" w:rsidRPr="00E93710">
        <w:rPr>
          <w:noProof/>
          <w:lang w:val="uk-UA"/>
        </w:rPr>
        <w:t>73</w:t>
      </w:r>
      <w:r w:rsidRPr="00E93710">
        <w:rPr>
          <w:noProof/>
          <w:lang w:val="uk-UA"/>
        </w:rPr>
        <w:fldChar w:fldCharType="end"/>
      </w:r>
      <w:r w:rsidR="00D83351" w:rsidRPr="000A38E5">
        <w:rPr>
          <w:lang w:val="uk-UA"/>
        </w:rPr>
        <w:t>.</w:t>
      </w:r>
      <w:r w:rsidR="00334477" w:rsidRPr="000A38E5">
        <w:rPr>
          <w:lang w:val="uk-UA"/>
        </w:rPr>
        <w:t xml:space="preserve"> </w:t>
      </w:r>
      <w:r w:rsidR="00E41FA3" w:rsidRPr="000A38E5">
        <w:rPr>
          <w:lang w:val="uk-UA"/>
        </w:rPr>
        <w:t>В різні дні протестуючі</w:t>
      </w:r>
      <w:r w:rsidR="00D83351" w:rsidRPr="000A38E5">
        <w:rPr>
          <w:lang w:val="uk-UA"/>
        </w:rPr>
        <w:t xml:space="preserve">, </w:t>
      </w:r>
      <w:r w:rsidR="00C170AE" w:rsidRPr="000A38E5">
        <w:rPr>
          <w:lang w:val="uk-UA"/>
        </w:rPr>
        <w:t>у тому числі деякі з заявників, скаржилися</w:t>
      </w:r>
      <w:r w:rsidR="00D83351" w:rsidRPr="000A38E5">
        <w:rPr>
          <w:lang w:val="uk-UA"/>
        </w:rPr>
        <w:t xml:space="preserve"> </w:t>
      </w:r>
      <w:r w:rsidR="00C170AE" w:rsidRPr="000A38E5">
        <w:rPr>
          <w:lang w:val="uk-UA"/>
        </w:rPr>
        <w:t>правоохоронним органам, що на</w:t>
      </w:r>
      <w:r w:rsidR="00334477" w:rsidRPr="000A38E5">
        <w:rPr>
          <w:lang w:val="uk-UA"/>
        </w:rPr>
        <w:t xml:space="preserve"> </w:t>
      </w:r>
      <w:r w:rsidR="00C170AE" w:rsidRPr="000A38E5">
        <w:rPr>
          <w:lang w:val="uk-UA"/>
        </w:rPr>
        <w:t>них нападали непізнані робітники</w:t>
      </w:r>
      <w:r w:rsidR="00D83351" w:rsidRPr="000A38E5">
        <w:rPr>
          <w:lang w:val="uk-UA"/>
        </w:rPr>
        <w:t xml:space="preserve"> </w:t>
      </w:r>
      <w:r w:rsidR="00C170AE" w:rsidRPr="000A38E5">
        <w:rPr>
          <w:lang w:val="uk-UA"/>
        </w:rPr>
        <w:t xml:space="preserve">та люди у чорному одязі з відзнаками </w:t>
      </w:r>
      <w:proofErr w:type="spellStart"/>
      <w:r w:rsidR="00C170AE" w:rsidRPr="000A38E5">
        <w:rPr>
          <w:lang w:val="uk-UA"/>
        </w:rPr>
        <w:t>МО</w:t>
      </w:r>
      <w:proofErr w:type="spellEnd"/>
      <w:r w:rsidR="00D83351" w:rsidRPr="000A38E5">
        <w:rPr>
          <w:lang w:val="uk-UA"/>
        </w:rPr>
        <w:t xml:space="preserve">, </w:t>
      </w:r>
      <w:r w:rsidR="00C170AE" w:rsidRPr="000A38E5">
        <w:rPr>
          <w:lang w:val="uk-UA"/>
        </w:rPr>
        <w:t>і що розташовані поряд міліціонери нічого не зробили для їх захисту</w:t>
      </w:r>
      <w:r w:rsidR="00D83351" w:rsidRPr="000A38E5">
        <w:rPr>
          <w:lang w:val="uk-UA"/>
        </w:rPr>
        <w:t xml:space="preserve">. </w:t>
      </w:r>
      <w:r w:rsidR="00D91066" w:rsidRPr="000A38E5">
        <w:rPr>
          <w:lang w:val="uk-UA"/>
        </w:rPr>
        <w:t>Ці скарги розслідувалися міською прокуратурою</w:t>
      </w:r>
      <w:r w:rsidR="00D83351" w:rsidRPr="000A38E5">
        <w:rPr>
          <w:lang w:val="uk-UA"/>
        </w:rPr>
        <w:t>.</w:t>
      </w:r>
    </w:p>
    <w:bookmarkStart w:id="46" w:name="investigation_video_from_TV"/>
    <w:p w:rsidR="00D83351" w:rsidRPr="000A38E5" w:rsidRDefault="004E7608" w:rsidP="00852217">
      <w:pPr>
        <w:pStyle w:val="ECHRPara"/>
        <w:rPr>
          <w:lang w:val="uk-UA"/>
        </w:rPr>
      </w:pPr>
      <w:r w:rsidRPr="00E93710">
        <w:rPr>
          <w:lang w:val="uk-UA"/>
        </w:rPr>
        <w:fldChar w:fldCharType="begin"/>
      </w:r>
      <w:r w:rsidR="00D83351" w:rsidRPr="000A38E5">
        <w:rPr>
          <w:lang w:val="uk-UA"/>
        </w:rPr>
        <w:instrText xml:space="preserve"> </w:instrText>
      </w:r>
      <w:r w:rsidR="00D83351" w:rsidRPr="00E93710">
        <w:rPr>
          <w:lang w:val="uk-UA"/>
        </w:rPr>
        <w:instrText>SEQ</w:instrText>
      </w:r>
      <w:r w:rsidR="00D83351" w:rsidRPr="000A38E5">
        <w:rPr>
          <w:lang w:val="uk-UA"/>
        </w:rPr>
        <w:instrText xml:space="preserve"> </w:instrText>
      </w:r>
      <w:r w:rsidR="00D83351" w:rsidRPr="00E93710">
        <w:rPr>
          <w:lang w:val="uk-UA"/>
        </w:rPr>
        <w:instrText>level</w:instrText>
      </w:r>
      <w:r w:rsidR="00D83351" w:rsidRPr="000A38E5">
        <w:rPr>
          <w:lang w:val="uk-UA"/>
        </w:rPr>
        <w:instrText>0 \*</w:instrText>
      </w:r>
      <w:r w:rsidR="00D83351" w:rsidRPr="00E93710">
        <w:rPr>
          <w:lang w:val="uk-UA"/>
        </w:rPr>
        <w:instrText>arabic</w:instrText>
      </w:r>
      <w:r w:rsidR="00D83351" w:rsidRPr="000A38E5">
        <w:rPr>
          <w:lang w:val="uk-UA"/>
        </w:rPr>
        <w:instrText xml:space="preserve"> </w:instrText>
      </w:r>
      <w:r w:rsidRPr="00E93710">
        <w:rPr>
          <w:lang w:val="uk-UA"/>
        </w:rPr>
        <w:fldChar w:fldCharType="separate"/>
      </w:r>
      <w:r w:rsidR="0075299E" w:rsidRPr="00E93710">
        <w:rPr>
          <w:noProof/>
          <w:lang w:val="uk-UA"/>
        </w:rPr>
        <w:t>74</w:t>
      </w:r>
      <w:r w:rsidRPr="00E93710">
        <w:rPr>
          <w:lang w:val="uk-UA"/>
        </w:rPr>
        <w:fldChar w:fldCharType="end"/>
      </w:r>
      <w:bookmarkEnd w:id="46"/>
      <w:r w:rsidR="00D83351" w:rsidRPr="000A38E5">
        <w:rPr>
          <w:lang w:val="uk-UA"/>
        </w:rPr>
        <w:t>.</w:t>
      </w:r>
      <w:r w:rsidR="00334477" w:rsidRPr="000A38E5">
        <w:rPr>
          <w:lang w:val="uk-UA"/>
        </w:rPr>
        <w:t xml:space="preserve"> </w:t>
      </w:r>
      <w:r w:rsidR="00D91066" w:rsidRPr="000A38E5">
        <w:rPr>
          <w:lang w:val="uk-UA"/>
        </w:rPr>
        <w:t>3 червня 2010 р. або біля того</w:t>
      </w:r>
      <w:r w:rsidR="00D83351" w:rsidRPr="000A38E5">
        <w:rPr>
          <w:lang w:val="uk-UA"/>
        </w:rPr>
        <w:t xml:space="preserve"> </w:t>
      </w:r>
      <w:r w:rsidR="00500C49" w:rsidRPr="000A38E5">
        <w:rPr>
          <w:lang w:val="uk-UA"/>
        </w:rPr>
        <w:t>дві телевізійні компанії відправили до прокуратури, за її запитом</w:t>
      </w:r>
      <w:r w:rsidR="00D83351" w:rsidRPr="000A38E5">
        <w:rPr>
          <w:lang w:val="uk-UA"/>
        </w:rPr>
        <w:t xml:space="preserve">, </w:t>
      </w:r>
      <w:r w:rsidR="00500C49" w:rsidRPr="000A38E5">
        <w:rPr>
          <w:lang w:val="uk-UA"/>
        </w:rPr>
        <w:t>свої відеозаписи подій у парку</w:t>
      </w:r>
      <w:r w:rsidR="00D83351" w:rsidRPr="000A38E5">
        <w:rPr>
          <w:lang w:val="uk-UA"/>
        </w:rPr>
        <w:t>.</w:t>
      </w:r>
    </w:p>
    <w:bookmarkStart w:id="47" w:name="MG_director_strangers_on_site"/>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75</w:t>
      </w:r>
      <w:r w:rsidRPr="00E93710">
        <w:rPr>
          <w:lang w:val="uk-UA"/>
        </w:rPr>
        <w:fldChar w:fldCharType="end"/>
      </w:r>
      <w:bookmarkEnd w:id="47"/>
      <w:r w:rsidR="00D83351" w:rsidRPr="00E93710">
        <w:rPr>
          <w:lang w:val="uk-UA"/>
        </w:rPr>
        <w:t>.</w:t>
      </w:r>
      <w:r w:rsidR="00334477" w:rsidRPr="000A38E5">
        <w:rPr>
          <w:lang w:val="uk-UA"/>
        </w:rPr>
        <w:t xml:space="preserve"> </w:t>
      </w:r>
      <w:r w:rsidR="00500C49" w:rsidRPr="000A38E5">
        <w:rPr>
          <w:lang w:val="uk-UA"/>
        </w:rPr>
        <w:t>3 червня</w:t>
      </w:r>
      <w:r w:rsidR="00D83351" w:rsidRPr="00E93710">
        <w:rPr>
          <w:lang w:val="uk-UA"/>
        </w:rPr>
        <w:t xml:space="preserve"> 2010 </w:t>
      </w:r>
      <w:r w:rsidR="00500C49" w:rsidRPr="000A38E5">
        <w:rPr>
          <w:lang w:val="uk-UA"/>
        </w:rPr>
        <w:t>р. заступник прокурора Харкова допитав пана Кл</w:t>
      </w:r>
      <w:r w:rsidR="00D83351" w:rsidRPr="00E93710">
        <w:rPr>
          <w:lang w:val="uk-UA"/>
        </w:rPr>
        <w:t xml:space="preserve">., </w:t>
      </w:r>
      <w:r w:rsidR="001B3C77" w:rsidRPr="000A38E5">
        <w:rPr>
          <w:lang w:val="uk-UA"/>
        </w:rPr>
        <w:t xml:space="preserve">директора </w:t>
      </w:r>
      <w:proofErr w:type="spellStart"/>
      <w:r w:rsidR="001B3C77" w:rsidRPr="000A38E5">
        <w:rPr>
          <w:lang w:val="uk-UA"/>
        </w:rPr>
        <w:t>МО</w:t>
      </w:r>
      <w:proofErr w:type="spellEnd"/>
      <w:r w:rsidR="00D83351" w:rsidRPr="00E93710">
        <w:rPr>
          <w:lang w:val="uk-UA"/>
        </w:rPr>
        <w:t xml:space="preserve">, </w:t>
      </w:r>
      <w:r w:rsidR="001B3C77" w:rsidRPr="000A38E5">
        <w:rPr>
          <w:lang w:val="uk-UA"/>
        </w:rPr>
        <w:t>та начальників чотирьох відділень цієї компанії</w:t>
      </w:r>
      <w:r w:rsidR="00D83351" w:rsidRPr="00E93710">
        <w:rPr>
          <w:lang w:val="uk-UA"/>
        </w:rPr>
        <w:t xml:space="preserve"> </w:t>
      </w:r>
      <w:r w:rsidR="001B3C77" w:rsidRPr="000A38E5">
        <w:rPr>
          <w:lang w:val="uk-UA"/>
        </w:rPr>
        <w:t>про присутність та дії охоронців на місці будівництва</w:t>
      </w:r>
      <w:r w:rsidR="00D83351" w:rsidRPr="00E93710">
        <w:rPr>
          <w:lang w:val="uk-UA"/>
        </w:rPr>
        <w:t xml:space="preserve">. </w:t>
      </w:r>
      <w:r w:rsidR="001B3C77" w:rsidRPr="000A38E5">
        <w:rPr>
          <w:lang w:val="uk-UA"/>
        </w:rPr>
        <w:t>Вони стверджували, зокрема, що там не було нікого з компанії, окрім них</w:t>
      </w:r>
      <w:r w:rsidR="00D83351" w:rsidRPr="00E93710">
        <w:rPr>
          <w:lang w:val="uk-UA"/>
        </w:rPr>
        <w:t xml:space="preserve">. </w:t>
      </w:r>
      <w:r w:rsidR="001B3C77" w:rsidRPr="000A38E5">
        <w:rPr>
          <w:lang w:val="uk-UA"/>
        </w:rPr>
        <w:t xml:space="preserve">Вони також стверджували, що було багато людей в чорному з відзнаками </w:t>
      </w:r>
      <w:proofErr w:type="spellStart"/>
      <w:r w:rsidR="001B3C77" w:rsidRPr="000A38E5">
        <w:rPr>
          <w:lang w:val="uk-UA"/>
        </w:rPr>
        <w:t>МО</w:t>
      </w:r>
      <w:proofErr w:type="spellEnd"/>
      <w:r w:rsidR="00D83351" w:rsidRPr="00E93710">
        <w:rPr>
          <w:lang w:val="uk-UA"/>
        </w:rPr>
        <w:t xml:space="preserve">, </w:t>
      </w:r>
      <w:r w:rsidR="001B3C77" w:rsidRPr="000A38E5">
        <w:rPr>
          <w:lang w:val="uk-UA"/>
        </w:rPr>
        <w:t>які, тим не менш, в дійсності не були працівниками компанії</w:t>
      </w:r>
      <w:r w:rsidR="00D83351" w:rsidRPr="00E93710">
        <w:rPr>
          <w:lang w:val="uk-UA"/>
        </w:rPr>
        <w:t xml:space="preserve">. </w:t>
      </w:r>
      <w:r w:rsidR="001B3C77" w:rsidRPr="000A38E5">
        <w:rPr>
          <w:lang w:val="uk-UA"/>
        </w:rPr>
        <w:t>28 травня</w:t>
      </w:r>
      <w:r w:rsidR="00D83351" w:rsidRPr="00E93710">
        <w:rPr>
          <w:lang w:val="uk-UA"/>
        </w:rPr>
        <w:t xml:space="preserve"> 2010</w:t>
      </w:r>
      <w:r w:rsidR="001B3C77" w:rsidRPr="000A38E5">
        <w:rPr>
          <w:lang w:val="uk-UA"/>
        </w:rPr>
        <w:t xml:space="preserve"> р.</w:t>
      </w:r>
      <w:r w:rsidR="00D83351" w:rsidRPr="00E93710">
        <w:rPr>
          <w:lang w:val="uk-UA"/>
        </w:rPr>
        <w:t xml:space="preserve">, </w:t>
      </w:r>
      <w:r w:rsidR="001B3C77" w:rsidRPr="000A38E5">
        <w:rPr>
          <w:lang w:val="uk-UA"/>
        </w:rPr>
        <w:t>після догани пана Кл</w:t>
      </w:r>
      <w:r w:rsidR="00D83351" w:rsidRPr="00E93710">
        <w:rPr>
          <w:lang w:val="uk-UA"/>
        </w:rPr>
        <w:t xml:space="preserve">., </w:t>
      </w:r>
      <w:r w:rsidR="001B3C77" w:rsidRPr="000A38E5">
        <w:rPr>
          <w:lang w:val="uk-UA"/>
        </w:rPr>
        <w:t xml:space="preserve">ці особи зняли відзнаки </w:t>
      </w:r>
      <w:proofErr w:type="spellStart"/>
      <w:r w:rsidR="001B3C77" w:rsidRPr="000A38E5">
        <w:rPr>
          <w:lang w:val="uk-UA"/>
        </w:rPr>
        <w:t>МО</w:t>
      </w:r>
      <w:proofErr w:type="spellEnd"/>
      <w:r w:rsidR="00D83351" w:rsidRPr="00E93710">
        <w:rPr>
          <w:lang w:val="uk-UA"/>
        </w:rPr>
        <w:t>.</w:t>
      </w:r>
    </w:p>
    <w:bookmarkStart w:id="48" w:name="police_report_law_enforcement_measures"/>
    <w:p w:rsidR="00D83351" w:rsidRPr="000A38E5"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76</w:t>
      </w:r>
      <w:r w:rsidRPr="00E93710">
        <w:rPr>
          <w:lang w:val="uk-UA"/>
        </w:rPr>
        <w:fldChar w:fldCharType="end"/>
      </w:r>
      <w:bookmarkEnd w:id="48"/>
      <w:r w:rsidR="00D83351" w:rsidRPr="00E93710">
        <w:rPr>
          <w:lang w:val="uk-UA"/>
        </w:rPr>
        <w:t>.</w:t>
      </w:r>
      <w:r w:rsidR="00334477" w:rsidRPr="000A38E5">
        <w:rPr>
          <w:lang w:val="uk-UA"/>
        </w:rPr>
        <w:t xml:space="preserve"> </w:t>
      </w:r>
      <w:r w:rsidR="002C34AB" w:rsidRPr="000A38E5">
        <w:rPr>
          <w:lang w:val="uk-UA"/>
        </w:rPr>
        <w:t>3 червня</w:t>
      </w:r>
      <w:r w:rsidR="00D83351" w:rsidRPr="00E93710">
        <w:rPr>
          <w:lang w:val="uk-UA"/>
        </w:rPr>
        <w:t xml:space="preserve"> 2010 </w:t>
      </w:r>
      <w:r w:rsidR="002C34AB" w:rsidRPr="000A38E5">
        <w:rPr>
          <w:lang w:val="uk-UA"/>
        </w:rPr>
        <w:t>р. голова Харківської міліції відправив міському прокурору звіт,</w:t>
      </w:r>
      <w:r w:rsidR="00D83351" w:rsidRPr="00E93710">
        <w:rPr>
          <w:lang w:val="uk-UA"/>
        </w:rPr>
        <w:t xml:space="preserve"> </w:t>
      </w:r>
      <w:r w:rsidR="0077470E" w:rsidRPr="000A38E5">
        <w:rPr>
          <w:lang w:val="uk-UA"/>
        </w:rPr>
        <w:t>в якому узагальнював правоохоронні заходи, здійснені в ході протестів</w:t>
      </w:r>
      <w:r w:rsidR="00D83351" w:rsidRPr="00E93710">
        <w:rPr>
          <w:lang w:val="uk-UA"/>
        </w:rPr>
        <w:t xml:space="preserve">. </w:t>
      </w:r>
      <w:r w:rsidR="0077470E" w:rsidRPr="000A38E5">
        <w:rPr>
          <w:lang w:val="uk-UA"/>
        </w:rPr>
        <w:t>У звіті говорилося, зокрема, що Ш. та К</w:t>
      </w:r>
      <w:r w:rsidR="00D83351" w:rsidRPr="00E93710">
        <w:rPr>
          <w:lang w:val="uk-UA"/>
        </w:rPr>
        <w:t xml:space="preserve">., </w:t>
      </w:r>
      <w:r w:rsidR="0077470E" w:rsidRPr="000A38E5">
        <w:rPr>
          <w:lang w:val="uk-UA"/>
        </w:rPr>
        <w:t>голови НУО «Печеніги» та «Ми Харків’яни»</w:t>
      </w:r>
      <w:r w:rsidR="00D83351" w:rsidRPr="00E93710">
        <w:rPr>
          <w:lang w:val="uk-UA"/>
        </w:rPr>
        <w:t xml:space="preserve"> (</w:t>
      </w:r>
      <w:r w:rsidR="0077470E" w:rsidRPr="000A38E5">
        <w:rPr>
          <w:lang w:val="uk-UA"/>
        </w:rPr>
        <w:t>див. пункт</w:t>
      </w:r>
      <w:r w:rsidR="00121B3C" w:rsidRPr="00E93710">
        <w:rPr>
          <w:lang w:val="uk-UA"/>
        </w:rPr>
        <w:t> </w:t>
      </w:r>
      <w:fldSimple w:instr=" REF video_20_May \h  \* MERGEFORMAT ">
        <w:r w:rsidR="0075299E" w:rsidRPr="00E93710">
          <w:rPr>
            <w:noProof/>
            <w:lang w:val="uk-UA"/>
          </w:rPr>
          <w:t>31</w:t>
        </w:r>
      </w:fldSimple>
      <w:r w:rsidR="00D83351" w:rsidRPr="00E93710">
        <w:rPr>
          <w:lang w:val="uk-UA"/>
        </w:rPr>
        <w:t xml:space="preserve"> </w:t>
      </w:r>
      <w:r w:rsidR="0077470E" w:rsidRPr="000A38E5">
        <w:rPr>
          <w:lang w:val="uk-UA"/>
        </w:rPr>
        <w:t>вище</w:t>
      </w:r>
      <w:r w:rsidR="00D83351" w:rsidRPr="00E93710">
        <w:rPr>
          <w:lang w:val="uk-UA"/>
        </w:rPr>
        <w:t xml:space="preserve">), </w:t>
      </w:r>
      <w:r w:rsidR="0077470E" w:rsidRPr="000A38E5">
        <w:rPr>
          <w:lang w:val="uk-UA"/>
        </w:rPr>
        <w:t>приймали участь у протестах</w:t>
      </w:r>
      <w:r w:rsidR="00D83351" w:rsidRPr="00E93710">
        <w:rPr>
          <w:lang w:val="uk-UA"/>
        </w:rPr>
        <w:t xml:space="preserve">. </w:t>
      </w:r>
      <w:r w:rsidR="0077470E" w:rsidRPr="000A38E5">
        <w:rPr>
          <w:lang w:val="uk-UA"/>
        </w:rPr>
        <w:t>Голова міліції зазначив, що міліція запросила протестуючих</w:t>
      </w:r>
      <w:r w:rsidR="00D83351" w:rsidRPr="00E93710">
        <w:rPr>
          <w:lang w:val="uk-UA"/>
        </w:rPr>
        <w:t xml:space="preserve"> </w:t>
      </w:r>
      <w:r w:rsidR="0077470E" w:rsidRPr="000A38E5">
        <w:rPr>
          <w:lang w:val="uk-UA"/>
        </w:rPr>
        <w:t>подати офіційне повідомлення про свій протест</w:t>
      </w:r>
      <w:r w:rsidR="00D83351" w:rsidRPr="00E93710">
        <w:rPr>
          <w:lang w:val="uk-UA"/>
        </w:rPr>
        <w:t xml:space="preserve">, </w:t>
      </w:r>
      <w:r w:rsidR="0077470E" w:rsidRPr="000A38E5">
        <w:rPr>
          <w:lang w:val="uk-UA"/>
        </w:rPr>
        <w:t>як того вимагає стаття 39 Конституції</w:t>
      </w:r>
      <w:r w:rsidR="00D83351" w:rsidRPr="00E93710">
        <w:rPr>
          <w:lang w:val="uk-UA"/>
        </w:rPr>
        <w:t xml:space="preserve">, </w:t>
      </w:r>
      <w:r w:rsidR="0077470E" w:rsidRPr="000A38E5">
        <w:rPr>
          <w:lang w:val="uk-UA"/>
        </w:rPr>
        <w:t>але вони відповіли, що не організовували ніяке зібрання або акцію,</w:t>
      </w:r>
      <w:r w:rsidR="00D83351" w:rsidRPr="00E93710">
        <w:rPr>
          <w:lang w:val="uk-UA"/>
        </w:rPr>
        <w:t xml:space="preserve"> </w:t>
      </w:r>
      <w:r w:rsidR="00F93965" w:rsidRPr="000A38E5">
        <w:rPr>
          <w:lang w:val="uk-UA"/>
        </w:rPr>
        <w:t>а були присутні у парку, як звичайні громадяни</w:t>
      </w:r>
      <w:r w:rsidR="00D83351" w:rsidRPr="00E93710">
        <w:rPr>
          <w:lang w:val="uk-UA"/>
        </w:rPr>
        <w:t xml:space="preserve">. </w:t>
      </w:r>
      <w:r w:rsidR="00F93965" w:rsidRPr="000A38E5">
        <w:rPr>
          <w:lang w:val="uk-UA"/>
        </w:rPr>
        <w:t>Міліціонери були відправлені у повному обсязі</w:t>
      </w:r>
      <w:r w:rsidR="00D83351" w:rsidRPr="00E93710">
        <w:rPr>
          <w:lang w:val="uk-UA"/>
        </w:rPr>
        <w:t xml:space="preserve">, </w:t>
      </w:r>
      <w:r w:rsidR="00F93965" w:rsidRPr="000A38E5">
        <w:rPr>
          <w:lang w:val="uk-UA"/>
        </w:rPr>
        <w:t>як передбачав план правоохоронних дій</w:t>
      </w:r>
      <w:r w:rsidR="00D83351" w:rsidRPr="00E93710">
        <w:rPr>
          <w:lang w:val="uk-UA"/>
        </w:rPr>
        <w:t xml:space="preserve"> (</w:t>
      </w:r>
      <w:r w:rsidR="00F93965" w:rsidRPr="000A38E5">
        <w:rPr>
          <w:lang w:val="uk-UA"/>
        </w:rPr>
        <w:t>див. пункт</w:t>
      </w:r>
      <w:r w:rsidR="00D83351" w:rsidRPr="00E93710">
        <w:rPr>
          <w:lang w:val="uk-UA"/>
        </w:rPr>
        <w:t xml:space="preserve"> </w:t>
      </w:r>
      <w:fldSimple w:instr=" REF Law_Enforcement_Plan \h  \* MERGEFORMAT ">
        <w:r w:rsidR="0075299E" w:rsidRPr="00E93710">
          <w:rPr>
            <w:noProof/>
            <w:lang w:val="uk-UA"/>
          </w:rPr>
          <w:t>24</w:t>
        </w:r>
      </w:fldSimple>
      <w:r w:rsidR="00D83351" w:rsidRPr="00E93710">
        <w:rPr>
          <w:lang w:val="uk-UA"/>
        </w:rPr>
        <w:t xml:space="preserve"> </w:t>
      </w:r>
      <w:r w:rsidR="00F93965" w:rsidRPr="000A38E5">
        <w:rPr>
          <w:lang w:val="uk-UA"/>
        </w:rPr>
        <w:t>вище</w:t>
      </w:r>
      <w:r w:rsidR="00D83351" w:rsidRPr="00E93710">
        <w:rPr>
          <w:lang w:val="uk-UA"/>
        </w:rPr>
        <w:t xml:space="preserve">), </w:t>
      </w:r>
      <w:r w:rsidR="00F93965" w:rsidRPr="000A38E5">
        <w:rPr>
          <w:lang w:val="uk-UA"/>
        </w:rPr>
        <w:t>тобто, двадцять сім міліціонерів були на місці подій</w:t>
      </w:r>
      <w:r w:rsidR="00D83351" w:rsidRPr="00E93710">
        <w:rPr>
          <w:lang w:val="uk-UA"/>
        </w:rPr>
        <w:t xml:space="preserve"> </w:t>
      </w:r>
      <w:r w:rsidR="00F93965" w:rsidRPr="000A38E5">
        <w:rPr>
          <w:lang w:val="uk-UA"/>
        </w:rPr>
        <w:t>щоденно з 20 травня до 2 червня</w:t>
      </w:r>
      <w:r w:rsidR="00D83351" w:rsidRPr="00E93710">
        <w:rPr>
          <w:lang w:val="uk-UA"/>
        </w:rPr>
        <w:t xml:space="preserve"> 2010</w:t>
      </w:r>
      <w:r w:rsidR="00F93965" w:rsidRPr="00E93710">
        <w:rPr>
          <w:lang w:val="uk-UA"/>
        </w:rPr>
        <w:t xml:space="preserve"> р.</w:t>
      </w:r>
      <w:r w:rsidR="00D83351" w:rsidRPr="00E93710">
        <w:rPr>
          <w:lang w:val="uk-UA"/>
        </w:rPr>
        <w:t xml:space="preserve">, </w:t>
      </w:r>
      <w:r w:rsidR="0087256F" w:rsidRPr="000A38E5">
        <w:rPr>
          <w:lang w:val="uk-UA"/>
        </w:rPr>
        <w:t>окрім</w:t>
      </w:r>
      <w:r w:rsidR="00D83351" w:rsidRPr="00E93710">
        <w:rPr>
          <w:lang w:val="uk-UA"/>
        </w:rPr>
        <w:t xml:space="preserve"> 23, 29 </w:t>
      </w:r>
      <w:r w:rsidR="0087256F" w:rsidRPr="000A38E5">
        <w:rPr>
          <w:lang w:val="uk-UA"/>
        </w:rPr>
        <w:t>та</w:t>
      </w:r>
      <w:r w:rsidR="00D83351" w:rsidRPr="00E93710">
        <w:rPr>
          <w:lang w:val="uk-UA"/>
        </w:rPr>
        <w:t xml:space="preserve"> 30 </w:t>
      </w:r>
      <w:r w:rsidR="0087256F" w:rsidRPr="000A38E5">
        <w:rPr>
          <w:lang w:val="uk-UA"/>
        </w:rPr>
        <w:t>травня</w:t>
      </w:r>
      <w:r w:rsidR="00D83351" w:rsidRPr="00E93710">
        <w:rPr>
          <w:lang w:val="uk-UA"/>
        </w:rPr>
        <w:t xml:space="preserve"> 2010 </w:t>
      </w:r>
      <w:r w:rsidR="0087256F" w:rsidRPr="00E93710">
        <w:rPr>
          <w:lang w:val="uk-UA"/>
        </w:rPr>
        <w:t xml:space="preserve">р., </w:t>
      </w:r>
      <w:r w:rsidR="002D59EA" w:rsidRPr="000A38E5">
        <w:rPr>
          <w:lang w:val="uk-UA"/>
        </w:rPr>
        <w:t>коли були виділені два міліціонера</w:t>
      </w:r>
      <w:r w:rsidR="00D83351" w:rsidRPr="00E93710">
        <w:rPr>
          <w:lang w:val="uk-UA"/>
        </w:rPr>
        <w:t xml:space="preserve">. </w:t>
      </w:r>
      <w:r w:rsidR="002D59EA" w:rsidRPr="000A38E5">
        <w:rPr>
          <w:lang w:val="uk-UA"/>
        </w:rPr>
        <w:t>Місце будівництва було позначено стрічкою 28 травня</w:t>
      </w:r>
      <w:r w:rsidR="00D83351" w:rsidRPr="000A38E5">
        <w:rPr>
          <w:lang w:val="uk-UA"/>
        </w:rPr>
        <w:t xml:space="preserve"> 2010</w:t>
      </w:r>
      <w:r w:rsidR="002D59EA" w:rsidRPr="000A38E5">
        <w:rPr>
          <w:lang w:val="uk-UA"/>
        </w:rPr>
        <w:t xml:space="preserve"> р</w:t>
      </w:r>
      <w:r w:rsidR="00D83351" w:rsidRPr="000A38E5">
        <w:rPr>
          <w:lang w:val="uk-UA"/>
        </w:rPr>
        <w:t xml:space="preserve">. </w:t>
      </w:r>
      <w:r w:rsidR="006730EA" w:rsidRPr="000A38E5">
        <w:rPr>
          <w:lang w:val="uk-UA"/>
        </w:rPr>
        <w:t>«Пікетування» місця будівництва припинилося 2 червня о</w:t>
      </w:r>
      <w:r w:rsidR="00D83351" w:rsidRPr="000A38E5">
        <w:rPr>
          <w:lang w:val="uk-UA"/>
        </w:rPr>
        <w:t xml:space="preserve"> 9.45 </w:t>
      </w:r>
      <w:r w:rsidR="006730EA" w:rsidRPr="000A38E5">
        <w:rPr>
          <w:lang w:val="uk-UA"/>
        </w:rPr>
        <w:t>ранку</w:t>
      </w:r>
      <w:r w:rsidR="00D83351" w:rsidRPr="000A38E5">
        <w:rPr>
          <w:lang w:val="uk-UA"/>
        </w:rPr>
        <w:t>.</w:t>
      </w:r>
    </w:p>
    <w:p w:rsidR="00D83351" w:rsidRPr="000A38E5" w:rsidRDefault="004E7608" w:rsidP="00852217">
      <w:pPr>
        <w:pStyle w:val="ECHRPara"/>
        <w:rPr>
          <w:lang w:val="uk-UA"/>
        </w:rPr>
      </w:pPr>
      <w:r w:rsidRPr="00E93710">
        <w:rPr>
          <w:lang w:val="uk-UA"/>
        </w:rPr>
        <w:fldChar w:fldCharType="begin"/>
      </w:r>
      <w:r w:rsidR="007C6EE5" w:rsidRPr="000A38E5">
        <w:rPr>
          <w:lang w:val="uk-UA"/>
        </w:rPr>
        <w:instrText xml:space="preserve"> </w:instrText>
      </w:r>
      <w:r w:rsidR="007C6EE5" w:rsidRPr="00E93710">
        <w:rPr>
          <w:lang w:val="uk-UA"/>
        </w:rPr>
        <w:instrText>SEQ</w:instrText>
      </w:r>
      <w:r w:rsidR="007C6EE5" w:rsidRPr="000A38E5">
        <w:rPr>
          <w:lang w:val="uk-UA"/>
        </w:rPr>
        <w:instrText xml:space="preserve"> </w:instrText>
      </w:r>
      <w:r w:rsidR="007C6EE5" w:rsidRPr="00E93710">
        <w:rPr>
          <w:lang w:val="uk-UA"/>
        </w:rPr>
        <w:instrText>level</w:instrText>
      </w:r>
      <w:r w:rsidR="007C6EE5" w:rsidRPr="000A38E5">
        <w:rPr>
          <w:lang w:val="uk-UA"/>
        </w:rPr>
        <w:instrText>0 \*</w:instrText>
      </w:r>
      <w:r w:rsidR="007C6EE5" w:rsidRPr="00E93710">
        <w:rPr>
          <w:lang w:val="uk-UA"/>
        </w:rPr>
        <w:instrText>arabic</w:instrText>
      </w:r>
      <w:r w:rsidR="007C6EE5" w:rsidRPr="000A38E5">
        <w:rPr>
          <w:lang w:val="uk-UA"/>
        </w:rPr>
        <w:instrText xml:space="preserve"> </w:instrText>
      </w:r>
      <w:r w:rsidRPr="00E93710">
        <w:rPr>
          <w:lang w:val="uk-UA"/>
        </w:rPr>
        <w:fldChar w:fldCharType="separate"/>
      </w:r>
      <w:r w:rsidR="0075299E" w:rsidRPr="00E93710">
        <w:rPr>
          <w:noProof/>
          <w:lang w:val="uk-UA"/>
        </w:rPr>
        <w:t>77</w:t>
      </w:r>
      <w:r w:rsidRPr="00E93710">
        <w:rPr>
          <w:noProof/>
          <w:lang w:val="uk-UA"/>
        </w:rPr>
        <w:fldChar w:fldCharType="end"/>
      </w:r>
      <w:r w:rsidR="00D83351" w:rsidRPr="000A38E5">
        <w:rPr>
          <w:lang w:val="uk-UA"/>
        </w:rPr>
        <w:t>.</w:t>
      </w:r>
      <w:r w:rsidR="00334477" w:rsidRPr="000A38E5">
        <w:rPr>
          <w:lang w:val="uk-UA"/>
        </w:rPr>
        <w:t xml:space="preserve"> </w:t>
      </w:r>
      <w:r w:rsidR="00BE0299" w:rsidRPr="000A38E5">
        <w:rPr>
          <w:lang w:val="uk-UA"/>
        </w:rPr>
        <w:t>Прокуратура допитала декількох міліціонерів та співробітників</w:t>
      </w:r>
      <w:r w:rsidR="00D83351" w:rsidRPr="000A38E5">
        <w:rPr>
          <w:lang w:val="uk-UA"/>
        </w:rPr>
        <w:t xml:space="preserve"> </w:t>
      </w:r>
      <w:r w:rsidR="00BE0299" w:rsidRPr="000A38E5">
        <w:rPr>
          <w:lang w:val="uk-UA"/>
        </w:rPr>
        <w:t>компаній-субпідрядників</w:t>
      </w:r>
      <w:r w:rsidR="00D83351" w:rsidRPr="000A38E5">
        <w:rPr>
          <w:lang w:val="uk-UA"/>
        </w:rPr>
        <w:t xml:space="preserve">, </w:t>
      </w:r>
      <w:r w:rsidR="00BE0299" w:rsidRPr="000A38E5">
        <w:rPr>
          <w:lang w:val="uk-UA"/>
        </w:rPr>
        <w:t>а також журналістів</w:t>
      </w:r>
      <w:r w:rsidR="00D83351" w:rsidRPr="000A38E5">
        <w:rPr>
          <w:lang w:val="uk-UA"/>
        </w:rPr>
        <w:t xml:space="preserve">. </w:t>
      </w:r>
      <w:r w:rsidR="005A4676" w:rsidRPr="000A38E5">
        <w:rPr>
          <w:lang w:val="uk-UA"/>
        </w:rPr>
        <w:t>Вона також розглянула надані протестуючими відеозаписи подій</w:t>
      </w:r>
      <w:r w:rsidR="00D83351" w:rsidRPr="000A38E5">
        <w:rPr>
          <w:lang w:val="uk-UA"/>
        </w:rPr>
        <w:t xml:space="preserve"> </w:t>
      </w:r>
      <w:r w:rsidR="005A4676" w:rsidRPr="000A38E5">
        <w:rPr>
          <w:lang w:val="uk-UA"/>
        </w:rPr>
        <w:t>та зібрала інформацію з місцевої лікарні стосовно звітів</w:t>
      </w:r>
      <w:r w:rsidR="00D83351" w:rsidRPr="000A38E5">
        <w:rPr>
          <w:lang w:val="uk-UA"/>
        </w:rPr>
        <w:t xml:space="preserve"> </w:t>
      </w:r>
      <w:r w:rsidR="005A4676" w:rsidRPr="000A38E5">
        <w:rPr>
          <w:lang w:val="uk-UA"/>
        </w:rPr>
        <w:t>про поранення, отримані в ході подій у парку</w:t>
      </w:r>
      <w:r w:rsidR="00D83351" w:rsidRPr="000A38E5">
        <w:rPr>
          <w:lang w:val="uk-UA"/>
        </w:rPr>
        <w:t>.</w:t>
      </w:r>
    </w:p>
    <w:bookmarkStart w:id="49" w:name="private_security_guard_statements_June"/>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78</w:t>
      </w:r>
      <w:r w:rsidRPr="00E93710">
        <w:rPr>
          <w:lang w:val="uk-UA"/>
        </w:rPr>
        <w:fldChar w:fldCharType="end"/>
      </w:r>
      <w:bookmarkEnd w:id="49"/>
      <w:r w:rsidR="00D83351" w:rsidRPr="00E93710">
        <w:rPr>
          <w:lang w:val="uk-UA"/>
        </w:rPr>
        <w:t>.</w:t>
      </w:r>
      <w:r w:rsidR="00334477" w:rsidRPr="000A38E5">
        <w:rPr>
          <w:lang w:val="uk-UA"/>
        </w:rPr>
        <w:t xml:space="preserve"> </w:t>
      </w:r>
      <w:r w:rsidR="003B3FE0" w:rsidRPr="000A38E5">
        <w:rPr>
          <w:lang w:val="uk-UA"/>
        </w:rPr>
        <w:t>17 та 18 червня</w:t>
      </w:r>
      <w:r w:rsidR="00D83351" w:rsidRPr="00E93710">
        <w:rPr>
          <w:lang w:val="uk-UA"/>
        </w:rPr>
        <w:t xml:space="preserve"> </w:t>
      </w:r>
      <w:r w:rsidR="003B3FE0" w:rsidRPr="000A38E5">
        <w:rPr>
          <w:lang w:val="uk-UA"/>
        </w:rPr>
        <w:t>прокуратура допитала двадцять працівників</w:t>
      </w:r>
      <w:r w:rsidR="00D83351" w:rsidRPr="00E93710">
        <w:rPr>
          <w:lang w:val="uk-UA"/>
        </w:rPr>
        <w:t xml:space="preserve"> </w:t>
      </w:r>
      <w:r w:rsidR="003B3FE0" w:rsidRPr="000A38E5">
        <w:rPr>
          <w:lang w:val="uk-UA"/>
        </w:rPr>
        <w:t>ПО</w:t>
      </w:r>
      <w:r w:rsidR="00D83351" w:rsidRPr="00E93710">
        <w:rPr>
          <w:lang w:val="uk-UA"/>
        </w:rPr>
        <w:t xml:space="preserve"> (</w:t>
      </w:r>
      <w:r w:rsidR="003B3FE0" w:rsidRPr="000A38E5">
        <w:rPr>
          <w:lang w:val="uk-UA"/>
        </w:rPr>
        <w:t>див. пункт</w:t>
      </w:r>
      <w:r w:rsidR="00D83351" w:rsidRPr="00E93710">
        <w:rPr>
          <w:lang w:val="uk-UA"/>
        </w:rPr>
        <w:t xml:space="preserve"> </w:t>
      </w:r>
      <w:fldSimple w:instr=" REF private_security_company \h  \* MERGEFORMAT ">
        <w:r w:rsidR="0075299E" w:rsidRPr="00E93710">
          <w:rPr>
            <w:noProof/>
            <w:lang w:val="uk-UA"/>
          </w:rPr>
          <w:t>25</w:t>
        </w:r>
      </w:fldSimple>
      <w:r w:rsidR="00D83351" w:rsidRPr="00E93710">
        <w:rPr>
          <w:lang w:val="uk-UA"/>
        </w:rPr>
        <w:t xml:space="preserve"> </w:t>
      </w:r>
      <w:r w:rsidR="00FE55DA" w:rsidRPr="000A38E5">
        <w:rPr>
          <w:lang w:val="uk-UA"/>
        </w:rPr>
        <w:t>вище</w:t>
      </w:r>
      <w:r w:rsidR="00D83351" w:rsidRPr="00E93710">
        <w:rPr>
          <w:lang w:val="uk-UA"/>
        </w:rPr>
        <w:t xml:space="preserve">). </w:t>
      </w:r>
      <w:r w:rsidR="00FE55DA" w:rsidRPr="000A38E5">
        <w:rPr>
          <w:lang w:val="uk-UA"/>
        </w:rPr>
        <w:t>Вони стверджували, що не нападали на протестуючих</w:t>
      </w:r>
      <w:r w:rsidR="00D83351" w:rsidRPr="00E93710">
        <w:rPr>
          <w:lang w:val="uk-UA"/>
        </w:rPr>
        <w:t xml:space="preserve">, </w:t>
      </w:r>
      <w:r w:rsidR="00FE55DA" w:rsidRPr="000A38E5">
        <w:rPr>
          <w:lang w:val="uk-UA"/>
        </w:rPr>
        <w:t>не використовували ніякого спеціального обладнання,</w:t>
      </w:r>
      <w:r w:rsidR="00D83351" w:rsidRPr="00E93710">
        <w:rPr>
          <w:lang w:val="uk-UA"/>
        </w:rPr>
        <w:t xml:space="preserve"> </w:t>
      </w:r>
      <w:r w:rsidR="00FE55DA" w:rsidRPr="000A38E5">
        <w:rPr>
          <w:lang w:val="uk-UA"/>
        </w:rPr>
        <w:t>але дійсно відштовхували протестуючих від місця будівництва</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79</w:t>
      </w:r>
      <w:r w:rsidRPr="00E93710">
        <w:rPr>
          <w:noProof/>
          <w:lang w:val="uk-UA"/>
        </w:rPr>
        <w:fldChar w:fldCharType="end"/>
      </w:r>
      <w:r w:rsidR="00D83351" w:rsidRPr="00E93710">
        <w:rPr>
          <w:lang w:val="uk-UA"/>
        </w:rPr>
        <w:t>.</w:t>
      </w:r>
      <w:r w:rsidR="00334477" w:rsidRPr="000A38E5">
        <w:rPr>
          <w:lang w:val="uk-UA"/>
        </w:rPr>
        <w:t xml:space="preserve"> </w:t>
      </w:r>
      <w:r w:rsidR="00166778" w:rsidRPr="000A38E5">
        <w:rPr>
          <w:lang w:val="uk-UA"/>
        </w:rPr>
        <w:t>24 червня</w:t>
      </w:r>
      <w:r w:rsidR="00D83351" w:rsidRPr="00E93710">
        <w:rPr>
          <w:lang w:val="uk-UA"/>
        </w:rPr>
        <w:t xml:space="preserve"> 2010 </w:t>
      </w:r>
      <w:r w:rsidR="00166778" w:rsidRPr="000A38E5">
        <w:rPr>
          <w:lang w:val="uk-UA"/>
        </w:rPr>
        <w:t>р. Харківська міська прокуратура вирішила не порушувати кримінальні провадження</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80</w:t>
      </w:r>
      <w:r w:rsidRPr="00E93710">
        <w:rPr>
          <w:noProof/>
          <w:lang w:val="uk-UA"/>
        </w:rPr>
        <w:fldChar w:fldCharType="end"/>
      </w:r>
      <w:r w:rsidR="00D83351" w:rsidRPr="00E93710">
        <w:rPr>
          <w:lang w:val="uk-UA"/>
        </w:rPr>
        <w:t>.</w:t>
      </w:r>
      <w:r w:rsidR="00334477" w:rsidRPr="000A38E5">
        <w:rPr>
          <w:lang w:val="uk-UA"/>
        </w:rPr>
        <w:t xml:space="preserve"> </w:t>
      </w:r>
      <w:r w:rsidR="00166778" w:rsidRPr="000A38E5">
        <w:rPr>
          <w:lang w:val="uk-UA"/>
        </w:rPr>
        <w:t>4 серпня</w:t>
      </w:r>
      <w:r w:rsidR="00D83351" w:rsidRPr="00E93710">
        <w:rPr>
          <w:lang w:val="uk-UA"/>
        </w:rPr>
        <w:t xml:space="preserve"> 2010 </w:t>
      </w:r>
      <w:r w:rsidR="00166778" w:rsidRPr="000A38E5">
        <w:rPr>
          <w:lang w:val="uk-UA"/>
        </w:rPr>
        <w:t>р. Харківська обласна прокуратура скасувала рішення від</w:t>
      </w:r>
      <w:r w:rsidR="00D83351" w:rsidRPr="00E93710">
        <w:rPr>
          <w:lang w:val="uk-UA"/>
        </w:rPr>
        <w:t xml:space="preserve"> 24 </w:t>
      </w:r>
      <w:r w:rsidR="00166778" w:rsidRPr="000A38E5">
        <w:rPr>
          <w:lang w:val="uk-UA"/>
        </w:rPr>
        <w:t>червня</w:t>
      </w:r>
      <w:r w:rsidR="00D83351" w:rsidRPr="00E93710">
        <w:rPr>
          <w:lang w:val="uk-UA"/>
        </w:rPr>
        <w:t xml:space="preserve"> 2010 </w:t>
      </w:r>
      <w:r w:rsidR="00166778" w:rsidRPr="000A38E5">
        <w:rPr>
          <w:lang w:val="uk-UA"/>
        </w:rPr>
        <w:t>р. та наказала провести подальшу перевірку</w:t>
      </w:r>
      <w:r w:rsidR="00D83351" w:rsidRPr="00E93710">
        <w:rPr>
          <w:lang w:val="uk-UA"/>
        </w:rPr>
        <w:t>.</w:t>
      </w:r>
    </w:p>
    <w:p w:rsidR="00D83351" w:rsidRPr="000A38E5" w:rsidRDefault="00D83351" w:rsidP="00852217">
      <w:pPr>
        <w:pStyle w:val="ECHRHeading3"/>
        <w:rPr>
          <w:lang w:val="uk-UA"/>
        </w:rPr>
      </w:pPr>
      <w:r w:rsidRPr="00E93710">
        <w:rPr>
          <w:lang w:val="uk-UA"/>
        </w:rPr>
        <w:t>2.</w:t>
      </w:r>
      <w:r w:rsidR="00334477" w:rsidRPr="000A38E5">
        <w:rPr>
          <w:lang w:val="uk-UA"/>
        </w:rPr>
        <w:t xml:space="preserve"> </w:t>
      </w:r>
      <w:r w:rsidR="005276E3" w:rsidRPr="000A38E5">
        <w:rPr>
          <w:lang w:val="uk-UA"/>
        </w:rPr>
        <w:t>Рішення про відмову в порушенні кримінальних проваджень від 9 серпня</w:t>
      </w:r>
      <w:r w:rsidRPr="00E93710">
        <w:rPr>
          <w:lang w:val="uk-UA"/>
        </w:rPr>
        <w:t xml:space="preserve"> 2010 </w:t>
      </w:r>
      <w:r w:rsidR="005276E3" w:rsidRPr="000A38E5">
        <w:rPr>
          <w:lang w:val="uk-UA"/>
        </w:rPr>
        <w:t>р. та подальші апеляції</w:t>
      </w:r>
    </w:p>
    <w:bookmarkStart w:id="50" w:name="complaints_investigated"/>
    <w:p w:rsidR="00D83351" w:rsidRPr="000A38E5" w:rsidRDefault="004E7608" w:rsidP="00852217">
      <w:pPr>
        <w:pStyle w:val="ECHRPara"/>
        <w:rPr>
          <w:lang w:val="uk-UA"/>
        </w:rPr>
      </w:pPr>
      <w:r w:rsidRPr="00E93710">
        <w:rPr>
          <w:lang w:val="uk-UA"/>
        </w:rPr>
        <w:fldChar w:fldCharType="begin"/>
      </w:r>
      <w:r w:rsidR="00D83351" w:rsidRPr="000A38E5">
        <w:rPr>
          <w:lang w:val="uk-UA"/>
        </w:rPr>
        <w:instrText xml:space="preserve"> </w:instrText>
      </w:r>
      <w:r w:rsidR="00D83351" w:rsidRPr="00E93710">
        <w:rPr>
          <w:lang w:val="uk-UA"/>
        </w:rPr>
        <w:instrText>SEQ</w:instrText>
      </w:r>
      <w:r w:rsidR="00D83351" w:rsidRPr="000A38E5">
        <w:rPr>
          <w:lang w:val="uk-UA"/>
        </w:rPr>
        <w:instrText xml:space="preserve"> </w:instrText>
      </w:r>
      <w:r w:rsidR="00D83351" w:rsidRPr="00E93710">
        <w:rPr>
          <w:lang w:val="uk-UA"/>
        </w:rPr>
        <w:instrText>level</w:instrText>
      </w:r>
      <w:r w:rsidR="00D83351" w:rsidRPr="000A38E5">
        <w:rPr>
          <w:lang w:val="uk-UA"/>
        </w:rPr>
        <w:instrText>0 \*</w:instrText>
      </w:r>
      <w:r w:rsidR="00D83351" w:rsidRPr="00E93710">
        <w:rPr>
          <w:lang w:val="uk-UA"/>
        </w:rPr>
        <w:instrText>arabic</w:instrText>
      </w:r>
      <w:r w:rsidR="00D83351" w:rsidRPr="000A38E5">
        <w:rPr>
          <w:lang w:val="uk-UA"/>
        </w:rPr>
        <w:instrText xml:space="preserve"> </w:instrText>
      </w:r>
      <w:r w:rsidRPr="00E93710">
        <w:rPr>
          <w:lang w:val="uk-UA"/>
        </w:rPr>
        <w:fldChar w:fldCharType="separate"/>
      </w:r>
      <w:r w:rsidR="0075299E" w:rsidRPr="00E93710">
        <w:rPr>
          <w:noProof/>
          <w:lang w:val="uk-UA"/>
        </w:rPr>
        <w:t>81</w:t>
      </w:r>
      <w:r w:rsidRPr="00E93710">
        <w:rPr>
          <w:lang w:val="uk-UA"/>
        </w:rPr>
        <w:fldChar w:fldCharType="end"/>
      </w:r>
      <w:bookmarkEnd w:id="50"/>
      <w:r w:rsidR="00D83351" w:rsidRPr="000A38E5">
        <w:rPr>
          <w:lang w:val="uk-UA"/>
        </w:rPr>
        <w:t>.</w:t>
      </w:r>
      <w:r w:rsidR="00334477" w:rsidRPr="000A38E5">
        <w:rPr>
          <w:lang w:val="uk-UA"/>
        </w:rPr>
        <w:t xml:space="preserve"> </w:t>
      </w:r>
      <w:r w:rsidR="005276E3" w:rsidRPr="000A38E5">
        <w:rPr>
          <w:lang w:val="uk-UA"/>
        </w:rPr>
        <w:t>Після додаткових дослідчих перевірок</w:t>
      </w:r>
      <w:r w:rsidR="00D83351" w:rsidRPr="000A38E5">
        <w:rPr>
          <w:lang w:val="uk-UA"/>
        </w:rPr>
        <w:t>,</w:t>
      </w:r>
      <w:r w:rsidR="00D83351" w:rsidRPr="00E93710">
        <w:rPr>
          <w:lang w:val="uk-UA"/>
        </w:rPr>
        <w:t> </w:t>
      </w:r>
      <w:r w:rsidR="005276E3" w:rsidRPr="000A38E5">
        <w:rPr>
          <w:lang w:val="uk-UA"/>
        </w:rPr>
        <w:t>9 серпня</w:t>
      </w:r>
      <w:r w:rsidR="00D83351" w:rsidRPr="000A38E5">
        <w:rPr>
          <w:lang w:val="uk-UA"/>
        </w:rPr>
        <w:t xml:space="preserve"> 2010 </w:t>
      </w:r>
      <w:r w:rsidR="005276E3" w:rsidRPr="000A38E5">
        <w:rPr>
          <w:lang w:val="uk-UA"/>
        </w:rPr>
        <w:t>р. прокуратура вирішила не порушувати кримінальні провадження проти працівників</w:t>
      </w:r>
      <w:r w:rsidR="00D83351" w:rsidRPr="000A38E5">
        <w:rPr>
          <w:lang w:val="uk-UA"/>
        </w:rPr>
        <w:t xml:space="preserve"> </w:t>
      </w:r>
      <w:r w:rsidR="00D83351" w:rsidRPr="00E93710">
        <w:rPr>
          <w:lang w:val="uk-UA"/>
        </w:rPr>
        <w:t>A</w:t>
      </w:r>
      <w:r w:rsidR="00D83351" w:rsidRPr="000A38E5">
        <w:rPr>
          <w:lang w:val="uk-UA"/>
        </w:rPr>
        <w:t xml:space="preserve">. </w:t>
      </w:r>
      <w:r w:rsidR="005276E3" w:rsidRPr="000A38E5">
        <w:rPr>
          <w:lang w:val="uk-UA"/>
        </w:rPr>
        <w:t>та</w:t>
      </w:r>
      <w:r w:rsidR="00D83351" w:rsidRPr="000A38E5">
        <w:rPr>
          <w:lang w:val="uk-UA"/>
        </w:rPr>
        <w:t xml:space="preserve"> </w:t>
      </w:r>
      <w:r w:rsidR="00D83351" w:rsidRPr="00E93710">
        <w:rPr>
          <w:lang w:val="uk-UA"/>
        </w:rPr>
        <w:t>K</w:t>
      </w:r>
      <w:r w:rsidR="00D83351" w:rsidRPr="000A38E5">
        <w:rPr>
          <w:lang w:val="uk-UA"/>
        </w:rPr>
        <w:t xml:space="preserve">., </w:t>
      </w:r>
      <w:r w:rsidR="005276E3" w:rsidRPr="000A38E5">
        <w:rPr>
          <w:lang w:val="uk-UA"/>
        </w:rPr>
        <w:t xml:space="preserve">менеджерів головного </w:t>
      </w:r>
      <w:r w:rsidR="005276E3" w:rsidRPr="000A38E5">
        <w:rPr>
          <w:lang w:val="uk-UA"/>
        </w:rPr>
        <w:lastRenderedPageBreak/>
        <w:t>підрядника</w:t>
      </w:r>
      <w:r w:rsidR="00D83351" w:rsidRPr="000A38E5">
        <w:rPr>
          <w:lang w:val="uk-UA"/>
        </w:rPr>
        <w:t xml:space="preserve"> </w:t>
      </w:r>
      <w:r w:rsidR="005276E3" w:rsidRPr="000A38E5">
        <w:rPr>
          <w:lang w:val="uk-UA"/>
        </w:rPr>
        <w:t>та компаній-субпідрядників</w:t>
      </w:r>
      <w:r w:rsidR="00D83351" w:rsidRPr="000A38E5">
        <w:rPr>
          <w:lang w:val="uk-UA"/>
        </w:rPr>
        <w:t xml:space="preserve">, </w:t>
      </w:r>
      <w:proofErr w:type="spellStart"/>
      <w:r w:rsidR="003B2D38" w:rsidRPr="000A38E5">
        <w:rPr>
          <w:lang w:val="uk-UA"/>
        </w:rPr>
        <w:t>МО</w:t>
      </w:r>
      <w:proofErr w:type="spellEnd"/>
      <w:r w:rsidR="003B2D38" w:rsidRPr="000A38E5">
        <w:rPr>
          <w:lang w:val="uk-UA"/>
        </w:rPr>
        <w:t>, міської ради або її виконавчих органів</w:t>
      </w:r>
      <w:r w:rsidR="00D83351" w:rsidRPr="000A38E5">
        <w:rPr>
          <w:lang w:val="uk-UA"/>
        </w:rPr>
        <w:t xml:space="preserve">, </w:t>
      </w:r>
      <w:r w:rsidR="003B2D38" w:rsidRPr="000A38E5">
        <w:rPr>
          <w:lang w:val="uk-UA"/>
        </w:rPr>
        <w:t xml:space="preserve">у тому числі </w:t>
      </w:r>
      <w:proofErr w:type="spellStart"/>
      <w:r w:rsidR="003B2D38" w:rsidRPr="000A38E5">
        <w:rPr>
          <w:lang w:val="uk-UA"/>
        </w:rPr>
        <w:t>Департамента</w:t>
      </w:r>
      <w:proofErr w:type="spellEnd"/>
      <w:r w:rsidR="003B2D38" w:rsidRPr="000A38E5">
        <w:rPr>
          <w:lang w:val="uk-UA"/>
        </w:rPr>
        <w:t xml:space="preserve"> муніципального будівництва</w:t>
      </w:r>
      <w:r w:rsidR="00D83351" w:rsidRPr="000A38E5">
        <w:rPr>
          <w:lang w:val="uk-UA"/>
        </w:rPr>
        <w:t xml:space="preserve">, </w:t>
      </w:r>
      <w:r w:rsidR="003B2D38" w:rsidRPr="000A38E5">
        <w:rPr>
          <w:lang w:val="uk-UA"/>
        </w:rPr>
        <w:t>через відсутність складу злочину в їх діях</w:t>
      </w:r>
      <w:r w:rsidR="00D83351" w:rsidRPr="000A38E5">
        <w:rPr>
          <w:lang w:val="uk-UA"/>
        </w:rPr>
        <w:t>.</w:t>
      </w:r>
    </w:p>
    <w:p w:rsidR="00D83351" w:rsidRPr="000A38E5" w:rsidRDefault="003B2D38" w:rsidP="00852217">
      <w:pPr>
        <w:pStyle w:val="ECHRPara"/>
        <w:rPr>
          <w:lang w:val="uk-UA"/>
        </w:rPr>
      </w:pPr>
      <w:r w:rsidRPr="000A38E5">
        <w:rPr>
          <w:lang w:val="uk-UA"/>
        </w:rPr>
        <w:t>В рішенні стверджувалося, що воно було результатом розслідування,</w:t>
      </w:r>
      <w:r w:rsidR="00D83351" w:rsidRPr="00E93710">
        <w:rPr>
          <w:lang w:val="uk-UA"/>
        </w:rPr>
        <w:t xml:space="preserve"> </w:t>
      </w:r>
      <w:r w:rsidRPr="000A38E5">
        <w:rPr>
          <w:lang w:val="uk-UA"/>
        </w:rPr>
        <w:t>проведеного у відповідь на значну кількість</w:t>
      </w:r>
      <w:r w:rsidR="00D83351" w:rsidRPr="00E93710">
        <w:rPr>
          <w:lang w:val="uk-UA"/>
        </w:rPr>
        <w:t xml:space="preserve"> </w:t>
      </w:r>
      <w:r w:rsidRPr="000A38E5">
        <w:rPr>
          <w:lang w:val="uk-UA"/>
        </w:rPr>
        <w:t>скарг у зв’язку з</w:t>
      </w:r>
      <w:r w:rsidR="00D83351" w:rsidRPr="00E93710">
        <w:rPr>
          <w:lang w:val="uk-UA"/>
        </w:rPr>
        <w:t xml:space="preserve"> </w:t>
      </w:r>
      <w:r w:rsidRPr="000A38E5">
        <w:rPr>
          <w:lang w:val="uk-UA"/>
        </w:rPr>
        <w:t xml:space="preserve">подіями у парку </w:t>
      </w:r>
      <w:r w:rsidR="0085000B" w:rsidRPr="000A38E5">
        <w:rPr>
          <w:lang w:val="uk-UA"/>
        </w:rPr>
        <w:t>ім.</w:t>
      </w:r>
      <w:r w:rsidRPr="000A38E5">
        <w:rPr>
          <w:lang w:val="uk-UA"/>
        </w:rPr>
        <w:t xml:space="preserve"> Горького</w:t>
      </w:r>
      <w:r w:rsidR="00D83351" w:rsidRPr="000A38E5">
        <w:rPr>
          <w:lang w:val="uk-UA"/>
        </w:rPr>
        <w:t xml:space="preserve">, </w:t>
      </w:r>
      <w:r w:rsidR="007904B6" w:rsidRPr="000A38E5">
        <w:rPr>
          <w:lang w:val="uk-UA"/>
        </w:rPr>
        <w:t>у тому числі від декількох парламентарів</w:t>
      </w:r>
      <w:r w:rsidR="00D83351" w:rsidRPr="000A38E5">
        <w:rPr>
          <w:lang w:val="uk-UA"/>
        </w:rPr>
        <w:t xml:space="preserve">, </w:t>
      </w:r>
      <w:r w:rsidR="00CC08EA" w:rsidRPr="000A38E5">
        <w:rPr>
          <w:lang w:val="uk-UA"/>
        </w:rPr>
        <w:t>члена обласної ради</w:t>
      </w:r>
      <w:r w:rsidR="00D83351" w:rsidRPr="000A38E5">
        <w:rPr>
          <w:lang w:val="uk-UA"/>
        </w:rPr>
        <w:t xml:space="preserve">, </w:t>
      </w:r>
      <w:r w:rsidR="00CC08EA" w:rsidRPr="000A38E5">
        <w:rPr>
          <w:lang w:val="uk-UA"/>
        </w:rPr>
        <w:t>НУО «Печеніги»</w:t>
      </w:r>
      <w:r w:rsidR="00D83351" w:rsidRPr="000A38E5">
        <w:rPr>
          <w:lang w:val="uk-UA"/>
        </w:rPr>
        <w:t xml:space="preserve"> (</w:t>
      </w:r>
      <w:r w:rsidR="004C39C8" w:rsidRPr="000A38E5">
        <w:rPr>
          <w:lang w:val="uk-UA"/>
        </w:rPr>
        <w:t>див. пункт</w:t>
      </w:r>
      <w:r w:rsidR="00D83351" w:rsidRPr="000A38E5">
        <w:rPr>
          <w:lang w:val="uk-UA"/>
        </w:rPr>
        <w:t xml:space="preserve"> </w:t>
      </w:r>
      <w:fldSimple w:instr=" REF police_report_law_enforcement_measures \h  \* MERGEFORMAT ">
        <w:r w:rsidR="0075299E" w:rsidRPr="00E93710">
          <w:rPr>
            <w:noProof/>
            <w:lang w:val="uk-UA"/>
          </w:rPr>
          <w:t>76</w:t>
        </w:r>
      </w:fldSimple>
      <w:r w:rsidR="00D83351" w:rsidRPr="000A38E5">
        <w:rPr>
          <w:lang w:val="uk-UA"/>
        </w:rPr>
        <w:t xml:space="preserve"> </w:t>
      </w:r>
      <w:r w:rsidR="004C39C8" w:rsidRPr="000A38E5">
        <w:rPr>
          <w:lang w:val="uk-UA"/>
        </w:rPr>
        <w:t>вище</w:t>
      </w:r>
      <w:r w:rsidR="00D83351" w:rsidRPr="000A38E5">
        <w:rPr>
          <w:lang w:val="uk-UA"/>
        </w:rPr>
        <w:t xml:space="preserve">), </w:t>
      </w:r>
      <w:r w:rsidR="004C39C8" w:rsidRPr="000A38E5">
        <w:rPr>
          <w:lang w:val="uk-UA"/>
        </w:rPr>
        <w:t>ряду журналістів та ряду протестуючих</w:t>
      </w:r>
      <w:r w:rsidR="00D83351" w:rsidRPr="000A38E5">
        <w:rPr>
          <w:lang w:val="uk-UA"/>
        </w:rPr>
        <w:t xml:space="preserve">, </w:t>
      </w:r>
      <w:r w:rsidR="005366D2" w:rsidRPr="000A38E5">
        <w:rPr>
          <w:lang w:val="uk-UA"/>
        </w:rPr>
        <w:t>у тому числі тодішнього представника заявників</w:t>
      </w:r>
      <w:r w:rsidR="00D83351" w:rsidRPr="000A38E5">
        <w:rPr>
          <w:lang w:val="uk-UA"/>
        </w:rPr>
        <w:t xml:space="preserve">, </w:t>
      </w:r>
      <w:r w:rsidR="005366D2" w:rsidRPr="000A38E5">
        <w:rPr>
          <w:lang w:val="uk-UA"/>
        </w:rPr>
        <w:t xml:space="preserve">пана </w:t>
      </w:r>
      <w:proofErr w:type="spellStart"/>
      <w:r w:rsidR="005366D2" w:rsidRPr="000A38E5">
        <w:rPr>
          <w:lang w:val="uk-UA"/>
        </w:rPr>
        <w:t>Бущенк</w:t>
      </w:r>
      <w:r w:rsidR="008D56AD" w:rsidRPr="000A38E5">
        <w:rPr>
          <w:lang w:val="uk-UA"/>
        </w:rPr>
        <w:t>а</w:t>
      </w:r>
      <w:proofErr w:type="spellEnd"/>
      <w:r w:rsidR="00D83351" w:rsidRPr="000A38E5">
        <w:rPr>
          <w:lang w:val="uk-UA"/>
        </w:rPr>
        <w:t xml:space="preserve"> (</w:t>
      </w:r>
      <w:r w:rsidR="00332384" w:rsidRPr="000A38E5">
        <w:rPr>
          <w:lang w:val="uk-UA"/>
        </w:rPr>
        <w:t>див. пункт</w:t>
      </w:r>
      <w:r w:rsidR="00D83351" w:rsidRPr="000A38E5">
        <w:rPr>
          <w:lang w:val="uk-UA"/>
        </w:rPr>
        <w:t xml:space="preserve"> </w:t>
      </w:r>
      <w:fldSimple w:instr=" REF representatives \h  \* MERGEFORMAT ">
        <w:r w:rsidR="0075299E" w:rsidRPr="00E93710">
          <w:rPr>
            <w:noProof/>
            <w:lang w:val="uk-UA"/>
          </w:rPr>
          <w:t>2</w:t>
        </w:r>
      </w:fldSimple>
      <w:r w:rsidR="00D83351" w:rsidRPr="000A38E5">
        <w:rPr>
          <w:lang w:val="uk-UA"/>
        </w:rPr>
        <w:t xml:space="preserve"> </w:t>
      </w:r>
      <w:r w:rsidR="00332384" w:rsidRPr="000A38E5">
        <w:rPr>
          <w:lang w:val="uk-UA"/>
        </w:rPr>
        <w:t>вище</w:t>
      </w:r>
      <w:r w:rsidR="00D83351" w:rsidRPr="000A38E5">
        <w:rPr>
          <w:lang w:val="uk-UA"/>
        </w:rPr>
        <w:t xml:space="preserve">), </w:t>
      </w:r>
      <w:r w:rsidR="00E13DCB" w:rsidRPr="000A38E5">
        <w:rPr>
          <w:lang w:val="uk-UA"/>
        </w:rPr>
        <w:t>а також сьомого та дев’ятого заявників</w:t>
      </w:r>
      <w:r w:rsidR="00D83351" w:rsidRPr="000A38E5">
        <w:rPr>
          <w:lang w:val="uk-UA"/>
        </w:rPr>
        <w:t xml:space="preserve">. </w:t>
      </w:r>
      <w:r w:rsidR="007C3119" w:rsidRPr="000A38E5">
        <w:rPr>
          <w:lang w:val="uk-UA"/>
        </w:rPr>
        <w:t>В</w:t>
      </w:r>
      <w:r w:rsidR="00E13DCB" w:rsidRPr="000A38E5">
        <w:rPr>
          <w:lang w:val="uk-UA"/>
        </w:rPr>
        <w:t>оно також посилалося на постанови Верховного Суду від</w:t>
      </w:r>
      <w:r w:rsidR="00D83351" w:rsidRPr="000A38E5">
        <w:rPr>
          <w:lang w:val="uk-UA"/>
        </w:rPr>
        <w:t xml:space="preserve"> 26</w:t>
      </w:r>
      <w:r w:rsidR="00D83351" w:rsidRPr="00E93710">
        <w:rPr>
          <w:lang w:val="uk-UA"/>
        </w:rPr>
        <w:t> </w:t>
      </w:r>
      <w:r w:rsidR="00E13DCB" w:rsidRPr="000A38E5">
        <w:rPr>
          <w:lang w:val="uk-UA"/>
        </w:rPr>
        <w:t>травня та 14 липня</w:t>
      </w:r>
      <w:r w:rsidR="00D83351" w:rsidRPr="000A38E5">
        <w:rPr>
          <w:lang w:val="uk-UA"/>
        </w:rPr>
        <w:t xml:space="preserve"> 2010 </w:t>
      </w:r>
      <w:r w:rsidR="00C07F31" w:rsidRPr="000A38E5">
        <w:rPr>
          <w:lang w:val="uk-UA"/>
        </w:rPr>
        <w:t xml:space="preserve">р. </w:t>
      </w:r>
      <w:r w:rsidR="000364D8" w:rsidRPr="000A38E5">
        <w:rPr>
          <w:lang w:val="uk-UA"/>
        </w:rPr>
        <w:t>у</w:t>
      </w:r>
      <w:r w:rsidR="00C07F31" w:rsidRPr="000A38E5">
        <w:rPr>
          <w:lang w:val="uk-UA"/>
        </w:rPr>
        <w:t xml:space="preserve"> справі певної пані Є</w:t>
      </w:r>
      <w:r w:rsidR="00D83351" w:rsidRPr="000A38E5">
        <w:rPr>
          <w:lang w:val="uk-UA"/>
        </w:rPr>
        <w:t xml:space="preserve">. </w:t>
      </w:r>
      <w:r w:rsidR="00C07F31" w:rsidRPr="000A38E5">
        <w:rPr>
          <w:lang w:val="uk-UA"/>
        </w:rPr>
        <w:t>проти виконавчого комітету стосовно проекту будівництва</w:t>
      </w:r>
      <w:r w:rsidR="00D83351" w:rsidRPr="000A38E5">
        <w:rPr>
          <w:lang w:val="uk-UA"/>
        </w:rPr>
        <w:t xml:space="preserve"> </w:t>
      </w:r>
      <w:r w:rsidR="00C07F31" w:rsidRPr="000A38E5">
        <w:rPr>
          <w:lang w:val="uk-UA"/>
        </w:rPr>
        <w:t>в якості початку розслідування</w:t>
      </w:r>
      <w:r w:rsidR="00D83351" w:rsidRPr="000A38E5">
        <w:rPr>
          <w:lang w:val="uk-UA"/>
        </w:rPr>
        <w:t>.</w:t>
      </w:r>
    </w:p>
    <w:bookmarkStart w:id="51" w:name="investigation_decision_wits_and_video"/>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82</w:t>
      </w:r>
      <w:r w:rsidRPr="00E93710">
        <w:rPr>
          <w:lang w:val="uk-UA"/>
        </w:rPr>
        <w:fldChar w:fldCharType="end"/>
      </w:r>
      <w:bookmarkEnd w:id="51"/>
      <w:r w:rsidR="00D83351" w:rsidRPr="00E93710">
        <w:rPr>
          <w:lang w:val="uk-UA"/>
        </w:rPr>
        <w:t>.</w:t>
      </w:r>
      <w:r w:rsidR="00334477" w:rsidRPr="000A38E5">
        <w:rPr>
          <w:lang w:val="uk-UA"/>
        </w:rPr>
        <w:t xml:space="preserve"> </w:t>
      </w:r>
      <w:r w:rsidR="00EE4CCB" w:rsidRPr="000A38E5">
        <w:rPr>
          <w:lang w:val="uk-UA"/>
        </w:rPr>
        <w:t>У рішенні говорилося, що в ході розслідування</w:t>
      </w:r>
      <w:r w:rsidR="00D83351" w:rsidRPr="00E93710">
        <w:rPr>
          <w:lang w:val="uk-UA"/>
        </w:rPr>
        <w:t xml:space="preserve"> </w:t>
      </w:r>
      <w:r w:rsidR="00EE4CCB" w:rsidRPr="000A38E5">
        <w:rPr>
          <w:lang w:val="uk-UA"/>
        </w:rPr>
        <w:t>були допитані більше сотні осіб</w:t>
      </w:r>
      <w:r w:rsidR="00D83351" w:rsidRPr="00E93710">
        <w:rPr>
          <w:lang w:val="uk-UA"/>
        </w:rPr>
        <w:t xml:space="preserve">, </w:t>
      </w:r>
      <w:r w:rsidR="00EE4CCB" w:rsidRPr="000A38E5">
        <w:rPr>
          <w:lang w:val="uk-UA"/>
        </w:rPr>
        <w:t>у тому числі протестуючі, міліціонери</w:t>
      </w:r>
      <w:r w:rsidR="00D83351" w:rsidRPr="00E93710">
        <w:rPr>
          <w:lang w:val="uk-UA"/>
        </w:rPr>
        <w:t xml:space="preserve">, </w:t>
      </w:r>
      <w:r w:rsidR="00EE4CCB" w:rsidRPr="000A38E5">
        <w:rPr>
          <w:lang w:val="uk-UA"/>
        </w:rPr>
        <w:t>працівники головного підрядника</w:t>
      </w:r>
      <w:r w:rsidR="00D83351" w:rsidRPr="00E93710">
        <w:rPr>
          <w:lang w:val="uk-UA"/>
        </w:rPr>
        <w:t xml:space="preserve"> </w:t>
      </w:r>
      <w:r w:rsidR="00EE4CCB" w:rsidRPr="000A38E5">
        <w:rPr>
          <w:lang w:val="uk-UA"/>
        </w:rPr>
        <w:t xml:space="preserve">та субпідрядників, та персонал </w:t>
      </w:r>
      <w:proofErr w:type="spellStart"/>
      <w:r w:rsidR="00EE4CCB" w:rsidRPr="000A38E5">
        <w:rPr>
          <w:lang w:val="uk-UA"/>
        </w:rPr>
        <w:t>МО</w:t>
      </w:r>
      <w:proofErr w:type="spellEnd"/>
      <w:r w:rsidR="00D83351" w:rsidRPr="00E93710">
        <w:rPr>
          <w:lang w:val="uk-UA"/>
        </w:rPr>
        <w:t xml:space="preserve">. </w:t>
      </w:r>
      <w:r w:rsidR="002821A4" w:rsidRPr="000A38E5">
        <w:rPr>
          <w:lang w:val="uk-UA"/>
        </w:rPr>
        <w:t>Прокуратура також розглянула фотографії та відеозаписи</w:t>
      </w:r>
      <w:r w:rsidR="00D83351" w:rsidRPr="00E93710">
        <w:rPr>
          <w:lang w:val="uk-UA"/>
        </w:rPr>
        <w:t xml:space="preserve"> </w:t>
      </w:r>
      <w:r w:rsidR="002821A4" w:rsidRPr="000A38E5">
        <w:rPr>
          <w:lang w:val="uk-UA"/>
        </w:rPr>
        <w:t>подій, у тому числі записи, надані ЗМІ</w:t>
      </w:r>
      <w:r w:rsidR="00D83351" w:rsidRPr="00E93710">
        <w:rPr>
          <w:lang w:val="uk-UA"/>
        </w:rPr>
        <w:t xml:space="preserve">, </w:t>
      </w:r>
      <w:r w:rsidR="002821A4" w:rsidRPr="000A38E5">
        <w:rPr>
          <w:lang w:val="uk-UA"/>
        </w:rPr>
        <w:t>заявниками та НУО</w:t>
      </w:r>
      <w:r w:rsidR="00D83351" w:rsidRPr="00E93710">
        <w:rPr>
          <w:lang w:val="uk-UA"/>
        </w:rPr>
        <w:t>.</w:t>
      </w:r>
    </w:p>
    <w:bookmarkStart w:id="52" w:name="investigation_decision_28_may_events"/>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83</w:t>
      </w:r>
      <w:r w:rsidRPr="00E93710">
        <w:rPr>
          <w:lang w:val="uk-UA"/>
        </w:rPr>
        <w:fldChar w:fldCharType="end"/>
      </w:r>
      <w:bookmarkEnd w:id="52"/>
      <w:r w:rsidR="00D83351" w:rsidRPr="00E93710">
        <w:rPr>
          <w:lang w:val="uk-UA"/>
        </w:rPr>
        <w:t>.</w:t>
      </w:r>
      <w:r w:rsidR="00334477" w:rsidRPr="000A38E5">
        <w:rPr>
          <w:lang w:val="uk-UA"/>
        </w:rPr>
        <w:t xml:space="preserve"> </w:t>
      </w:r>
      <w:r w:rsidR="00080989" w:rsidRPr="000A38E5">
        <w:rPr>
          <w:lang w:val="uk-UA"/>
        </w:rPr>
        <w:t>Що стосується подій 28 травня</w:t>
      </w:r>
      <w:r w:rsidR="00D83351" w:rsidRPr="00E93710">
        <w:rPr>
          <w:lang w:val="uk-UA"/>
        </w:rPr>
        <w:t xml:space="preserve"> 2010</w:t>
      </w:r>
      <w:r w:rsidR="00080989" w:rsidRPr="000A38E5">
        <w:rPr>
          <w:lang w:val="uk-UA"/>
        </w:rPr>
        <w:t xml:space="preserve"> р.</w:t>
      </w:r>
      <w:r w:rsidR="00D83351" w:rsidRPr="00E93710">
        <w:rPr>
          <w:lang w:val="uk-UA"/>
        </w:rPr>
        <w:t xml:space="preserve">, </w:t>
      </w:r>
      <w:r w:rsidR="00FA222A" w:rsidRPr="000A38E5">
        <w:rPr>
          <w:lang w:val="uk-UA"/>
        </w:rPr>
        <w:t>прокуратура описала</w:t>
      </w:r>
      <w:r w:rsidR="00334477" w:rsidRPr="000A38E5">
        <w:rPr>
          <w:lang w:val="uk-UA"/>
        </w:rPr>
        <w:t xml:space="preserve"> </w:t>
      </w:r>
      <w:r w:rsidR="00FA222A" w:rsidRPr="000A38E5">
        <w:rPr>
          <w:lang w:val="uk-UA"/>
        </w:rPr>
        <w:t>факти наступним чином: біля 7 години ранку працівники головного підрядника</w:t>
      </w:r>
      <w:r w:rsidR="00D83351" w:rsidRPr="00E93710">
        <w:rPr>
          <w:lang w:val="uk-UA"/>
        </w:rPr>
        <w:t xml:space="preserve"> </w:t>
      </w:r>
      <w:r w:rsidR="00FA222A" w:rsidRPr="000A38E5">
        <w:rPr>
          <w:lang w:val="uk-UA"/>
        </w:rPr>
        <w:t>позначили межі місця будівництва стрічкою</w:t>
      </w:r>
      <w:r w:rsidR="00655A07" w:rsidRPr="000A38E5">
        <w:rPr>
          <w:lang w:val="uk-UA"/>
        </w:rPr>
        <w:t>,</w:t>
      </w:r>
      <w:r w:rsidR="00D83351" w:rsidRPr="00E93710">
        <w:rPr>
          <w:lang w:val="uk-UA"/>
        </w:rPr>
        <w:t xml:space="preserve"> </w:t>
      </w:r>
      <w:r w:rsidR="00655A07" w:rsidRPr="000A38E5">
        <w:rPr>
          <w:lang w:val="uk-UA"/>
        </w:rPr>
        <w:t xml:space="preserve">а співробітники </w:t>
      </w:r>
      <w:proofErr w:type="spellStart"/>
      <w:r w:rsidR="00655A07" w:rsidRPr="000A38E5">
        <w:rPr>
          <w:lang w:val="uk-UA"/>
        </w:rPr>
        <w:t>МО</w:t>
      </w:r>
      <w:proofErr w:type="spellEnd"/>
      <w:r w:rsidR="00655A07" w:rsidRPr="000A38E5">
        <w:rPr>
          <w:lang w:val="uk-UA"/>
        </w:rPr>
        <w:t xml:space="preserve"> взяли на себе обов’язки щодо охорони</w:t>
      </w:r>
      <w:r w:rsidR="00D83351" w:rsidRPr="00E93710">
        <w:rPr>
          <w:lang w:val="uk-UA"/>
        </w:rPr>
        <w:t xml:space="preserve">. </w:t>
      </w:r>
      <w:r w:rsidR="00655A07" w:rsidRPr="000A38E5">
        <w:rPr>
          <w:lang w:val="uk-UA"/>
        </w:rPr>
        <w:t xml:space="preserve">Після того співробітники </w:t>
      </w:r>
      <w:proofErr w:type="spellStart"/>
      <w:r w:rsidR="00655A07" w:rsidRPr="000A38E5">
        <w:rPr>
          <w:lang w:val="uk-UA"/>
        </w:rPr>
        <w:t>МО</w:t>
      </w:r>
      <w:proofErr w:type="spellEnd"/>
      <w:r w:rsidR="00655A07" w:rsidRPr="000A38E5">
        <w:rPr>
          <w:lang w:val="uk-UA"/>
        </w:rPr>
        <w:t xml:space="preserve"> попросили усіх осіб, які на той час</w:t>
      </w:r>
      <w:r w:rsidR="00D83351" w:rsidRPr="00E93710">
        <w:rPr>
          <w:lang w:val="uk-UA"/>
        </w:rPr>
        <w:t xml:space="preserve"> </w:t>
      </w:r>
      <w:r w:rsidR="00655A07" w:rsidRPr="000A38E5">
        <w:rPr>
          <w:lang w:val="uk-UA"/>
        </w:rPr>
        <w:t>знаходилися у периметрі, залишити територію</w:t>
      </w:r>
      <w:r w:rsidR="00D83351" w:rsidRPr="00E93710">
        <w:rPr>
          <w:lang w:val="uk-UA"/>
        </w:rPr>
        <w:t xml:space="preserve"> </w:t>
      </w:r>
      <w:r w:rsidR="00655A07" w:rsidRPr="000A38E5">
        <w:rPr>
          <w:lang w:val="uk-UA"/>
        </w:rPr>
        <w:t>для уникнення ризику травмування будівельним обладнанням</w:t>
      </w:r>
      <w:r w:rsidR="00D83351" w:rsidRPr="00E93710">
        <w:rPr>
          <w:lang w:val="uk-UA"/>
        </w:rPr>
        <w:t xml:space="preserve">. </w:t>
      </w:r>
      <w:r w:rsidR="00BD7933" w:rsidRPr="000A38E5">
        <w:rPr>
          <w:lang w:val="uk-UA"/>
        </w:rPr>
        <w:t>Коли протестуючі відмовилися, керівництво головного підрядника</w:t>
      </w:r>
      <w:r w:rsidR="00D83351" w:rsidRPr="00E93710">
        <w:rPr>
          <w:lang w:val="uk-UA"/>
        </w:rPr>
        <w:t xml:space="preserve"> </w:t>
      </w:r>
      <w:r w:rsidR="00BD7933" w:rsidRPr="000A38E5">
        <w:rPr>
          <w:lang w:val="uk-UA"/>
        </w:rPr>
        <w:t>звернулося до міліції за допомогою у видаленні осіб</w:t>
      </w:r>
      <w:r w:rsidR="00D83351" w:rsidRPr="00E93710">
        <w:rPr>
          <w:lang w:val="uk-UA"/>
        </w:rPr>
        <w:t xml:space="preserve"> </w:t>
      </w:r>
      <w:r w:rsidR="00BD7933" w:rsidRPr="000A38E5">
        <w:rPr>
          <w:lang w:val="uk-UA"/>
        </w:rPr>
        <w:t>з місця будівництва</w:t>
      </w:r>
      <w:r w:rsidR="00D83351" w:rsidRPr="00E93710">
        <w:rPr>
          <w:lang w:val="uk-UA"/>
        </w:rPr>
        <w:t xml:space="preserve">. </w:t>
      </w:r>
      <w:r w:rsidR="00BD7933" w:rsidRPr="000A38E5">
        <w:rPr>
          <w:lang w:val="uk-UA"/>
        </w:rPr>
        <w:t>Після цього деякі протестуючі були заарештовані, оскільки відмовилися залишити територію</w:t>
      </w:r>
      <w:r w:rsidR="00D83351" w:rsidRPr="00E93710">
        <w:rPr>
          <w:lang w:val="uk-UA"/>
        </w:rPr>
        <w:t>.</w:t>
      </w:r>
    </w:p>
    <w:bookmarkStart w:id="53" w:name="investigation_private_security_on_site"/>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84</w:t>
      </w:r>
      <w:r w:rsidRPr="00E93710">
        <w:rPr>
          <w:lang w:val="uk-UA"/>
        </w:rPr>
        <w:fldChar w:fldCharType="end"/>
      </w:r>
      <w:bookmarkEnd w:id="53"/>
      <w:r w:rsidR="00D83351" w:rsidRPr="00E93710">
        <w:rPr>
          <w:lang w:val="uk-UA"/>
        </w:rPr>
        <w:t>.</w:t>
      </w:r>
      <w:r w:rsidR="00334477" w:rsidRPr="000A38E5">
        <w:rPr>
          <w:lang w:val="uk-UA"/>
        </w:rPr>
        <w:t xml:space="preserve"> </w:t>
      </w:r>
      <w:r w:rsidR="007C1A2F" w:rsidRPr="000A38E5">
        <w:rPr>
          <w:lang w:val="uk-UA"/>
        </w:rPr>
        <w:t>Персонал ПО</w:t>
      </w:r>
      <w:r w:rsidR="00D83351" w:rsidRPr="00E93710">
        <w:rPr>
          <w:lang w:val="uk-UA"/>
        </w:rPr>
        <w:t xml:space="preserve"> </w:t>
      </w:r>
      <w:r w:rsidR="007C1A2F" w:rsidRPr="000A38E5">
        <w:rPr>
          <w:lang w:val="uk-UA"/>
        </w:rPr>
        <w:t>надавав охоронні послуги на місці будівництва з 28 травня до</w:t>
      </w:r>
      <w:r w:rsidR="00D83351" w:rsidRPr="00E93710">
        <w:rPr>
          <w:lang w:val="uk-UA"/>
        </w:rPr>
        <w:t xml:space="preserve"> 2 </w:t>
      </w:r>
      <w:r w:rsidR="007C1A2F" w:rsidRPr="000A38E5">
        <w:rPr>
          <w:lang w:val="uk-UA"/>
        </w:rPr>
        <w:t>червня</w:t>
      </w:r>
      <w:r w:rsidR="00D83351" w:rsidRPr="00E93710">
        <w:rPr>
          <w:lang w:val="uk-UA"/>
        </w:rPr>
        <w:t xml:space="preserve"> 2010</w:t>
      </w:r>
      <w:r w:rsidR="007C1A2F" w:rsidRPr="00E93710">
        <w:rPr>
          <w:lang w:val="uk-UA"/>
        </w:rPr>
        <w:t xml:space="preserve"> р</w:t>
      </w:r>
      <w:r w:rsidR="00D83351" w:rsidRPr="00E93710">
        <w:rPr>
          <w:lang w:val="uk-UA"/>
        </w:rPr>
        <w:t xml:space="preserve">. </w:t>
      </w:r>
      <w:r w:rsidR="001D5009" w:rsidRPr="000A38E5">
        <w:rPr>
          <w:lang w:val="uk-UA"/>
        </w:rPr>
        <w:t>Під час допитування приватні охоронці стверджували,</w:t>
      </w:r>
      <w:r w:rsidR="00D83351" w:rsidRPr="00E93710">
        <w:rPr>
          <w:lang w:val="uk-UA"/>
        </w:rPr>
        <w:t xml:space="preserve"> </w:t>
      </w:r>
      <w:r w:rsidR="001D5009" w:rsidRPr="000A38E5">
        <w:rPr>
          <w:lang w:val="uk-UA"/>
        </w:rPr>
        <w:t>що уникали будь-якого конфлікту з протестуючими</w:t>
      </w:r>
      <w:r w:rsidR="00D83351" w:rsidRPr="00E93710">
        <w:rPr>
          <w:lang w:val="uk-UA"/>
        </w:rPr>
        <w:t xml:space="preserve"> </w:t>
      </w:r>
      <w:r w:rsidR="001D5009" w:rsidRPr="000A38E5">
        <w:rPr>
          <w:lang w:val="uk-UA"/>
        </w:rPr>
        <w:t>та не нападали на них</w:t>
      </w:r>
      <w:r w:rsidR="00D83351" w:rsidRPr="00E93710">
        <w:rPr>
          <w:lang w:val="uk-UA"/>
        </w:rPr>
        <w:t xml:space="preserve">, </w:t>
      </w:r>
      <w:r w:rsidR="001D5009" w:rsidRPr="000A38E5">
        <w:rPr>
          <w:lang w:val="uk-UA"/>
        </w:rPr>
        <w:t>незважаючи на провокаційну поведінку з боку протестуючих</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85</w:t>
      </w:r>
      <w:r w:rsidRPr="00E93710">
        <w:rPr>
          <w:noProof/>
          <w:lang w:val="uk-UA"/>
        </w:rPr>
        <w:fldChar w:fldCharType="end"/>
      </w:r>
      <w:r w:rsidR="00D83351" w:rsidRPr="00E93710">
        <w:rPr>
          <w:lang w:val="uk-UA"/>
        </w:rPr>
        <w:t>.</w:t>
      </w:r>
      <w:r w:rsidR="00334477" w:rsidRPr="000A38E5">
        <w:rPr>
          <w:lang w:val="uk-UA"/>
        </w:rPr>
        <w:t xml:space="preserve"> </w:t>
      </w:r>
      <w:r w:rsidR="00F073BF" w:rsidRPr="000A38E5">
        <w:rPr>
          <w:lang w:val="uk-UA"/>
        </w:rPr>
        <w:t>Прокуратура дійшла висновку, що ніякі положення кримінального законодавства</w:t>
      </w:r>
      <w:r w:rsidR="00D83351" w:rsidRPr="00E93710">
        <w:rPr>
          <w:lang w:val="uk-UA"/>
        </w:rPr>
        <w:t xml:space="preserve"> </w:t>
      </w:r>
      <w:r w:rsidR="00F073BF" w:rsidRPr="000A38E5">
        <w:rPr>
          <w:lang w:val="uk-UA"/>
        </w:rPr>
        <w:t>не були порушені в ході видання дозволів стосовно проекту</w:t>
      </w:r>
      <w:r w:rsidR="00D83351" w:rsidRPr="00E93710">
        <w:rPr>
          <w:lang w:val="uk-UA"/>
        </w:rPr>
        <w:t xml:space="preserve">, </w:t>
      </w:r>
      <w:r w:rsidR="00F073BF" w:rsidRPr="000A38E5">
        <w:rPr>
          <w:lang w:val="uk-UA"/>
        </w:rPr>
        <w:t>повалення дерев, будівництва або взаємодії з протестуючими</w:t>
      </w:r>
      <w:r w:rsidR="00D83351" w:rsidRPr="00E93710">
        <w:rPr>
          <w:lang w:val="uk-UA"/>
        </w:rPr>
        <w:t xml:space="preserve">. </w:t>
      </w:r>
      <w:r w:rsidR="00F073BF" w:rsidRPr="000A38E5">
        <w:rPr>
          <w:lang w:val="uk-UA"/>
        </w:rPr>
        <w:t>Робітники А. та</w:t>
      </w:r>
      <w:r w:rsidR="00D83351" w:rsidRPr="00E93710">
        <w:rPr>
          <w:lang w:val="uk-UA"/>
        </w:rPr>
        <w:t xml:space="preserve"> K. </w:t>
      </w:r>
      <w:r w:rsidR="00F073BF" w:rsidRPr="000A38E5">
        <w:rPr>
          <w:lang w:val="uk-UA"/>
        </w:rPr>
        <w:t>не скоїли ніякого порушення за підстав, встановлених у наданій Урядом версії подій від</w:t>
      </w:r>
      <w:r w:rsidR="00D83351" w:rsidRPr="00E93710">
        <w:rPr>
          <w:lang w:val="uk-UA"/>
        </w:rPr>
        <w:t xml:space="preserve"> </w:t>
      </w:r>
      <w:r w:rsidR="00F073BF" w:rsidRPr="000A38E5">
        <w:rPr>
          <w:lang w:val="uk-UA"/>
        </w:rPr>
        <w:t>2 червня</w:t>
      </w:r>
      <w:r w:rsidR="00D83351" w:rsidRPr="00E93710">
        <w:rPr>
          <w:lang w:val="uk-UA"/>
        </w:rPr>
        <w:t xml:space="preserve"> 2010</w:t>
      </w:r>
      <w:r w:rsidR="00F073BF" w:rsidRPr="000A38E5">
        <w:rPr>
          <w:lang w:val="uk-UA"/>
        </w:rPr>
        <w:t xml:space="preserve"> р</w:t>
      </w:r>
      <w:r w:rsidR="00D83351" w:rsidRPr="00E93710">
        <w:rPr>
          <w:lang w:val="uk-UA"/>
        </w:rPr>
        <w:t xml:space="preserve"> (</w:t>
      </w:r>
      <w:r w:rsidR="00F073BF" w:rsidRPr="000A38E5">
        <w:rPr>
          <w:lang w:val="uk-UA"/>
        </w:rPr>
        <w:t>див. пункт</w:t>
      </w:r>
      <w:r w:rsidR="00121B3C" w:rsidRPr="00E93710">
        <w:rPr>
          <w:lang w:val="uk-UA"/>
        </w:rPr>
        <w:t> </w:t>
      </w:r>
      <w:fldSimple w:instr=" REF events_of_2june_2versions \h  \* MERGEFORMAT ">
        <w:r w:rsidR="0075299E" w:rsidRPr="00E93710">
          <w:rPr>
            <w:noProof/>
            <w:lang w:val="uk-UA"/>
          </w:rPr>
          <w:t>41</w:t>
        </w:r>
      </w:fldSimple>
      <w:r w:rsidR="00D83351" w:rsidRPr="00E93710">
        <w:rPr>
          <w:lang w:val="uk-UA"/>
        </w:rPr>
        <w:t xml:space="preserve"> </w:t>
      </w:r>
      <w:r w:rsidR="00F073BF" w:rsidRPr="000A38E5">
        <w:rPr>
          <w:lang w:val="uk-UA"/>
        </w:rPr>
        <w:t>вище</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634C05" w:rsidRPr="00E93710">
        <w:rPr>
          <w:lang w:val="uk-UA"/>
        </w:rPr>
        <w:instrText xml:space="preserve"> SEQ level0 \*arabic </w:instrText>
      </w:r>
      <w:r w:rsidRPr="00E93710">
        <w:rPr>
          <w:lang w:val="uk-UA"/>
        </w:rPr>
        <w:fldChar w:fldCharType="separate"/>
      </w:r>
      <w:bookmarkStart w:id="54" w:name="investigation_decision_9aug_obtained"/>
      <w:r w:rsidR="0075299E" w:rsidRPr="00E93710">
        <w:rPr>
          <w:noProof/>
          <w:lang w:val="uk-UA"/>
        </w:rPr>
        <w:t>86</w:t>
      </w:r>
      <w:bookmarkEnd w:id="54"/>
      <w:r w:rsidRPr="00E93710">
        <w:rPr>
          <w:noProof/>
          <w:lang w:val="uk-UA"/>
        </w:rPr>
        <w:fldChar w:fldCharType="end"/>
      </w:r>
      <w:r w:rsidR="00D83351" w:rsidRPr="00E93710">
        <w:rPr>
          <w:lang w:val="uk-UA"/>
        </w:rPr>
        <w:t>.</w:t>
      </w:r>
      <w:r w:rsidR="00334477" w:rsidRPr="000A38E5">
        <w:rPr>
          <w:lang w:val="uk-UA"/>
        </w:rPr>
        <w:t xml:space="preserve"> </w:t>
      </w:r>
      <w:r w:rsidR="001056C0" w:rsidRPr="000A38E5">
        <w:rPr>
          <w:lang w:val="uk-UA"/>
        </w:rPr>
        <w:t>За словами заявників, незважаючи на їх постійні зусилля та запити,</w:t>
      </w:r>
      <w:r w:rsidR="00D83351" w:rsidRPr="00E93710">
        <w:rPr>
          <w:lang w:val="uk-UA"/>
        </w:rPr>
        <w:t xml:space="preserve"> </w:t>
      </w:r>
      <w:r w:rsidR="001056C0" w:rsidRPr="000A38E5">
        <w:rPr>
          <w:lang w:val="uk-UA"/>
        </w:rPr>
        <w:t>подані 17 лютого</w:t>
      </w:r>
      <w:r w:rsidR="00D83351" w:rsidRPr="00E93710">
        <w:rPr>
          <w:lang w:val="uk-UA"/>
        </w:rPr>
        <w:t xml:space="preserve">, 5 </w:t>
      </w:r>
      <w:r w:rsidR="001056C0" w:rsidRPr="000A38E5">
        <w:rPr>
          <w:lang w:val="uk-UA"/>
        </w:rPr>
        <w:t>липня</w:t>
      </w:r>
      <w:r w:rsidR="00D83351" w:rsidRPr="00E93710">
        <w:rPr>
          <w:lang w:val="uk-UA"/>
        </w:rPr>
        <w:t xml:space="preserve">, 9 </w:t>
      </w:r>
      <w:r w:rsidR="001056C0" w:rsidRPr="000A38E5">
        <w:rPr>
          <w:lang w:val="uk-UA"/>
        </w:rPr>
        <w:t>серпня та</w:t>
      </w:r>
      <w:r w:rsidR="00D83351" w:rsidRPr="00E93710">
        <w:rPr>
          <w:lang w:val="uk-UA"/>
        </w:rPr>
        <w:t xml:space="preserve"> 12 </w:t>
      </w:r>
      <w:r w:rsidR="001056C0" w:rsidRPr="000A38E5">
        <w:rPr>
          <w:lang w:val="uk-UA"/>
        </w:rPr>
        <w:t>вересня</w:t>
      </w:r>
      <w:r w:rsidR="00D83351" w:rsidRPr="00E93710">
        <w:rPr>
          <w:lang w:val="uk-UA"/>
        </w:rPr>
        <w:t xml:space="preserve"> 2011</w:t>
      </w:r>
      <w:r w:rsidR="001056C0" w:rsidRPr="000A38E5">
        <w:rPr>
          <w:lang w:val="uk-UA"/>
        </w:rPr>
        <w:t xml:space="preserve"> р.</w:t>
      </w:r>
      <w:r w:rsidR="00D83351" w:rsidRPr="00E93710">
        <w:rPr>
          <w:lang w:val="uk-UA"/>
        </w:rPr>
        <w:t xml:space="preserve">, </w:t>
      </w:r>
      <w:r w:rsidR="003B2830" w:rsidRPr="000A38E5">
        <w:rPr>
          <w:lang w:val="uk-UA"/>
        </w:rPr>
        <w:t>вони не могли отримати копію рішення від 9 серпня</w:t>
      </w:r>
      <w:r w:rsidR="00D83351" w:rsidRPr="00E93710">
        <w:rPr>
          <w:lang w:val="uk-UA"/>
        </w:rPr>
        <w:t xml:space="preserve"> 2010</w:t>
      </w:r>
      <w:r w:rsidR="003B2830" w:rsidRPr="000A38E5">
        <w:rPr>
          <w:lang w:val="uk-UA"/>
        </w:rPr>
        <w:t xml:space="preserve"> р</w:t>
      </w:r>
      <w:r w:rsidR="00D83351" w:rsidRPr="00E93710">
        <w:rPr>
          <w:lang w:val="uk-UA"/>
        </w:rPr>
        <w:t>.</w:t>
      </w:r>
    </w:p>
    <w:p w:rsidR="00D83351" w:rsidRPr="00E93710" w:rsidRDefault="003F7405" w:rsidP="00852217">
      <w:pPr>
        <w:pStyle w:val="ECHRPara"/>
        <w:rPr>
          <w:lang w:val="uk-UA"/>
        </w:rPr>
      </w:pPr>
      <w:r w:rsidRPr="000A38E5">
        <w:rPr>
          <w:lang w:val="uk-UA"/>
        </w:rPr>
        <w:t>Вони надали копію листа від міської прокуратури від 19 серпня</w:t>
      </w:r>
      <w:r w:rsidR="00D83351" w:rsidRPr="00E93710">
        <w:rPr>
          <w:lang w:val="uk-UA"/>
        </w:rPr>
        <w:t xml:space="preserve"> 2011</w:t>
      </w:r>
      <w:r w:rsidRPr="000A38E5">
        <w:rPr>
          <w:lang w:val="uk-UA"/>
        </w:rPr>
        <w:t xml:space="preserve"> р.</w:t>
      </w:r>
      <w:r w:rsidR="00D83351" w:rsidRPr="00E93710">
        <w:rPr>
          <w:lang w:val="uk-UA"/>
        </w:rPr>
        <w:t xml:space="preserve">, </w:t>
      </w:r>
      <w:r w:rsidR="00312F0E" w:rsidRPr="000A38E5">
        <w:rPr>
          <w:lang w:val="uk-UA"/>
        </w:rPr>
        <w:t xml:space="preserve">в якому говорилося, що у відповідь на запит пана </w:t>
      </w:r>
      <w:proofErr w:type="spellStart"/>
      <w:r w:rsidR="00312F0E" w:rsidRPr="000A38E5">
        <w:rPr>
          <w:lang w:val="uk-UA"/>
        </w:rPr>
        <w:t>Бущенк</w:t>
      </w:r>
      <w:r w:rsidR="00C67B20" w:rsidRPr="000A38E5">
        <w:rPr>
          <w:lang w:val="uk-UA"/>
        </w:rPr>
        <w:t>а</w:t>
      </w:r>
      <w:proofErr w:type="spellEnd"/>
      <w:r w:rsidR="00312F0E" w:rsidRPr="000A38E5">
        <w:rPr>
          <w:lang w:val="uk-UA"/>
        </w:rPr>
        <w:t xml:space="preserve"> від</w:t>
      </w:r>
      <w:r w:rsidR="00D83351" w:rsidRPr="00E93710">
        <w:rPr>
          <w:lang w:val="uk-UA"/>
        </w:rPr>
        <w:t xml:space="preserve"> </w:t>
      </w:r>
      <w:r w:rsidR="00312F0E" w:rsidRPr="00E93710">
        <w:rPr>
          <w:lang w:val="uk-UA"/>
        </w:rPr>
        <w:t>5 липня</w:t>
      </w:r>
      <w:r w:rsidR="00D83351" w:rsidRPr="00E93710">
        <w:rPr>
          <w:lang w:val="uk-UA"/>
        </w:rPr>
        <w:t xml:space="preserve"> 2011 </w:t>
      </w:r>
      <w:r w:rsidR="00312F0E" w:rsidRPr="00E93710">
        <w:rPr>
          <w:lang w:val="uk-UA"/>
        </w:rPr>
        <w:t xml:space="preserve">р. </w:t>
      </w:r>
      <w:r w:rsidR="001E7A1D" w:rsidRPr="000A38E5">
        <w:rPr>
          <w:lang w:val="uk-UA"/>
        </w:rPr>
        <w:t>копія рішення від 9 серпня</w:t>
      </w:r>
      <w:r w:rsidR="00D83351" w:rsidRPr="00E93710">
        <w:rPr>
          <w:lang w:val="uk-UA"/>
        </w:rPr>
        <w:t xml:space="preserve"> 2010 </w:t>
      </w:r>
      <w:r w:rsidR="001E7A1D" w:rsidRPr="00E93710">
        <w:rPr>
          <w:lang w:val="uk-UA"/>
        </w:rPr>
        <w:t xml:space="preserve">р. </w:t>
      </w:r>
      <w:r w:rsidR="001E7A1D" w:rsidRPr="000A38E5">
        <w:rPr>
          <w:lang w:val="uk-UA"/>
        </w:rPr>
        <w:t>була відправлена йому 26 липня</w:t>
      </w:r>
      <w:r w:rsidR="00D83351" w:rsidRPr="00E93710">
        <w:rPr>
          <w:lang w:val="uk-UA"/>
        </w:rPr>
        <w:t xml:space="preserve"> 2011</w:t>
      </w:r>
      <w:r w:rsidR="001E7A1D" w:rsidRPr="00E93710">
        <w:rPr>
          <w:lang w:val="uk-UA"/>
        </w:rPr>
        <w:t xml:space="preserve"> р</w:t>
      </w:r>
      <w:r w:rsidR="00D83351" w:rsidRPr="00E93710">
        <w:rPr>
          <w:lang w:val="uk-UA"/>
        </w:rPr>
        <w:t xml:space="preserve">. </w:t>
      </w:r>
      <w:r w:rsidR="006D437A" w:rsidRPr="000A38E5">
        <w:rPr>
          <w:lang w:val="uk-UA"/>
        </w:rPr>
        <w:t>4 жовтня</w:t>
      </w:r>
      <w:r w:rsidR="00D83351" w:rsidRPr="00E93710">
        <w:rPr>
          <w:lang w:val="uk-UA"/>
        </w:rPr>
        <w:t xml:space="preserve"> 2011 </w:t>
      </w:r>
      <w:r w:rsidR="006D437A" w:rsidRPr="00E93710">
        <w:rPr>
          <w:lang w:val="uk-UA"/>
        </w:rPr>
        <w:t xml:space="preserve">р. </w:t>
      </w:r>
      <w:r w:rsidR="006D437A" w:rsidRPr="000A38E5">
        <w:rPr>
          <w:lang w:val="uk-UA"/>
        </w:rPr>
        <w:t xml:space="preserve">пан </w:t>
      </w:r>
      <w:proofErr w:type="spellStart"/>
      <w:r w:rsidR="006D437A" w:rsidRPr="000A38E5">
        <w:rPr>
          <w:lang w:val="uk-UA"/>
        </w:rPr>
        <w:t>Бущенко</w:t>
      </w:r>
      <w:proofErr w:type="spellEnd"/>
      <w:r w:rsidR="006D437A" w:rsidRPr="000A38E5">
        <w:rPr>
          <w:lang w:val="uk-UA"/>
        </w:rPr>
        <w:t xml:space="preserve"> знову звернувся до прокуратури</w:t>
      </w:r>
      <w:r w:rsidR="00D83351" w:rsidRPr="00E93710">
        <w:rPr>
          <w:lang w:val="uk-UA"/>
        </w:rPr>
        <w:t xml:space="preserve">, </w:t>
      </w:r>
      <w:r w:rsidR="006D437A" w:rsidRPr="000A38E5">
        <w:rPr>
          <w:lang w:val="uk-UA"/>
        </w:rPr>
        <w:t>стверджуючи, що в дійсності копія рішення не була прикріплена</w:t>
      </w:r>
      <w:r w:rsidR="00D83351" w:rsidRPr="00E93710">
        <w:rPr>
          <w:lang w:val="uk-UA"/>
        </w:rPr>
        <w:t xml:space="preserve"> </w:t>
      </w:r>
      <w:r w:rsidR="006D437A" w:rsidRPr="000A38E5">
        <w:rPr>
          <w:lang w:val="uk-UA"/>
        </w:rPr>
        <w:t>до попередніх листів органів влади</w:t>
      </w:r>
      <w:r w:rsidR="00D83351" w:rsidRPr="00E93710">
        <w:rPr>
          <w:lang w:val="uk-UA"/>
        </w:rPr>
        <w:t xml:space="preserve">. </w:t>
      </w:r>
      <w:r w:rsidR="006D437A" w:rsidRPr="000A38E5">
        <w:rPr>
          <w:lang w:val="uk-UA"/>
        </w:rPr>
        <w:t>10 жовтня</w:t>
      </w:r>
      <w:r w:rsidR="00D83351" w:rsidRPr="00E93710">
        <w:rPr>
          <w:lang w:val="uk-UA"/>
        </w:rPr>
        <w:t xml:space="preserve"> 2011 </w:t>
      </w:r>
      <w:r w:rsidR="006D437A" w:rsidRPr="000A38E5">
        <w:rPr>
          <w:lang w:val="uk-UA"/>
        </w:rPr>
        <w:t xml:space="preserve">р. міська прокуратура відправила пану </w:t>
      </w:r>
      <w:proofErr w:type="spellStart"/>
      <w:r w:rsidR="006D437A" w:rsidRPr="000A38E5">
        <w:rPr>
          <w:lang w:val="uk-UA"/>
        </w:rPr>
        <w:t>Бущенко</w:t>
      </w:r>
      <w:proofErr w:type="spellEnd"/>
      <w:r w:rsidR="006D437A" w:rsidRPr="000A38E5">
        <w:rPr>
          <w:lang w:val="uk-UA"/>
        </w:rPr>
        <w:t xml:space="preserve"> іншу копію</w:t>
      </w:r>
      <w:r w:rsidR="00D83351" w:rsidRPr="00E93710">
        <w:rPr>
          <w:lang w:val="uk-UA"/>
        </w:rPr>
        <w:t xml:space="preserve">. </w:t>
      </w:r>
      <w:r w:rsidR="006D437A" w:rsidRPr="000A38E5">
        <w:rPr>
          <w:lang w:val="uk-UA"/>
        </w:rPr>
        <w:t>Заявники стверджували, що він уперше отримав цю копію</w:t>
      </w:r>
      <w:r w:rsidR="00D83351" w:rsidRPr="00E93710">
        <w:rPr>
          <w:lang w:val="uk-UA"/>
        </w:rPr>
        <w:t xml:space="preserve"> </w:t>
      </w:r>
      <w:r w:rsidR="006D437A" w:rsidRPr="000A38E5">
        <w:rPr>
          <w:lang w:val="uk-UA"/>
        </w:rPr>
        <w:t>19 жовтня</w:t>
      </w:r>
      <w:r w:rsidR="00D83351" w:rsidRPr="00E93710">
        <w:rPr>
          <w:lang w:val="uk-UA"/>
        </w:rPr>
        <w:t xml:space="preserve"> 2011</w:t>
      </w:r>
      <w:r w:rsidR="006D437A" w:rsidRPr="000A38E5">
        <w:rPr>
          <w:lang w:val="uk-UA"/>
        </w:rPr>
        <w:t xml:space="preserve"> р</w:t>
      </w:r>
      <w:r w:rsidR="00D83351" w:rsidRPr="00E93710">
        <w:rPr>
          <w:lang w:val="uk-UA"/>
        </w:rPr>
        <w:t>.</w:t>
      </w:r>
    </w:p>
    <w:p w:rsidR="00D83351" w:rsidRPr="00E93710" w:rsidRDefault="009A49F5" w:rsidP="00852217">
      <w:pPr>
        <w:pStyle w:val="ECHRPara"/>
        <w:rPr>
          <w:lang w:val="uk-UA"/>
        </w:rPr>
      </w:pPr>
      <w:r w:rsidRPr="000A38E5">
        <w:rPr>
          <w:lang w:val="uk-UA"/>
        </w:rPr>
        <w:t>25 жовтня</w:t>
      </w:r>
      <w:r w:rsidR="00D83351" w:rsidRPr="00E93710">
        <w:rPr>
          <w:lang w:val="uk-UA"/>
        </w:rPr>
        <w:t xml:space="preserve"> 2011 </w:t>
      </w:r>
      <w:r w:rsidRPr="000A38E5">
        <w:rPr>
          <w:lang w:val="uk-UA"/>
        </w:rPr>
        <w:t>р. заявники оскаржили рішення від 9 серпня</w:t>
      </w:r>
      <w:r w:rsidR="00D83351" w:rsidRPr="00E93710">
        <w:rPr>
          <w:lang w:val="uk-UA"/>
        </w:rPr>
        <w:t xml:space="preserve"> 2010</w:t>
      </w:r>
      <w:r w:rsidRPr="000A38E5">
        <w:rPr>
          <w:lang w:val="uk-UA"/>
        </w:rPr>
        <w:t xml:space="preserve"> р</w:t>
      </w:r>
      <w:r w:rsidR="00D83351" w:rsidRPr="00E93710">
        <w:rPr>
          <w:lang w:val="uk-UA"/>
        </w:rPr>
        <w:t xml:space="preserve">. </w:t>
      </w:r>
      <w:r w:rsidRPr="000A38E5">
        <w:rPr>
          <w:lang w:val="uk-UA"/>
        </w:rPr>
        <w:t>За їх словами, 25 листопада</w:t>
      </w:r>
      <w:r w:rsidR="00D83351" w:rsidRPr="00E93710">
        <w:rPr>
          <w:lang w:val="uk-UA"/>
        </w:rPr>
        <w:t xml:space="preserve"> 2011 </w:t>
      </w:r>
      <w:r w:rsidRPr="00E93710">
        <w:rPr>
          <w:lang w:val="uk-UA"/>
        </w:rPr>
        <w:t xml:space="preserve">р. </w:t>
      </w:r>
      <w:r w:rsidRPr="000A38E5">
        <w:rPr>
          <w:lang w:val="uk-UA"/>
        </w:rPr>
        <w:t>Київський районний суд Харкова відхилив їх апеляцію</w:t>
      </w:r>
      <w:r w:rsidR="00D83351" w:rsidRPr="00E93710">
        <w:rPr>
          <w:lang w:val="uk-UA"/>
        </w:rPr>
        <w:t xml:space="preserve">. </w:t>
      </w:r>
      <w:r w:rsidRPr="000A38E5">
        <w:rPr>
          <w:lang w:val="uk-UA"/>
        </w:rPr>
        <w:t>2 квітня</w:t>
      </w:r>
      <w:r w:rsidR="00D83351" w:rsidRPr="00E93710">
        <w:rPr>
          <w:lang w:val="uk-UA"/>
        </w:rPr>
        <w:t xml:space="preserve"> 2012</w:t>
      </w:r>
      <w:r w:rsidRPr="000A38E5">
        <w:rPr>
          <w:lang w:val="uk-UA"/>
        </w:rPr>
        <w:t xml:space="preserve"> р.</w:t>
      </w:r>
      <w:r w:rsidR="00D83351" w:rsidRPr="00E93710">
        <w:rPr>
          <w:lang w:val="uk-UA"/>
        </w:rPr>
        <w:t xml:space="preserve"> </w:t>
      </w:r>
      <w:r w:rsidR="009703B5" w:rsidRPr="000A38E5">
        <w:rPr>
          <w:lang w:val="uk-UA"/>
        </w:rPr>
        <w:t>заявники оскаржили це рішення</w:t>
      </w:r>
      <w:r w:rsidR="00D83351" w:rsidRPr="00E93710">
        <w:rPr>
          <w:lang w:val="uk-UA"/>
        </w:rPr>
        <w:t xml:space="preserve">. </w:t>
      </w:r>
      <w:r w:rsidR="009703B5" w:rsidRPr="000A38E5">
        <w:rPr>
          <w:lang w:val="uk-UA"/>
        </w:rPr>
        <w:t>Вони не повідомили Суд про подальші події</w:t>
      </w:r>
      <w:r w:rsidR="00D83351" w:rsidRPr="00E93710">
        <w:rPr>
          <w:lang w:val="uk-UA"/>
        </w:rPr>
        <w:t>.</w:t>
      </w:r>
    </w:p>
    <w:p w:rsidR="00D83351" w:rsidRPr="000A38E5" w:rsidRDefault="00D83351" w:rsidP="00852217">
      <w:pPr>
        <w:pStyle w:val="ECHRHeading3"/>
        <w:rPr>
          <w:lang w:val="uk-UA"/>
        </w:rPr>
      </w:pPr>
      <w:r w:rsidRPr="00E93710">
        <w:rPr>
          <w:lang w:val="uk-UA"/>
        </w:rPr>
        <w:t>3.</w:t>
      </w:r>
      <w:r w:rsidR="00334477" w:rsidRPr="000A38E5">
        <w:rPr>
          <w:lang w:val="uk-UA"/>
        </w:rPr>
        <w:t xml:space="preserve"> </w:t>
      </w:r>
      <w:r w:rsidR="009703B5" w:rsidRPr="000A38E5">
        <w:rPr>
          <w:lang w:val="uk-UA"/>
        </w:rPr>
        <w:t>Міліцейське розслідування стосовно сьомого та дев’ятого заявників</w:t>
      </w:r>
    </w:p>
    <w:bookmarkStart w:id="55" w:name="decision_no_proceedings_13_Aug_10"/>
    <w:bookmarkStart w:id="56" w:name="investigation_decision_13aug"/>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87</w:t>
      </w:r>
      <w:r w:rsidRPr="00E93710">
        <w:rPr>
          <w:lang w:val="uk-UA"/>
        </w:rPr>
        <w:fldChar w:fldCharType="end"/>
      </w:r>
      <w:bookmarkEnd w:id="55"/>
      <w:bookmarkEnd w:id="56"/>
      <w:r w:rsidR="00D83351" w:rsidRPr="00E93710">
        <w:rPr>
          <w:lang w:val="uk-UA"/>
        </w:rPr>
        <w:t>.</w:t>
      </w:r>
      <w:r w:rsidR="00334477" w:rsidRPr="000A38E5">
        <w:rPr>
          <w:lang w:val="uk-UA"/>
        </w:rPr>
        <w:t xml:space="preserve"> </w:t>
      </w:r>
      <w:r w:rsidR="009703B5" w:rsidRPr="000A38E5">
        <w:rPr>
          <w:lang w:val="uk-UA"/>
        </w:rPr>
        <w:t>13 серпня</w:t>
      </w:r>
      <w:r w:rsidR="00D83351" w:rsidRPr="00E93710">
        <w:rPr>
          <w:lang w:val="uk-UA"/>
        </w:rPr>
        <w:t xml:space="preserve"> 2010 </w:t>
      </w:r>
      <w:r w:rsidR="009703B5" w:rsidRPr="000A38E5">
        <w:rPr>
          <w:lang w:val="uk-UA"/>
        </w:rPr>
        <w:t>р. міліція відмовилася порушувати кримінальні провадження</w:t>
      </w:r>
      <w:r w:rsidR="00D83351" w:rsidRPr="00E93710">
        <w:rPr>
          <w:lang w:val="uk-UA"/>
        </w:rPr>
        <w:t xml:space="preserve"> </w:t>
      </w:r>
      <w:r w:rsidR="009703B5" w:rsidRPr="000A38E5">
        <w:rPr>
          <w:lang w:val="uk-UA"/>
        </w:rPr>
        <w:t>у зв’язку зі скаргою сьомого заявника на жорстоке поводження</w:t>
      </w:r>
      <w:r w:rsidR="00D83351" w:rsidRPr="00E93710">
        <w:rPr>
          <w:lang w:val="uk-UA"/>
        </w:rPr>
        <w:t xml:space="preserve">. </w:t>
      </w:r>
      <w:r w:rsidR="009703B5" w:rsidRPr="000A38E5">
        <w:rPr>
          <w:lang w:val="uk-UA"/>
        </w:rPr>
        <w:t>20 березня</w:t>
      </w:r>
      <w:r w:rsidR="00D83351" w:rsidRPr="00E93710">
        <w:rPr>
          <w:lang w:val="uk-UA"/>
        </w:rPr>
        <w:t xml:space="preserve"> 2012 </w:t>
      </w:r>
      <w:r w:rsidR="009703B5" w:rsidRPr="000A38E5">
        <w:rPr>
          <w:lang w:val="uk-UA"/>
        </w:rPr>
        <w:t>р. Дзержинський районний суд Харкова</w:t>
      </w:r>
      <w:r w:rsidR="00D83351" w:rsidRPr="00E93710">
        <w:rPr>
          <w:lang w:val="uk-UA"/>
        </w:rPr>
        <w:t xml:space="preserve"> </w:t>
      </w:r>
      <w:r w:rsidR="009703B5" w:rsidRPr="000A38E5">
        <w:rPr>
          <w:lang w:val="uk-UA"/>
        </w:rPr>
        <w:t>скасував це рішення на підставі того, що вимоги</w:t>
      </w:r>
      <w:r w:rsidR="00D83351" w:rsidRPr="00E93710">
        <w:rPr>
          <w:lang w:val="uk-UA"/>
        </w:rPr>
        <w:t xml:space="preserve"> </w:t>
      </w:r>
      <w:r w:rsidR="009703B5" w:rsidRPr="000A38E5">
        <w:rPr>
          <w:lang w:val="uk-UA"/>
        </w:rPr>
        <w:t>Кримінально-процесуального кодексу стосовно</w:t>
      </w:r>
      <w:r w:rsidR="00D83351" w:rsidRPr="00E93710">
        <w:rPr>
          <w:lang w:val="uk-UA"/>
        </w:rPr>
        <w:t xml:space="preserve"> </w:t>
      </w:r>
      <w:r w:rsidR="009703B5" w:rsidRPr="000A38E5">
        <w:rPr>
          <w:lang w:val="uk-UA"/>
        </w:rPr>
        <w:t>дослідчих перевірок</w:t>
      </w:r>
      <w:r w:rsidR="00D83351" w:rsidRPr="00E93710">
        <w:rPr>
          <w:lang w:val="uk-UA"/>
        </w:rPr>
        <w:t xml:space="preserve"> (</w:t>
      </w:r>
      <w:r w:rsidR="009703B5" w:rsidRPr="000A38E5">
        <w:rPr>
          <w:lang w:val="uk-UA"/>
        </w:rPr>
        <w:t>див. пункт</w:t>
      </w:r>
      <w:r w:rsidR="00D83351" w:rsidRPr="00E93710">
        <w:rPr>
          <w:lang w:val="uk-UA"/>
        </w:rPr>
        <w:t xml:space="preserve"> </w:t>
      </w:r>
      <w:fldSimple w:instr=" REF preinvestigation_enquiries_CPC \h  \* MERGEFORMAT ">
        <w:r w:rsidR="0075299E" w:rsidRPr="00E93710">
          <w:rPr>
            <w:noProof/>
            <w:lang w:val="uk-UA"/>
          </w:rPr>
          <w:t>101</w:t>
        </w:r>
      </w:fldSimple>
      <w:r w:rsidR="00D83351" w:rsidRPr="00E93710">
        <w:rPr>
          <w:lang w:val="uk-UA"/>
        </w:rPr>
        <w:t xml:space="preserve"> </w:t>
      </w:r>
      <w:r w:rsidR="009703B5" w:rsidRPr="000A38E5">
        <w:rPr>
          <w:lang w:val="uk-UA"/>
        </w:rPr>
        <w:t>нижче</w:t>
      </w:r>
      <w:r w:rsidR="00D83351" w:rsidRPr="00E93710">
        <w:rPr>
          <w:lang w:val="uk-UA"/>
        </w:rPr>
        <w:t xml:space="preserve">) </w:t>
      </w:r>
      <w:r w:rsidR="004E6113" w:rsidRPr="000A38E5">
        <w:rPr>
          <w:lang w:val="uk-UA"/>
        </w:rPr>
        <w:t>не були виконані і твердження заявників</w:t>
      </w:r>
      <w:r w:rsidR="00D83351" w:rsidRPr="00E93710">
        <w:rPr>
          <w:lang w:val="uk-UA"/>
        </w:rPr>
        <w:t xml:space="preserve"> </w:t>
      </w:r>
      <w:r w:rsidR="004E6113" w:rsidRPr="000A38E5">
        <w:rPr>
          <w:lang w:val="uk-UA"/>
        </w:rPr>
        <w:t>не були перевірені</w:t>
      </w:r>
      <w:r w:rsidR="00D83351" w:rsidRPr="00E93710">
        <w:rPr>
          <w:lang w:val="uk-UA"/>
        </w:rPr>
        <w:t xml:space="preserve">. </w:t>
      </w:r>
      <w:r w:rsidR="004E6113" w:rsidRPr="000A38E5">
        <w:rPr>
          <w:lang w:val="uk-UA"/>
        </w:rPr>
        <w:t>Заявники надали копію листа адвоката до районної міліції,</w:t>
      </w:r>
      <w:r w:rsidR="00D83351" w:rsidRPr="00E93710">
        <w:rPr>
          <w:lang w:val="uk-UA"/>
        </w:rPr>
        <w:t xml:space="preserve"> </w:t>
      </w:r>
      <w:r w:rsidR="004E6113" w:rsidRPr="000A38E5">
        <w:rPr>
          <w:lang w:val="uk-UA"/>
        </w:rPr>
        <w:t>датованого 3 жовтня</w:t>
      </w:r>
      <w:r w:rsidR="00D83351" w:rsidRPr="00E93710">
        <w:rPr>
          <w:lang w:val="uk-UA"/>
        </w:rPr>
        <w:t xml:space="preserve"> 2014</w:t>
      </w:r>
      <w:r w:rsidR="004E6113" w:rsidRPr="000A38E5">
        <w:rPr>
          <w:lang w:val="uk-UA"/>
        </w:rPr>
        <w:t xml:space="preserve"> р.</w:t>
      </w:r>
      <w:r w:rsidR="00D83351" w:rsidRPr="00E93710">
        <w:rPr>
          <w:lang w:val="uk-UA"/>
        </w:rPr>
        <w:t xml:space="preserve">, </w:t>
      </w:r>
      <w:r w:rsidR="004E6113" w:rsidRPr="000A38E5">
        <w:rPr>
          <w:lang w:val="uk-UA"/>
        </w:rPr>
        <w:t>в якому говорилося, що після рішення суду від</w:t>
      </w:r>
      <w:r w:rsidR="00D83351" w:rsidRPr="00E93710">
        <w:rPr>
          <w:lang w:val="uk-UA"/>
        </w:rPr>
        <w:t xml:space="preserve"> 20 </w:t>
      </w:r>
      <w:r w:rsidR="00FB587D" w:rsidRPr="000A38E5">
        <w:rPr>
          <w:lang w:val="uk-UA"/>
        </w:rPr>
        <w:t>березня</w:t>
      </w:r>
      <w:r w:rsidR="00D83351" w:rsidRPr="00E93710">
        <w:rPr>
          <w:lang w:val="uk-UA"/>
        </w:rPr>
        <w:t xml:space="preserve"> 2012</w:t>
      </w:r>
      <w:r w:rsidR="00FB587D" w:rsidRPr="00E93710">
        <w:rPr>
          <w:lang w:val="uk-UA"/>
        </w:rPr>
        <w:t xml:space="preserve"> р.</w:t>
      </w:r>
      <w:r w:rsidR="00D83351" w:rsidRPr="00E93710">
        <w:rPr>
          <w:lang w:val="uk-UA"/>
        </w:rPr>
        <w:t xml:space="preserve"> </w:t>
      </w:r>
      <w:r w:rsidR="005161DF" w:rsidRPr="000A38E5">
        <w:rPr>
          <w:lang w:val="uk-UA"/>
        </w:rPr>
        <w:t>сьомий заявник не був повідомлений про будь-які подальші події у провадженнях</w:t>
      </w:r>
      <w:r w:rsidR="00D83351" w:rsidRPr="00E93710">
        <w:rPr>
          <w:lang w:val="uk-UA"/>
        </w:rPr>
        <w:t>.</w:t>
      </w:r>
    </w:p>
    <w:bookmarkStart w:id="57" w:name="investigation_decision_20aug"/>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88</w:t>
      </w:r>
      <w:r w:rsidRPr="00E93710">
        <w:rPr>
          <w:lang w:val="uk-UA"/>
        </w:rPr>
        <w:fldChar w:fldCharType="end"/>
      </w:r>
      <w:bookmarkEnd w:id="57"/>
      <w:r w:rsidR="00D83351" w:rsidRPr="00E93710">
        <w:rPr>
          <w:lang w:val="uk-UA"/>
        </w:rPr>
        <w:t>.</w:t>
      </w:r>
      <w:r w:rsidR="00334477" w:rsidRPr="000A38E5">
        <w:rPr>
          <w:lang w:val="uk-UA"/>
        </w:rPr>
        <w:t xml:space="preserve"> </w:t>
      </w:r>
      <w:r w:rsidR="005161DF" w:rsidRPr="000A38E5">
        <w:rPr>
          <w:lang w:val="uk-UA"/>
        </w:rPr>
        <w:t>За словами Уряду, прокуратура провела розслідування</w:t>
      </w:r>
      <w:r w:rsidR="00D83351" w:rsidRPr="00E93710">
        <w:rPr>
          <w:lang w:val="uk-UA"/>
        </w:rPr>
        <w:t xml:space="preserve"> </w:t>
      </w:r>
      <w:r w:rsidR="005161DF" w:rsidRPr="000A38E5">
        <w:rPr>
          <w:lang w:val="uk-UA"/>
        </w:rPr>
        <w:t>можливої офіційної участі</w:t>
      </w:r>
      <w:r w:rsidR="00D83351" w:rsidRPr="00E93710">
        <w:rPr>
          <w:lang w:val="uk-UA"/>
        </w:rPr>
        <w:t xml:space="preserve"> </w:t>
      </w:r>
      <w:r w:rsidR="005161DF" w:rsidRPr="000A38E5">
        <w:rPr>
          <w:lang w:val="uk-UA"/>
        </w:rPr>
        <w:t xml:space="preserve">у </w:t>
      </w:r>
      <w:proofErr w:type="spellStart"/>
      <w:r w:rsidR="005161DF" w:rsidRPr="000A38E5">
        <w:rPr>
          <w:lang w:val="uk-UA"/>
        </w:rPr>
        <w:t>стверджуваних</w:t>
      </w:r>
      <w:proofErr w:type="spellEnd"/>
      <w:r w:rsidR="005161DF" w:rsidRPr="000A38E5">
        <w:rPr>
          <w:lang w:val="uk-UA"/>
        </w:rPr>
        <w:t xml:space="preserve"> нападах</w:t>
      </w:r>
      <w:r w:rsidR="00D83351" w:rsidRPr="00E93710">
        <w:rPr>
          <w:lang w:val="uk-UA"/>
        </w:rPr>
        <w:t xml:space="preserve"> </w:t>
      </w:r>
      <w:r w:rsidR="00BE04C4" w:rsidRPr="000A38E5">
        <w:rPr>
          <w:lang w:val="uk-UA"/>
        </w:rPr>
        <w:t>на сьомого та дев’ятого заявників</w:t>
      </w:r>
      <w:r w:rsidR="00D83351" w:rsidRPr="00E93710">
        <w:rPr>
          <w:lang w:val="uk-UA"/>
        </w:rPr>
        <w:t xml:space="preserve"> </w:t>
      </w:r>
      <w:r w:rsidR="00BE04C4" w:rsidRPr="000A38E5">
        <w:rPr>
          <w:lang w:val="uk-UA"/>
        </w:rPr>
        <w:t>і не визнавши такого втручання</w:t>
      </w:r>
      <w:r w:rsidR="00D83351" w:rsidRPr="00E93710">
        <w:rPr>
          <w:lang w:val="uk-UA"/>
        </w:rPr>
        <w:t xml:space="preserve">, </w:t>
      </w:r>
      <w:r w:rsidR="00BE04C4" w:rsidRPr="000A38E5">
        <w:rPr>
          <w:lang w:val="uk-UA"/>
        </w:rPr>
        <w:lastRenderedPageBreak/>
        <w:t>передала матеріали міліції</w:t>
      </w:r>
      <w:r w:rsidR="00D83351" w:rsidRPr="00E93710">
        <w:rPr>
          <w:lang w:val="uk-UA"/>
        </w:rPr>
        <w:t xml:space="preserve"> </w:t>
      </w:r>
      <w:r w:rsidR="00BE04C4" w:rsidRPr="000A38E5">
        <w:rPr>
          <w:lang w:val="uk-UA"/>
        </w:rPr>
        <w:t>для розслідування можливості того, що тілесні ушкодження</w:t>
      </w:r>
      <w:r w:rsidR="00D83351" w:rsidRPr="00E93710">
        <w:rPr>
          <w:lang w:val="uk-UA"/>
        </w:rPr>
        <w:t xml:space="preserve"> </w:t>
      </w:r>
      <w:r w:rsidR="00BE04C4" w:rsidRPr="000A38E5">
        <w:rPr>
          <w:lang w:val="uk-UA"/>
        </w:rPr>
        <w:t>могли бути заподіяні приватними сторонами</w:t>
      </w:r>
      <w:r w:rsidR="00D83351" w:rsidRPr="00E93710">
        <w:rPr>
          <w:lang w:val="uk-UA"/>
        </w:rPr>
        <w:t xml:space="preserve">. </w:t>
      </w:r>
      <w:r w:rsidR="00BE04C4" w:rsidRPr="000A38E5">
        <w:rPr>
          <w:lang w:val="uk-UA"/>
        </w:rPr>
        <w:t>20 серпня</w:t>
      </w:r>
      <w:r w:rsidR="00D83351" w:rsidRPr="00E93710">
        <w:rPr>
          <w:lang w:val="uk-UA"/>
        </w:rPr>
        <w:t xml:space="preserve"> 2010 </w:t>
      </w:r>
      <w:r w:rsidR="00BE04C4" w:rsidRPr="000A38E5">
        <w:rPr>
          <w:lang w:val="uk-UA"/>
        </w:rPr>
        <w:t>р. міліція вирішила не порушувати кримінальні провадження у цьому відношенні</w:t>
      </w:r>
      <w:r w:rsidR="00D83351" w:rsidRPr="00E93710">
        <w:rPr>
          <w:lang w:val="uk-UA"/>
        </w:rPr>
        <w:t>.</w:t>
      </w:r>
    </w:p>
    <w:p w:rsidR="00D83351" w:rsidRPr="00E93710" w:rsidRDefault="00E808C6" w:rsidP="00852217">
      <w:pPr>
        <w:pStyle w:val="ECHRPara"/>
        <w:rPr>
          <w:lang w:val="uk-UA"/>
        </w:rPr>
      </w:pPr>
      <w:r w:rsidRPr="000A38E5">
        <w:rPr>
          <w:lang w:val="uk-UA"/>
        </w:rPr>
        <w:t>У своїй відповіді від 15 листопада</w:t>
      </w:r>
      <w:r w:rsidR="00D83351" w:rsidRPr="00E93710">
        <w:rPr>
          <w:lang w:val="uk-UA"/>
        </w:rPr>
        <w:t xml:space="preserve"> 2011 </w:t>
      </w:r>
      <w:r w:rsidRPr="000A38E5">
        <w:rPr>
          <w:lang w:val="uk-UA"/>
        </w:rPr>
        <w:t>р. на зауваження Уряду</w:t>
      </w:r>
      <w:r w:rsidR="00D83351" w:rsidRPr="00E93710">
        <w:rPr>
          <w:lang w:val="uk-UA"/>
        </w:rPr>
        <w:t xml:space="preserve"> </w:t>
      </w:r>
      <w:r w:rsidRPr="000A38E5">
        <w:rPr>
          <w:lang w:val="uk-UA"/>
        </w:rPr>
        <w:t>заявники стверджували, що узнали про рішення</w:t>
      </w:r>
      <w:r w:rsidR="00D83351" w:rsidRPr="00E93710">
        <w:rPr>
          <w:lang w:val="uk-UA"/>
        </w:rPr>
        <w:t xml:space="preserve"> </w:t>
      </w:r>
      <w:r w:rsidRPr="000A38E5">
        <w:rPr>
          <w:lang w:val="uk-UA"/>
        </w:rPr>
        <w:t>від 20 серпня</w:t>
      </w:r>
      <w:r w:rsidR="00D83351" w:rsidRPr="00E93710">
        <w:rPr>
          <w:lang w:val="uk-UA"/>
        </w:rPr>
        <w:t xml:space="preserve"> 2010 </w:t>
      </w:r>
      <w:r w:rsidRPr="00E93710">
        <w:rPr>
          <w:lang w:val="uk-UA"/>
        </w:rPr>
        <w:t xml:space="preserve">р. </w:t>
      </w:r>
      <w:r w:rsidRPr="000A38E5">
        <w:rPr>
          <w:lang w:val="uk-UA"/>
        </w:rPr>
        <w:t>лише з цих зауважень</w:t>
      </w:r>
      <w:r w:rsidR="00D83351" w:rsidRPr="00E93710">
        <w:rPr>
          <w:lang w:val="uk-UA"/>
        </w:rPr>
        <w:t xml:space="preserve"> </w:t>
      </w:r>
      <w:r w:rsidRPr="000A38E5">
        <w:rPr>
          <w:lang w:val="uk-UA"/>
        </w:rPr>
        <w:t>і не отримували його копію</w:t>
      </w:r>
      <w:r w:rsidR="00D83351" w:rsidRPr="00E93710">
        <w:rPr>
          <w:lang w:val="uk-UA"/>
        </w:rPr>
        <w:t xml:space="preserve">. </w:t>
      </w:r>
      <w:r w:rsidR="002A6BCF" w:rsidRPr="000A38E5">
        <w:rPr>
          <w:lang w:val="uk-UA"/>
        </w:rPr>
        <w:t>Вони надали копії листів, адресованих міській прокуратурі</w:t>
      </w:r>
      <w:r w:rsidR="00D83351" w:rsidRPr="00E93710">
        <w:rPr>
          <w:lang w:val="uk-UA"/>
        </w:rPr>
        <w:t xml:space="preserve"> </w:t>
      </w:r>
      <w:r w:rsidR="002A6BCF" w:rsidRPr="000A38E5">
        <w:rPr>
          <w:lang w:val="uk-UA"/>
        </w:rPr>
        <w:t>та начальникам міської та районної міліції,</w:t>
      </w:r>
      <w:r w:rsidR="00D83351" w:rsidRPr="00E93710">
        <w:rPr>
          <w:lang w:val="uk-UA"/>
        </w:rPr>
        <w:t xml:space="preserve"> </w:t>
      </w:r>
      <w:r w:rsidR="002A6BCF" w:rsidRPr="000A38E5">
        <w:rPr>
          <w:lang w:val="uk-UA"/>
        </w:rPr>
        <w:t>в яких просили надати копію рішення від 20 серпня</w:t>
      </w:r>
      <w:r w:rsidR="00D83351" w:rsidRPr="00E93710">
        <w:rPr>
          <w:lang w:val="uk-UA"/>
        </w:rPr>
        <w:t xml:space="preserve"> 2010 </w:t>
      </w:r>
      <w:r w:rsidR="002A6BCF" w:rsidRPr="00E93710">
        <w:rPr>
          <w:lang w:val="uk-UA"/>
        </w:rPr>
        <w:t xml:space="preserve">р. </w:t>
      </w:r>
      <w:r w:rsidR="00D277C1" w:rsidRPr="000A38E5">
        <w:rPr>
          <w:lang w:val="uk-UA"/>
        </w:rPr>
        <w:t>та додали поштові квитанції, які демонстрували, що ці листи були доставлені</w:t>
      </w:r>
      <w:r w:rsidR="00D83351" w:rsidRPr="00E93710">
        <w:rPr>
          <w:lang w:val="uk-UA"/>
        </w:rPr>
        <w:t xml:space="preserve"> </w:t>
      </w:r>
      <w:r w:rsidR="00D277C1" w:rsidRPr="000A38E5">
        <w:rPr>
          <w:lang w:val="uk-UA"/>
        </w:rPr>
        <w:t>9 та 10 листопада</w:t>
      </w:r>
      <w:r w:rsidR="00D83351" w:rsidRPr="00E93710">
        <w:rPr>
          <w:lang w:val="uk-UA"/>
        </w:rPr>
        <w:t xml:space="preserve"> 2010</w:t>
      </w:r>
      <w:r w:rsidR="00D277C1" w:rsidRPr="00E93710">
        <w:rPr>
          <w:lang w:val="uk-UA"/>
        </w:rPr>
        <w:t xml:space="preserve"> р</w:t>
      </w:r>
      <w:r w:rsidR="00D83351" w:rsidRPr="00E93710">
        <w:rPr>
          <w:lang w:val="uk-UA"/>
        </w:rPr>
        <w:t>.</w:t>
      </w:r>
    </w:p>
    <w:p w:rsidR="00D83351" w:rsidRPr="00E93710" w:rsidRDefault="00DF68C1" w:rsidP="00852217">
      <w:pPr>
        <w:pStyle w:val="ECHRPara"/>
        <w:rPr>
          <w:lang w:val="uk-UA"/>
        </w:rPr>
      </w:pPr>
      <w:r w:rsidRPr="000A38E5">
        <w:rPr>
          <w:lang w:val="uk-UA"/>
        </w:rPr>
        <w:t>У своїх зауваженнях від 1 березня</w:t>
      </w:r>
      <w:r w:rsidR="00D83351" w:rsidRPr="00E93710">
        <w:rPr>
          <w:lang w:val="uk-UA"/>
        </w:rPr>
        <w:t xml:space="preserve"> 2012 </w:t>
      </w:r>
      <w:r w:rsidRPr="000A38E5">
        <w:rPr>
          <w:lang w:val="uk-UA"/>
        </w:rPr>
        <w:t>р. стосовно зауважень заявників від 15 листопада</w:t>
      </w:r>
      <w:r w:rsidR="00D83351" w:rsidRPr="00E93710">
        <w:rPr>
          <w:lang w:val="uk-UA"/>
        </w:rPr>
        <w:t xml:space="preserve"> 2011</w:t>
      </w:r>
      <w:r w:rsidRPr="000A38E5">
        <w:rPr>
          <w:lang w:val="uk-UA"/>
        </w:rPr>
        <w:t xml:space="preserve"> р.</w:t>
      </w:r>
      <w:r w:rsidR="00D83351" w:rsidRPr="00E93710">
        <w:rPr>
          <w:lang w:val="uk-UA"/>
        </w:rPr>
        <w:t xml:space="preserve">, </w:t>
      </w:r>
      <w:r w:rsidR="008F4146" w:rsidRPr="000A38E5">
        <w:rPr>
          <w:lang w:val="uk-UA"/>
        </w:rPr>
        <w:t>Уряд прокоментував ряд фактичних питань, висунутих заявниками</w:t>
      </w:r>
      <w:r w:rsidR="00D83351" w:rsidRPr="00E93710">
        <w:rPr>
          <w:lang w:val="uk-UA"/>
        </w:rPr>
        <w:t xml:space="preserve"> (</w:t>
      </w:r>
      <w:r w:rsidR="008F4146" w:rsidRPr="000A38E5">
        <w:rPr>
          <w:lang w:val="uk-UA"/>
        </w:rPr>
        <w:t>зокрема, громадську консультацію стосовно проекту</w:t>
      </w:r>
      <w:r w:rsidR="00D83351" w:rsidRPr="00E93710">
        <w:rPr>
          <w:lang w:val="uk-UA"/>
        </w:rPr>
        <w:t xml:space="preserve">, </w:t>
      </w:r>
      <w:r w:rsidR="008F4146" w:rsidRPr="000A38E5">
        <w:rPr>
          <w:lang w:val="uk-UA"/>
        </w:rPr>
        <w:t>див. пункт</w:t>
      </w:r>
      <w:r w:rsidR="00D83351" w:rsidRPr="00E93710">
        <w:rPr>
          <w:lang w:val="uk-UA"/>
        </w:rPr>
        <w:t xml:space="preserve"> </w:t>
      </w:r>
      <w:fldSimple w:instr=" REF Govt_public_consultation \h  \* MERGEFORMAT ">
        <w:r w:rsidR="0075299E" w:rsidRPr="00E93710">
          <w:rPr>
            <w:noProof/>
            <w:lang w:val="uk-UA"/>
          </w:rPr>
          <w:t>200</w:t>
        </w:r>
      </w:fldSimple>
      <w:r w:rsidR="00D83351" w:rsidRPr="00E93710">
        <w:rPr>
          <w:lang w:val="uk-UA"/>
        </w:rPr>
        <w:t xml:space="preserve"> </w:t>
      </w:r>
      <w:r w:rsidR="008F4146" w:rsidRPr="000A38E5">
        <w:rPr>
          <w:lang w:val="uk-UA"/>
        </w:rPr>
        <w:t>нижче</w:t>
      </w:r>
      <w:r w:rsidR="00D83351" w:rsidRPr="00E93710">
        <w:rPr>
          <w:lang w:val="uk-UA"/>
        </w:rPr>
        <w:t>)</w:t>
      </w:r>
      <w:r w:rsidR="008F4146" w:rsidRPr="00E93710">
        <w:rPr>
          <w:lang w:val="uk-UA"/>
        </w:rPr>
        <w:t>,</w:t>
      </w:r>
      <w:r w:rsidR="00D83351" w:rsidRPr="00E93710">
        <w:rPr>
          <w:lang w:val="uk-UA"/>
        </w:rPr>
        <w:t xml:space="preserve"> </w:t>
      </w:r>
      <w:r w:rsidR="008F4146" w:rsidRPr="000A38E5">
        <w:rPr>
          <w:lang w:val="uk-UA"/>
        </w:rPr>
        <w:t xml:space="preserve">але не прокоментував </w:t>
      </w:r>
      <w:proofErr w:type="spellStart"/>
      <w:r w:rsidR="008F4146" w:rsidRPr="000A38E5">
        <w:rPr>
          <w:lang w:val="uk-UA"/>
        </w:rPr>
        <w:t>стверджувану</w:t>
      </w:r>
      <w:proofErr w:type="spellEnd"/>
      <w:r w:rsidR="008F4146" w:rsidRPr="000A38E5">
        <w:rPr>
          <w:lang w:val="uk-UA"/>
        </w:rPr>
        <w:t xml:space="preserve"> нездатність заявників отримати копію</w:t>
      </w:r>
      <w:r w:rsidR="00121B3C" w:rsidRPr="00E93710">
        <w:rPr>
          <w:lang w:val="uk-UA"/>
        </w:rPr>
        <w:t xml:space="preserve"> </w:t>
      </w:r>
      <w:r w:rsidR="008F4146" w:rsidRPr="000A38E5">
        <w:rPr>
          <w:lang w:val="uk-UA"/>
        </w:rPr>
        <w:t>рішення від 20 серпня</w:t>
      </w:r>
      <w:r w:rsidR="00D83351" w:rsidRPr="00E93710">
        <w:rPr>
          <w:lang w:val="uk-UA"/>
        </w:rPr>
        <w:t xml:space="preserve"> 2010</w:t>
      </w:r>
      <w:r w:rsidR="008F4146" w:rsidRPr="00E93710">
        <w:rPr>
          <w:lang w:val="uk-UA"/>
        </w:rPr>
        <w:t xml:space="preserve"> р</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89</w:t>
      </w:r>
      <w:r w:rsidRPr="00E93710">
        <w:rPr>
          <w:noProof/>
          <w:lang w:val="uk-UA"/>
        </w:rPr>
        <w:fldChar w:fldCharType="end"/>
      </w:r>
      <w:r w:rsidR="00D83351" w:rsidRPr="00E93710">
        <w:rPr>
          <w:lang w:val="uk-UA"/>
        </w:rPr>
        <w:t>.</w:t>
      </w:r>
      <w:r w:rsidR="00334477" w:rsidRPr="000A38E5">
        <w:rPr>
          <w:lang w:val="uk-UA"/>
        </w:rPr>
        <w:t xml:space="preserve"> </w:t>
      </w:r>
      <w:r w:rsidR="00FD6C7E" w:rsidRPr="000A38E5">
        <w:rPr>
          <w:lang w:val="uk-UA"/>
        </w:rPr>
        <w:t>31 липня</w:t>
      </w:r>
      <w:r w:rsidR="00D83351" w:rsidRPr="00E93710">
        <w:rPr>
          <w:lang w:val="uk-UA"/>
        </w:rPr>
        <w:t xml:space="preserve"> 2014</w:t>
      </w:r>
      <w:r w:rsidR="00FD6C7E" w:rsidRPr="000A38E5">
        <w:rPr>
          <w:lang w:val="uk-UA"/>
        </w:rPr>
        <w:t xml:space="preserve"> р.</w:t>
      </w:r>
      <w:r w:rsidR="00D83351" w:rsidRPr="00E93710">
        <w:rPr>
          <w:lang w:val="uk-UA"/>
        </w:rPr>
        <w:t xml:space="preserve">, </w:t>
      </w:r>
      <w:r w:rsidR="00E0410F" w:rsidRPr="000A38E5">
        <w:rPr>
          <w:lang w:val="uk-UA"/>
        </w:rPr>
        <w:t>у відповідь на запит Суду щодо подальших зауважень</w:t>
      </w:r>
      <w:r w:rsidR="00D83351" w:rsidRPr="00E93710">
        <w:rPr>
          <w:lang w:val="uk-UA"/>
        </w:rPr>
        <w:t xml:space="preserve"> (</w:t>
      </w:r>
      <w:r w:rsidR="00E0410F" w:rsidRPr="000A38E5">
        <w:rPr>
          <w:lang w:val="uk-UA"/>
        </w:rPr>
        <w:t>див. пункт</w:t>
      </w:r>
      <w:r w:rsidR="00D83351" w:rsidRPr="00E93710">
        <w:rPr>
          <w:lang w:val="uk-UA"/>
        </w:rPr>
        <w:t xml:space="preserve"> </w:t>
      </w:r>
      <w:fldSimple w:instr=" REF further_observations \h  \* MERGEFORMAT ">
        <w:r w:rsidR="0075299E" w:rsidRPr="00E93710">
          <w:rPr>
            <w:noProof/>
            <w:lang w:val="uk-UA"/>
          </w:rPr>
          <w:t>5</w:t>
        </w:r>
      </w:fldSimple>
      <w:r w:rsidR="00D83351" w:rsidRPr="00E93710">
        <w:rPr>
          <w:lang w:val="uk-UA"/>
        </w:rPr>
        <w:t xml:space="preserve"> </w:t>
      </w:r>
      <w:r w:rsidR="00E0410F" w:rsidRPr="000A38E5">
        <w:rPr>
          <w:lang w:val="uk-UA"/>
        </w:rPr>
        <w:t>вище</w:t>
      </w:r>
      <w:r w:rsidR="00D83351" w:rsidRPr="00E93710">
        <w:rPr>
          <w:lang w:val="uk-UA"/>
        </w:rPr>
        <w:t xml:space="preserve">), </w:t>
      </w:r>
      <w:r w:rsidR="00E0410F" w:rsidRPr="000A38E5">
        <w:rPr>
          <w:lang w:val="uk-UA"/>
        </w:rPr>
        <w:t>Уряд проінформував Суд, що матеріали стосовно перевірок</w:t>
      </w:r>
      <w:r w:rsidR="00D83351" w:rsidRPr="00E93710">
        <w:rPr>
          <w:lang w:val="uk-UA"/>
        </w:rPr>
        <w:t xml:space="preserve"> </w:t>
      </w:r>
      <w:r w:rsidR="00E0410F" w:rsidRPr="000A38E5">
        <w:rPr>
          <w:lang w:val="uk-UA"/>
        </w:rPr>
        <w:t>тверджень сьомого та дев’ятого заявників</w:t>
      </w:r>
      <w:r w:rsidR="00D83351" w:rsidRPr="00E93710">
        <w:rPr>
          <w:lang w:val="uk-UA"/>
        </w:rPr>
        <w:t xml:space="preserve"> </w:t>
      </w:r>
      <w:r w:rsidR="00E0410F" w:rsidRPr="000A38E5">
        <w:rPr>
          <w:lang w:val="uk-UA"/>
        </w:rPr>
        <w:t>про жорстоке поводження були знищені</w:t>
      </w:r>
      <w:r w:rsidR="00D83351" w:rsidRPr="00E93710">
        <w:rPr>
          <w:lang w:val="uk-UA"/>
        </w:rPr>
        <w:t xml:space="preserve"> </w:t>
      </w:r>
      <w:r w:rsidR="00E0410F" w:rsidRPr="000A38E5">
        <w:rPr>
          <w:lang w:val="uk-UA"/>
        </w:rPr>
        <w:t>через закінчення строку їх зберігання</w:t>
      </w:r>
      <w:r w:rsidR="00D83351" w:rsidRPr="00E93710">
        <w:rPr>
          <w:lang w:val="uk-UA"/>
        </w:rPr>
        <w:t xml:space="preserve">. </w:t>
      </w:r>
      <w:r w:rsidR="00E0410F" w:rsidRPr="000A38E5">
        <w:rPr>
          <w:lang w:val="uk-UA"/>
        </w:rPr>
        <w:t>Уряд надав твердження про знищення, датоване</w:t>
      </w:r>
      <w:r w:rsidR="00D83351" w:rsidRPr="00E93710">
        <w:rPr>
          <w:lang w:val="uk-UA"/>
        </w:rPr>
        <w:t xml:space="preserve"> 9 </w:t>
      </w:r>
      <w:r w:rsidR="00E0410F" w:rsidRPr="000A38E5">
        <w:rPr>
          <w:lang w:val="uk-UA"/>
        </w:rPr>
        <w:t>вересня</w:t>
      </w:r>
      <w:r w:rsidR="00D83351" w:rsidRPr="00E93710">
        <w:rPr>
          <w:lang w:val="uk-UA"/>
        </w:rPr>
        <w:t xml:space="preserve"> 2013</w:t>
      </w:r>
      <w:r w:rsidR="00E0410F" w:rsidRPr="000A38E5">
        <w:rPr>
          <w:lang w:val="uk-UA"/>
        </w:rPr>
        <w:t xml:space="preserve"> р</w:t>
      </w:r>
      <w:r w:rsidR="00D83351" w:rsidRPr="00E93710">
        <w:rPr>
          <w:lang w:val="uk-UA"/>
        </w:rPr>
        <w:t>.</w:t>
      </w:r>
    </w:p>
    <w:p w:rsidR="00D83351" w:rsidRPr="000A38E5" w:rsidRDefault="00D83351" w:rsidP="00852217">
      <w:pPr>
        <w:pStyle w:val="ECHRHeading3"/>
        <w:rPr>
          <w:lang w:val="uk-UA"/>
        </w:rPr>
      </w:pPr>
      <w:r w:rsidRPr="00E93710">
        <w:rPr>
          <w:lang w:val="uk-UA"/>
        </w:rPr>
        <w:t>4.</w:t>
      </w:r>
      <w:r w:rsidR="00334477" w:rsidRPr="000A38E5">
        <w:rPr>
          <w:lang w:val="uk-UA"/>
        </w:rPr>
        <w:t xml:space="preserve"> </w:t>
      </w:r>
      <w:r w:rsidR="00B20974" w:rsidRPr="000A38E5">
        <w:rPr>
          <w:lang w:val="uk-UA"/>
        </w:rPr>
        <w:t>Адміністративні судові провадження стосовно нездатності міліції</w:t>
      </w:r>
      <w:r w:rsidRPr="00E93710">
        <w:rPr>
          <w:lang w:val="uk-UA"/>
        </w:rPr>
        <w:t xml:space="preserve"> </w:t>
      </w:r>
      <w:r w:rsidR="00B20974" w:rsidRPr="000A38E5">
        <w:rPr>
          <w:lang w:val="uk-UA"/>
        </w:rPr>
        <w:t>захистити заявників</w:t>
      </w:r>
    </w:p>
    <w:bookmarkStart w:id="58" w:name="admin_courts_trial"/>
    <w:p w:rsidR="00D83351" w:rsidRPr="000A38E5" w:rsidRDefault="004E7608" w:rsidP="00B20974">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90</w:t>
      </w:r>
      <w:r w:rsidRPr="00E93710">
        <w:rPr>
          <w:lang w:val="uk-UA"/>
        </w:rPr>
        <w:fldChar w:fldCharType="end"/>
      </w:r>
      <w:bookmarkEnd w:id="58"/>
      <w:r w:rsidR="00D83351" w:rsidRPr="00E93710">
        <w:rPr>
          <w:lang w:val="uk-UA"/>
        </w:rPr>
        <w:t>.</w:t>
      </w:r>
      <w:r w:rsidR="00334477" w:rsidRPr="000A38E5">
        <w:rPr>
          <w:lang w:val="uk-UA"/>
        </w:rPr>
        <w:t xml:space="preserve"> </w:t>
      </w:r>
      <w:r w:rsidR="00B20974" w:rsidRPr="000A38E5">
        <w:rPr>
          <w:lang w:val="uk-UA"/>
        </w:rPr>
        <w:t>У листопаді</w:t>
      </w:r>
      <w:r w:rsidR="00D83351" w:rsidRPr="00E93710">
        <w:rPr>
          <w:lang w:val="uk-UA"/>
        </w:rPr>
        <w:t xml:space="preserve"> 2010 </w:t>
      </w:r>
      <w:r w:rsidR="00B20974" w:rsidRPr="000A38E5">
        <w:rPr>
          <w:lang w:val="uk-UA"/>
        </w:rPr>
        <w:t>р. декілька протестуючих, у тому числі усі заявники</w:t>
      </w:r>
      <w:r w:rsidR="00D83351" w:rsidRPr="00E93710">
        <w:rPr>
          <w:lang w:val="uk-UA"/>
        </w:rPr>
        <w:t xml:space="preserve">, </w:t>
      </w:r>
      <w:r w:rsidR="00B20974" w:rsidRPr="000A38E5">
        <w:rPr>
          <w:lang w:val="uk-UA"/>
        </w:rPr>
        <w:t>подали позов до Харківського окружного адміністративного суду</w:t>
      </w:r>
      <w:r w:rsidR="00D83351" w:rsidRPr="00E93710">
        <w:rPr>
          <w:lang w:val="uk-UA"/>
        </w:rPr>
        <w:t xml:space="preserve">, </w:t>
      </w:r>
      <w:r w:rsidR="00B20974" w:rsidRPr="000A38E5">
        <w:rPr>
          <w:lang w:val="uk-UA"/>
        </w:rPr>
        <w:t>скаржачись, що міліція не захистила їх від нападів</w:t>
      </w:r>
      <w:r w:rsidR="00D83351" w:rsidRPr="00E93710">
        <w:rPr>
          <w:lang w:val="uk-UA"/>
        </w:rPr>
        <w:t xml:space="preserve"> </w:t>
      </w:r>
      <w:r w:rsidR="00B20974" w:rsidRPr="000A38E5">
        <w:rPr>
          <w:lang w:val="uk-UA"/>
        </w:rPr>
        <w:t>протягом їх мирних протестів проти повалення дерев</w:t>
      </w:r>
      <w:r w:rsidR="007C6EE5" w:rsidRPr="00E93710">
        <w:rPr>
          <w:lang w:val="uk-UA"/>
        </w:rPr>
        <w:t xml:space="preserve">, </w:t>
      </w:r>
      <w:r w:rsidR="00B20974" w:rsidRPr="000A38E5">
        <w:rPr>
          <w:lang w:val="uk-UA"/>
        </w:rPr>
        <w:t>зокрема, 28 та 31 травня</w:t>
      </w:r>
      <w:r w:rsidR="00D83351" w:rsidRPr="00E93710">
        <w:rPr>
          <w:lang w:val="uk-UA"/>
        </w:rPr>
        <w:t xml:space="preserve"> </w:t>
      </w:r>
      <w:r w:rsidR="00B20974" w:rsidRPr="000A38E5">
        <w:rPr>
          <w:lang w:val="uk-UA"/>
        </w:rPr>
        <w:t>та 1 і 2 червня</w:t>
      </w:r>
      <w:r w:rsidR="00D83351" w:rsidRPr="00E93710">
        <w:rPr>
          <w:lang w:val="uk-UA"/>
        </w:rPr>
        <w:t xml:space="preserve"> 2010</w:t>
      </w:r>
      <w:r w:rsidR="00B20974" w:rsidRPr="00E93710">
        <w:rPr>
          <w:lang w:val="uk-UA"/>
        </w:rPr>
        <w:t xml:space="preserve"> р</w:t>
      </w:r>
      <w:r w:rsidR="00D83351" w:rsidRPr="00E93710">
        <w:rPr>
          <w:lang w:val="uk-UA"/>
        </w:rPr>
        <w:t>.</w:t>
      </w:r>
    </w:p>
    <w:p w:rsidR="00D83351" w:rsidRPr="00E93710" w:rsidRDefault="005F23FC" w:rsidP="00852217">
      <w:pPr>
        <w:pStyle w:val="ECHRPara"/>
        <w:rPr>
          <w:lang w:val="uk-UA"/>
        </w:rPr>
      </w:pPr>
      <w:r w:rsidRPr="000A38E5">
        <w:rPr>
          <w:lang w:val="uk-UA"/>
        </w:rPr>
        <w:t>За словами Уряду, в ході суду в цій справі</w:t>
      </w:r>
      <w:r w:rsidR="00D83351" w:rsidRPr="00E93710">
        <w:rPr>
          <w:lang w:val="uk-UA"/>
        </w:rPr>
        <w:t xml:space="preserve"> </w:t>
      </w:r>
      <w:r w:rsidRPr="000A38E5">
        <w:rPr>
          <w:lang w:val="uk-UA"/>
        </w:rPr>
        <w:t>сьому заявницю допитав представник міліції</w:t>
      </w:r>
      <w:r w:rsidR="00D83351" w:rsidRPr="00E93710">
        <w:rPr>
          <w:lang w:val="uk-UA"/>
        </w:rPr>
        <w:t xml:space="preserve">. </w:t>
      </w:r>
      <w:r w:rsidRPr="000A38E5">
        <w:rPr>
          <w:lang w:val="uk-UA"/>
        </w:rPr>
        <w:t>Вона стверджувала, що не могла сказати зі впевненістю,</w:t>
      </w:r>
      <w:r w:rsidR="00D83351" w:rsidRPr="00E93710">
        <w:rPr>
          <w:lang w:val="uk-UA"/>
        </w:rPr>
        <w:t xml:space="preserve"> </w:t>
      </w:r>
      <w:r w:rsidR="000729ED" w:rsidRPr="000A38E5">
        <w:rPr>
          <w:lang w:val="uk-UA"/>
        </w:rPr>
        <w:t>хто вдарив її 31 травня</w:t>
      </w:r>
      <w:r w:rsidR="00D83351" w:rsidRPr="00E93710">
        <w:rPr>
          <w:lang w:val="uk-UA"/>
        </w:rPr>
        <w:t xml:space="preserve"> 2010 </w:t>
      </w:r>
      <w:r w:rsidR="000729ED" w:rsidRPr="00E93710">
        <w:rPr>
          <w:lang w:val="uk-UA"/>
        </w:rPr>
        <w:t xml:space="preserve">р., </w:t>
      </w:r>
      <w:r w:rsidR="000729ED" w:rsidRPr="000A38E5">
        <w:rPr>
          <w:lang w:val="uk-UA"/>
        </w:rPr>
        <w:t>і лише вважала, що це була особа у чорному одязі</w:t>
      </w:r>
      <w:r w:rsidR="00D83351" w:rsidRPr="00E93710">
        <w:rPr>
          <w:lang w:val="uk-UA"/>
        </w:rPr>
        <w:t>.</w:t>
      </w:r>
    </w:p>
    <w:bookmarkStart w:id="59" w:name="admin_courts_first_instance_and_further"/>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91</w:t>
      </w:r>
      <w:r w:rsidRPr="00E93710">
        <w:rPr>
          <w:lang w:val="uk-UA"/>
        </w:rPr>
        <w:fldChar w:fldCharType="end"/>
      </w:r>
      <w:bookmarkEnd w:id="59"/>
      <w:r w:rsidR="00D83351" w:rsidRPr="00E93710">
        <w:rPr>
          <w:lang w:val="uk-UA"/>
        </w:rPr>
        <w:t>.</w:t>
      </w:r>
      <w:r w:rsidR="00334477" w:rsidRPr="000A38E5">
        <w:rPr>
          <w:lang w:val="uk-UA"/>
        </w:rPr>
        <w:t xml:space="preserve"> </w:t>
      </w:r>
      <w:r w:rsidR="000729ED" w:rsidRPr="000A38E5">
        <w:rPr>
          <w:lang w:val="uk-UA"/>
        </w:rPr>
        <w:t>24 травня</w:t>
      </w:r>
      <w:r w:rsidR="00D83351" w:rsidRPr="00E93710">
        <w:rPr>
          <w:lang w:val="uk-UA"/>
        </w:rPr>
        <w:t xml:space="preserve"> 2011 </w:t>
      </w:r>
      <w:r w:rsidR="000729ED" w:rsidRPr="000A38E5">
        <w:rPr>
          <w:lang w:val="uk-UA"/>
        </w:rPr>
        <w:t>р. суд першої інстанції відхилив позов заявників</w:t>
      </w:r>
      <w:r w:rsidR="00D83351" w:rsidRPr="00E93710">
        <w:rPr>
          <w:lang w:val="uk-UA"/>
        </w:rPr>
        <w:t xml:space="preserve">. </w:t>
      </w:r>
      <w:r w:rsidR="000729ED" w:rsidRPr="000A38E5">
        <w:rPr>
          <w:lang w:val="uk-UA"/>
        </w:rPr>
        <w:t>9 грудня</w:t>
      </w:r>
      <w:r w:rsidR="00D83351" w:rsidRPr="00E93710">
        <w:rPr>
          <w:lang w:val="uk-UA"/>
        </w:rPr>
        <w:t xml:space="preserve"> 2011 </w:t>
      </w:r>
      <w:r w:rsidR="000729ED" w:rsidRPr="000A38E5">
        <w:rPr>
          <w:lang w:val="uk-UA"/>
        </w:rPr>
        <w:t xml:space="preserve">р. </w:t>
      </w:r>
      <w:r w:rsidR="00FE19B0" w:rsidRPr="000A38E5">
        <w:rPr>
          <w:lang w:val="uk-UA"/>
        </w:rPr>
        <w:t>Харківський адміністративний апеляційний суд</w:t>
      </w:r>
      <w:r w:rsidR="00D83351" w:rsidRPr="00E93710">
        <w:rPr>
          <w:lang w:val="uk-UA"/>
        </w:rPr>
        <w:t xml:space="preserve"> </w:t>
      </w:r>
      <w:r w:rsidR="00FE19B0" w:rsidRPr="000A38E5">
        <w:rPr>
          <w:lang w:val="uk-UA"/>
        </w:rPr>
        <w:t>залишив у силі це рішення</w:t>
      </w:r>
      <w:r w:rsidR="00D83351" w:rsidRPr="00E93710">
        <w:rPr>
          <w:lang w:val="uk-UA"/>
        </w:rPr>
        <w:t xml:space="preserve">. </w:t>
      </w:r>
      <w:r w:rsidR="00FE19B0" w:rsidRPr="000A38E5">
        <w:rPr>
          <w:lang w:val="uk-UA"/>
        </w:rPr>
        <w:t>26 червня</w:t>
      </w:r>
      <w:r w:rsidR="00D83351" w:rsidRPr="00E93710">
        <w:rPr>
          <w:lang w:val="uk-UA"/>
        </w:rPr>
        <w:t xml:space="preserve"> 2014 </w:t>
      </w:r>
      <w:r w:rsidR="00FE19B0" w:rsidRPr="000A38E5">
        <w:rPr>
          <w:lang w:val="uk-UA"/>
        </w:rPr>
        <w:t>р. Вищий адміністративний суд ухвалив подану заявниками апеляцію</w:t>
      </w:r>
      <w:r w:rsidR="00D83351" w:rsidRPr="00E93710">
        <w:rPr>
          <w:lang w:val="uk-UA"/>
        </w:rPr>
        <w:t xml:space="preserve"> </w:t>
      </w:r>
      <w:r w:rsidR="00FE19B0" w:rsidRPr="000A38E5">
        <w:rPr>
          <w:lang w:val="uk-UA"/>
        </w:rPr>
        <w:t>та направив справу до суду першої інстанції</w:t>
      </w:r>
      <w:r w:rsidR="00D83351" w:rsidRPr="00E93710">
        <w:rPr>
          <w:lang w:val="uk-UA"/>
        </w:rPr>
        <w:t xml:space="preserve"> </w:t>
      </w:r>
      <w:r w:rsidR="00FE19B0" w:rsidRPr="000A38E5">
        <w:rPr>
          <w:lang w:val="uk-UA"/>
        </w:rPr>
        <w:t>для повторного розгляду на підставі того,</w:t>
      </w:r>
      <w:r w:rsidR="00D83351" w:rsidRPr="00E93710">
        <w:rPr>
          <w:lang w:val="uk-UA"/>
        </w:rPr>
        <w:t xml:space="preserve"> </w:t>
      </w:r>
      <w:r w:rsidR="00FE19B0" w:rsidRPr="000A38E5">
        <w:rPr>
          <w:lang w:val="uk-UA"/>
        </w:rPr>
        <w:t>що розгляд фактів судами нижчих інстанцій був неповним</w:t>
      </w:r>
      <w:r w:rsidR="00D83351" w:rsidRPr="00E93710">
        <w:rPr>
          <w:lang w:val="uk-UA"/>
        </w:rPr>
        <w:t xml:space="preserve">. </w:t>
      </w:r>
      <w:r w:rsidR="00FE19B0" w:rsidRPr="000A38E5">
        <w:rPr>
          <w:lang w:val="uk-UA"/>
        </w:rPr>
        <w:t>Зокрема, вони не встановили, чи напади</w:t>
      </w:r>
      <w:r w:rsidR="00D83351" w:rsidRPr="00E93710">
        <w:rPr>
          <w:lang w:val="uk-UA"/>
        </w:rPr>
        <w:t xml:space="preserve"> </w:t>
      </w:r>
      <w:r w:rsidR="00FE19B0" w:rsidRPr="000A38E5">
        <w:rPr>
          <w:lang w:val="uk-UA"/>
        </w:rPr>
        <w:t>на протестуючих дійсно мали місце</w:t>
      </w:r>
      <w:r w:rsidR="00D83351" w:rsidRPr="00E93710">
        <w:rPr>
          <w:lang w:val="uk-UA"/>
        </w:rPr>
        <w:t xml:space="preserve">, </w:t>
      </w:r>
      <w:r w:rsidR="00FE19B0" w:rsidRPr="000A38E5">
        <w:rPr>
          <w:lang w:val="uk-UA"/>
        </w:rPr>
        <w:t>перелік присутніх міліціонерів</w:t>
      </w:r>
      <w:r w:rsidR="00D83351" w:rsidRPr="00E93710">
        <w:rPr>
          <w:lang w:val="uk-UA"/>
        </w:rPr>
        <w:t xml:space="preserve">, </w:t>
      </w:r>
      <w:r w:rsidR="00FE19B0" w:rsidRPr="000A38E5">
        <w:rPr>
          <w:lang w:val="uk-UA"/>
        </w:rPr>
        <w:t>та чи протестуючі зверталися за допомогою</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92</w:t>
      </w:r>
      <w:r w:rsidRPr="00E93710">
        <w:rPr>
          <w:noProof/>
          <w:lang w:val="uk-UA"/>
        </w:rPr>
        <w:fldChar w:fldCharType="end"/>
      </w:r>
      <w:r w:rsidR="00D83351" w:rsidRPr="00E93710">
        <w:rPr>
          <w:lang w:val="uk-UA"/>
        </w:rPr>
        <w:t>.</w:t>
      </w:r>
      <w:r w:rsidR="00334477" w:rsidRPr="000A38E5">
        <w:rPr>
          <w:lang w:val="uk-UA"/>
        </w:rPr>
        <w:t xml:space="preserve"> </w:t>
      </w:r>
      <w:r w:rsidR="00DA05F3" w:rsidRPr="000A38E5">
        <w:rPr>
          <w:lang w:val="uk-UA"/>
        </w:rPr>
        <w:t>На момент</w:t>
      </w:r>
      <w:r w:rsidR="00FE19B0" w:rsidRPr="000A38E5">
        <w:rPr>
          <w:lang w:val="uk-UA"/>
        </w:rPr>
        <w:t xml:space="preserve"> останнього повідомлення від заявників у цьому відношенні</w:t>
      </w:r>
      <w:r w:rsidR="00D83351" w:rsidRPr="00E93710">
        <w:rPr>
          <w:lang w:val="uk-UA"/>
        </w:rPr>
        <w:t xml:space="preserve">, 8 </w:t>
      </w:r>
      <w:r w:rsidR="00DA05F3" w:rsidRPr="000A38E5">
        <w:rPr>
          <w:lang w:val="uk-UA"/>
        </w:rPr>
        <w:t>жовтня</w:t>
      </w:r>
      <w:r w:rsidR="00D83351" w:rsidRPr="00E93710">
        <w:rPr>
          <w:lang w:val="uk-UA"/>
        </w:rPr>
        <w:t xml:space="preserve"> 2014, </w:t>
      </w:r>
      <w:r w:rsidR="00DA05F3" w:rsidRPr="000A38E5">
        <w:rPr>
          <w:lang w:val="uk-UA"/>
        </w:rPr>
        <w:t>позов очікував розгляду у суді першої інстанції</w:t>
      </w:r>
      <w:r w:rsidR="00D83351" w:rsidRPr="00E93710">
        <w:rPr>
          <w:lang w:val="uk-UA"/>
        </w:rPr>
        <w:t>.</w:t>
      </w:r>
    </w:p>
    <w:p w:rsidR="00D83351" w:rsidRPr="000A38E5" w:rsidRDefault="00D83351" w:rsidP="00852217">
      <w:pPr>
        <w:pStyle w:val="ECHRHeading1"/>
        <w:rPr>
          <w:lang w:val="uk-UA"/>
        </w:rPr>
      </w:pPr>
      <w:r w:rsidRPr="00E93710">
        <w:rPr>
          <w:lang w:val="uk-UA"/>
        </w:rPr>
        <w:t>II.</w:t>
      </w:r>
      <w:r w:rsidR="00B13FF6" w:rsidRPr="00E93710">
        <w:rPr>
          <w:lang w:val="uk-UA"/>
        </w:rPr>
        <w:t> ВІДПОВІДНЕ</w:t>
      </w:r>
      <w:r w:rsidR="00521C06" w:rsidRPr="000A38E5">
        <w:rPr>
          <w:lang w:val="uk-UA"/>
        </w:rPr>
        <w:t xml:space="preserve"> НАЦІОНАЛЬНЕ ЗАКОНОДАВСТВО</w:t>
      </w:r>
    </w:p>
    <w:p w:rsidR="00D83351" w:rsidRPr="00E93710" w:rsidRDefault="00D83351" w:rsidP="00852217">
      <w:pPr>
        <w:pStyle w:val="ECHRHeading2"/>
        <w:rPr>
          <w:lang w:val="uk-UA" w:eastAsia="en-GB"/>
        </w:rPr>
      </w:pPr>
      <w:bookmarkStart w:id="60" w:name="r2"/>
      <w:r w:rsidRPr="00E93710">
        <w:rPr>
          <w:lang w:val="uk-UA" w:eastAsia="en-GB"/>
        </w:rPr>
        <w:t>A.</w:t>
      </w:r>
      <w:r w:rsidR="00B13FF6" w:rsidRPr="00E93710">
        <w:rPr>
          <w:lang w:val="uk-UA" w:eastAsia="en-GB"/>
        </w:rPr>
        <w:t> Конституція</w:t>
      </w:r>
      <w:r w:rsidR="00521C06" w:rsidRPr="000A38E5">
        <w:rPr>
          <w:lang w:val="uk-UA" w:eastAsia="en-GB"/>
        </w:rPr>
        <w:t xml:space="preserve"> від</w:t>
      </w:r>
      <w:r w:rsidRPr="00E93710">
        <w:rPr>
          <w:lang w:val="uk-UA" w:eastAsia="en-GB"/>
        </w:rPr>
        <w:t xml:space="preserve"> 1996</w:t>
      </w:r>
      <w:r w:rsidR="00521C06" w:rsidRPr="00E93710">
        <w:rPr>
          <w:lang w:val="uk-UA" w:eastAsia="en-GB"/>
        </w:rPr>
        <w:t xml:space="preserve"> р.</w:t>
      </w:r>
    </w:p>
    <w:bookmarkStart w:id="61" w:name="Constitution_A39"/>
    <w:p w:rsidR="00D83351" w:rsidRPr="00E93710" w:rsidRDefault="004E7608" w:rsidP="00852217">
      <w:pPr>
        <w:pStyle w:val="ECHRPara"/>
        <w:rPr>
          <w:lang w:val="uk-UA" w:eastAsia="en-GB"/>
        </w:rPr>
      </w:pPr>
      <w:r w:rsidRPr="00E93710">
        <w:rPr>
          <w:lang w:val="uk-UA" w:eastAsia="en-GB"/>
        </w:rPr>
        <w:fldChar w:fldCharType="begin"/>
      </w:r>
      <w:r w:rsidR="00D83351" w:rsidRPr="00E93710">
        <w:rPr>
          <w:lang w:val="uk-UA" w:eastAsia="en-GB"/>
        </w:rPr>
        <w:instrText xml:space="preserve"> SEQ level0 \*arabic </w:instrText>
      </w:r>
      <w:r w:rsidRPr="00E93710">
        <w:rPr>
          <w:lang w:val="uk-UA" w:eastAsia="en-GB"/>
        </w:rPr>
        <w:fldChar w:fldCharType="separate"/>
      </w:r>
      <w:r w:rsidR="0075299E" w:rsidRPr="00E93710">
        <w:rPr>
          <w:noProof/>
          <w:lang w:val="uk-UA" w:eastAsia="en-GB"/>
        </w:rPr>
        <w:t>93</w:t>
      </w:r>
      <w:r w:rsidRPr="00E93710">
        <w:rPr>
          <w:lang w:val="uk-UA" w:eastAsia="en-GB"/>
        </w:rPr>
        <w:fldChar w:fldCharType="end"/>
      </w:r>
      <w:bookmarkEnd w:id="61"/>
      <w:r w:rsidR="00D83351" w:rsidRPr="00E93710">
        <w:rPr>
          <w:lang w:val="uk-UA" w:eastAsia="en-GB"/>
        </w:rPr>
        <w:t>.</w:t>
      </w:r>
      <w:r w:rsidR="00334477" w:rsidRPr="000A38E5">
        <w:rPr>
          <w:lang w:val="uk-UA" w:eastAsia="en-GB"/>
        </w:rPr>
        <w:t xml:space="preserve"> </w:t>
      </w:r>
      <w:r w:rsidR="00521C06" w:rsidRPr="000A38E5">
        <w:rPr>
          <w:lang w:val="uk-UA" w:eastAsia="en-GB"/>
        </w:rPr>
        <w:t>Статті</w:t>
      </w:r>
      <w:r w:rsidR="00D83351" w:rsidRPr="00E93710">
        <w:rPr>
          <w:lang w:val="uk-UA" w:eastAsia="en-GB"/>
        </w:rPr>
        <w:t xml:space="preserve"> 39 </w:t>
      </w:r>
      <w:r w:rsidR="00521C06" w:rsidRPr="000A38E5">
        <w:rPr>
          <w:lang w:val="uk-UA" w:eastAsia="en-GB"/>
        </w:rPr>
        <w:t>та</w:t>
      </w:r>
      <w:r w:rsidR="00D83351" w:rsidRPr="00E93710">
        <w:rPr>
          <w:lang w:val="uk-UA" w:eastAsia="en-GB"/>
        </w:rPr>
        <w:t xml:space="preserve"> 40 </w:t>
      </w:r>
      <w:r w:rsidR="00521C06" w:rsidRPr="000A38E5">
        <w:rPr>
          <w:lang w:val="uk-UA" w:eastAsia="en-GB"/>
        </w:rPr>
        <w:t>Конституції України передбачають</w:t>
      </w:r>
      <w:r w:rsidR="00D83351" w:rsidRPr="00E93710">
        <w:rPr>
          <w:lang w:val="uk-UA" w:eastAsia="en-GB"/>
        </w:rPr>
        <w:t>:</w:t>
      </w:r>
    </w:p>
    <w:p w:rsidR="00D83351" w:rsidRPr="00E93710" w:rsidRDefault="00521C06" w:rsidP="00852217">
      <w:pPr>
        <w:pStyle w:val="ECHRTitleCentre3"/>
        <w:rPr>
          <w:szCs w:val="24"/>
          <w:lang w:val="uk-UA" w:eastAsia="en-GB"/>
        </w:rPr>
      </w:pPr>
      <w:r w:rsidRPr="000A38E5">
        <w:rPr>
          <w:lang w:val="uk-UA" w:eastAsia="en-GB"/>
        </w:rPr>
        <w:t>Стаття</w:t>
      </w:r>
      <w:r w:rsidR="00D83351" w:rsidRPr="00E93710">
        <w:rPr>
          <w:lang w:val="uk-UA" w:eastAsia="en-GB"/>
        </w:rPr>
        <w:t xml:space="preserve"> 39</w:t>
      </w:r>
    </w:p>
    <w:p w:rsidR="00D83351" w:rsidRPr="000A38E5" w:rsidRDefault="00D83351" w:rsidP="00852217">
      <w:pPr>
        <w:pStyle w:val="ECHRParaQuote"/>
        <w:rPr>
          <w:szCs w:val="24"/>
          <w:lang w:val="uk-UA" w:eastAsia="en-GB"/>
        </w:rPr>
      </w:pPr>
      <w:r w:rsidRPr="00E93710">
        <w:rPr>
          <w:szCs w:val="24"/>
          <w:lang w:val="uk-UA" w:eastAsia="en-GB"/>
        </w:rPr>
        <w:t>“</w:t>
      </w:r>
      <w:r w:rsidR="00521C06" w:rsidRPr="00E93710">
        <w:rPr>
          <w:color w:val="000000"/>
          <w:sz w:val="18"/>
          <w:szCs w:val="18"/>
          <w:shd w:val="clear" w:color="auto" w:fill="FFFFFF"/>
          <w:lang w:val="uk-UA"/>
        </w:rPr>
        <w:t xml:space="preserve"> </w:t>
      </w:r>
      <w:r w:rsidR="00521C06" w:rsidRPr="000A38E5">
        <w:rPr>
          <w:szCs w:val="24"/>
          <w:lang w:val="uk-UA" w:eastAsia="en-GB"/>
        </w:rPr>
        <w:t>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r w:rsidRPr="000A38E5">
        <w:rPr>
          <w:szCs w:val="24"/>
          <w:lang w:val="uk-UA" w:eastAsia="en-GB"/>
        </w:rPr>
        <w:t>.</w:t>
      </w:r>
    </w:p>
    <w:p w:rsidR="00D83351" w:rsidRPr="00E93710" w:rsidRDefault="00521C06" w:rsidP="00852217">
      <w:pPr>
        <w:pStyle w:val="ECHRParaQuote"/>
        <w:rPr>
          <w:lang w:val="uk-UA"/>
        </w:rPr>
      </w:pPr>
      <w:r w:rsidRPr="000A38E5">
        <w:rPr>
          <w:szCs w:val="24"/>
          <w:lang w:val="uk-UA" w:eastAsia="en-GB"/>
        </w:rPr>
        <w:t>Обмеження щодо реалізації цього права може встановлюватися судом відповідно до закону і лише в інтересах національної безпеки та громадського порядку</w:t>
      </w:r>
      <w:r w:rsidR="00494439" w:rsidRPr="000A38E5">
        <w:rPr>
          <w:szCs w:val="24"/>
          <w:lang w:val="uk-UA" w:eastAsia="en-GB"/>
        </w:rPr>
        <w:t xml:space="preserve"> – </w:t>
      </w:r>
      <w:r w:rsidRPr="000A38E5">
        <w:rPr>
          <w:szCs w:val="24"/>
          <w:lang w:val="uk-UA" w:eastAsia="en-GB"/>
        </w:rPr>
        <w:t xml:space="preserve">з метою запобігання заворушенням чи злочинам, для охорони здоров'я населення або захисту прав і свобод інших </w:t>
      </w:r>
      <w:proofErr w:type="spellStart"/>
      <w:r w:rsidRPr="000A38E5">
        <w:rPr>
          <w:szCs w:val="24"/>
          <w:lang w:val="uk-UA" w:eastAsia="en-GB"/>
        </w:rPr>
        <w:t>людей</w:t>
      </w:r>
      <w:r w:rsidR="00D83351" w:rsidRPr="00E93710">
        <w:rPr>
          <w:szCs w:val="24"/>
          <w:lang w:val="uk-UA" w:eastAsia="en-GB"/>
        </w:rPr>
        <w:t>.”</w:t>
      </w:r>
      <w:proofErr w:type="spellEnd"/>
    </w:p>
    <w:p w:rsidR="00D83351" w:rsidRPr="00E93710" w:rsidRDefault="00521C06" w:rsidP="00852217">
      <w:pPr>
        <w:pStyle w:val="ECHRTitleCentre3"/>
        <w:rPr>
          <w:lang w:val="uk-UA"/>
        </w:rPr>
      </w:pPr>
      <w:r w:rsidRPr="000A38E5">
        <w:rPr>
          <w:lang w:val="uk-UA"/>
        </w:rPr>
        <w:lastRenderedPageBreak/>
        <w:t>Стаття</w:t>
      </w:r>
      <w:r w:rsidR="00D83351" w:rsidRPr="00E93710">
        <w:rPr>
          <w:lang w:val="uk-UA"/>
        </w:rPr>
        <w:t xml:space="preserve"> 40</w:t>
      </w:r>
    </w:p>
    <w:p w:rsidR="00D83351" w:rsidRPr="00E93710" w:rsidRDefault="00D83351" w:rsidP="00852217">
      <w:pPr>
        <w:pStyle w:val="ECHRParaQuote"/>
        <w:rPr>
          <w:szCs w:val="24"/>
          <w:lang w:val="uk-UA" w:eastAsia="en-GB"/>
        </w:rPr>
      </w:pPr>
      <w:r w:rsidRPr="00E93710">
        <w:rPr>
          <w:lang w:val="uk-UA"/>
        </w:rPr>
        <w:t>“</w:t>
      </w:r>
      <w:r w:rsidR="00521C06" w:rsidRPr="00E93710">
        <w:rPr>
          <w:color w:val="000000"/>
          <w:sz w:val="18"/>
          <w:szCs w:val="18"/>
          <w:shd w:val="clear" w:color="auto" w:fill="FFFFFF"/>
          <w:lang w:val="uk-UA"/>
        </w:rPr>
        <w:t xml:space="preserve"> </w:t>
      </w:r>
      <w:r w:rsidR="00521C06" w:rsidRPr="000A38E5">
        <w:rPr>
          <w:lang w:val="uk-UA"/>
        </w:rPr>
        <w:t xml:space="preserve">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w:t>
      </w:r>
      <w:proofErr w:type="spellStart"/>
      <w:r w:rsidR="00521C06" w:rsidRPr="000A38E5">
        <w:rPr>
          <w:lang w:val="uk-UA"/>
        </w:rPr>
        <w:t>строк</w:t>
      </w:r>
      <w:r w:rsidRPr="00E93710">
        <w:rPr>
          <w:lang w:val="uk-UA"/>
        </w:rPr>
        <w:t>.”</w:t>
      </w:r>
      <w:proofErr w:type="spellEnd"/>
    </w:p>
    <w:bookmarkStart w:id="62" w:name="CC_decision"/>
    <w:bookmarkEnd w:id="60"/>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94</w:t>
      </w:r>
      <w:r w:rsidRPr="00E93710">
        <w:rPr>
          <w:lang w:val="uk-UA"/>
        </w:rPr>
        <w:fldChar w:fldCharType="end"/>
      </w:r>
      <w:bookmarkEnd w:id="62"/>
      <w:r w:rsidR="00D83351" w:rsidRPr="00E93710">
        <w:rPr>
          <w:lang w:val="uk-UA"/>
        </w:rPr>
        <w:t>.</w:t>
      </w:r>
      <w:r w:rsidR="00334477" w:rsidRPr="000A38E5">
        <w:rPr>
          <w:lang w:val="uk-UA"/>
        </w:rPr>
        <w:t xml:space="preserve"> </w:t>
      </w:r>
      <w:r w:rsidR="008D3490" w:rsidRPr="000A38E5">
        <w:rPr>
          <w:lang w:val="uk-UA"/>
        </w:rPr>
        <w:t>У своєму рішенні від 19 квітня</w:t>
      </w:r>
      <w:r w:rsidR="00D83351" w:rsidRPr="00E93710">
        <w:rPr>
          <w:lang w:val="uk-UA"/>
        </w:rPr>
        <w:t xml:space="preserve"> 2001 </w:t>
      </w:r>
      <w:r w:rsidR="008D3490" w:rsidRPr="000A38E5">
        <w:rPr>
          <w:lang w:val="uk-UA"/>
        </w:rPr>
        <w:t>р. Конституційний Суд надав офіційне тлумачення статті</w:t>
      </w:r>
      <w:r w:rsidR="00D83351" w:rsidRPr="00E93710">
        <w:rPr>
          <w:lang w:val="uk-UA"/>
        </w:rPr>
        <w:t xml:space="preserve"> 39 </w:t>
      </w:r>
      <w:r w:rsidR="008D3490" w:rsidRPr="000A38E5">
        <w:rPr>
          <w:lang w:val="uk-UA"/>
        </w:rPr>
        <w:t>Конвенції</w:t>
      </w:r>
      <w:r w:rsidR="00D83351" w:rsidRPr="00E93710">
        <w:rPr>
          <w:lang w:val="uk-UA"/>
        </w:rPr>
        <w:t xml:space="preserve">. </w:t>
      </w:r>
      <w:r w:rsidR="008D3490" w:rsidRPr="000A38E5">
        <w:rPr>
          <w:lang w:val="uk-UA"/>
        </w:rPr>
        <w:t>Тлумачення було надано у відповідь на заяву</w:t>
      </w:r>
      <w:r w:rsidR="00D83351" w:rsidRPr="00E93710">
        <w:rPr>
          <w:lang w:val="uk-UA"/>
        </w:rPr>
        <w:t xml:space="preserve"> </w:t>
      </w:r>
      <w:r w:rsidR="008D3490" w:rsidRPr="000A38E5">
        <w:rPr>
          <w:lang w:val="uk-UA"/>
        </w:rPr>
        <w:t>стосовно абстрактного тлумачення, подану Міністерством внутрішніх справ</w:t>
      </w:r>
      <w:r w:rsidR="00D83351" w:rsidRPr="00E93710">
        <w:rPr>
          <w:lang w:val="uk-UA"/>
        </w:rPr>
        <w:t xml:space="preserve">. </w:t>
      </w:r>
      <w:r w:rsidR="008D3490" w:rsidRPr="000A38E5">
        <w:rPr>
          <w:lang w:val="uk-UA"/>
        </w:rPr>
        <w:t>Суд зазначив, зокрема</w:t>
      </w:r>
      <w:r w:rsidR="00D83351" w:rsidRPr="00E93710">
        <w:rPr>
          <w:lang w:val="uk-UA"/>
        </w:rPr>
        <w:t>:</w:t>
      </w:r>
    </w:p>
    <w:p w:rsidR="00D83351" w:rsidRPr="000A38E5" w:rsidRDefault="00D83351" w:rsidP="00FE50D8">
      <w:pPr>
        <w:pStyle w:val="ECHRParaQuote"/>
        <w:rPr>
          <w:lang w:val="uk-UA"/>
        </w:rPr>
      </w:pPr>
      <w:r w:rsidRPr="00E93710">
        <w:rPr>
          <w:lang w:val="uk-UA"/>
        </w:rPr>
        <w:t xml:space="preserve">“2. ... </w:t>
      </w:r>
      <w:r w:rsidR="00FE50D8" w:rsidRPr="000A38E5">
        <w:rPr>
          <w:lang w:val="uk-UA"/>
        </w:rPr>
        <w:t>Тривалість строків завчасного сповіщення має бути у розумних межах</w:t>
      </w:r>
      <w:r w:rsidRPr="000A38E5">
        <w:rPr>
          <w:lang w:val="uk-UA"/>
        </w:rPr>
        <w:t xml:space="preserve">... </w:t>
      </w:r>
      <w:r w:rsidR="00FE50D8" w:rsidRPr="000A38E5">
        <w:rPr>
          <w:lang w:val="uk-UA"/>
        </w:rPr>
        <w:t>Упродовж цього строку зазначені органи мають</w:t>
      </w:r>
      <w:r w:rsidR="00C67B20" w:rsidRPr="000A38E5">
        <w:rPr>
          <w:lang w:val="uk-UA"/>
        </w:rPr>
        <w:t xml:space="preserve"> </w:t>
      </w:r>
      <w:r w:rsidR="00FE50D8" w:rsidRPr="000A38E5">
        <w:rPr>
          <w:lang w:val="uk-UA"/>
        </w:rPr>
        <w:t>здійснити і ряд підготовчих</w:t>
      </w:r>
      <w:r w:rsidR="00334477" w:rsidRPr="000A38E5">
        <w:rPr>
          <w:lang w:val="uk-UA"/>
        </w:rPr>
        <w:t xml:space="preserve"> </w:t>
      </w:r>
      <w:r w:rsidR="00FE50D8" w:rsidRPr="000A38E5">
        <w:rPr>
          <w:lang w:val="uk-UA"/>
        </w:rPr>
        <w:t>заходів,</w:t>
      </w:r>
      <w:r w:rsidR="00334477" w:rsidRPr="000A38E5">
        <w:rPr>
          <w:lang w:val="uk-UA"/>
        </w:rPr>
        <w:t xml:space="preserve"> </w:t>
      </w:r>
      <w:r w:rsidR="00FE50D8" w:rsidRPr="000A38E5">
        <w:rPr>
          <w:lang w:val="uk-UA"/>
        </w:rPr>
        <w:t>зокрема,</w:t>
      </w:r>
      <w:r w:rsidR="00334477" w:rsidRPr="000A38E5">
        <w:rPr>
          <w:lang w:val="uk-UA"/>
        </w:rPr>
        <w:t xml:space="preserve"> </w:t>
      </w:r>
      <w:r w:rsidR="00FE50D8" w:rsidRPr="000A38E5">
        <w:rPr>
          <w:lang w:val="uk-UA"/>
        </w:rPr>
        <w:t>для</w:t>
      </w:r>
      <w:r w:rsidR="00334477" w:rsidRPr="000A38E5">
        <w:rPr>
          <w:lang w:val="uk-UA"/>
        </w:rPr>
        <w:t xml:space="preserve"> </w:t>
      </w:r>
      <w:r w:rsidR="00FE50D8" w:rsidRPr="000A38E5">
        <w:rPr>
          <w:lang w:val="uk-UA"/>
        </w:rPr>
        <w:t>забезпечення безперешкодного проведення громадянами зборів,</w:t>
      </w:r>
      <w:r w:rsidR="00334477" w:rsidRPr="000A38E5">
        <w:rPr>
          <w:lang w:val="uk-UA"/>
        </w:rPr>
        <w:t xml:space="preserve"> </w:t>
      </w:r>
      <w:r w:rsidR="00FE50D8" w:rsidRPr="000A38E5">
        <w:rPr>
          <w:lang w:val="uk-UA"/>
        </w:rPr>
        <w:t>мітингу, походу чи демонстрації,</w:t>
      </w:r>
      <w:r w:rsidR="00334477" w:rsidRPr="000A38E5">
        <w:rPr>
          <w:lang w:val="uk-UA"/>
        </w:rPr>
        <w:t xml:space="preserve"> </w:t>
      </w:r>
      <w:r w:rsidR="00FE50D8" w:rsidRPr="000A38E5">
        <w:rPr>
          <w:lang w:val="uk-UA"/>
        </w:rPr>
        <w:t>підтримання громадського порядку,</w:t>
      </w:r>
      <w:r w:rsidR="00334477" w:rsidRPr="000A38E5">
        <w:rPr>
          <w:lang w:val="uk-UA"/>
        </w:rPr>
        <w:t xml:space="preserve"> </w:t>
      </w:r>
      <w:r w:rsidR="00FE50D8" w:rsidRPr="000A38E5">
        <w:rPr>
          <w:lang w:val="uk-UA"/>
        </w:rPr>
        <w:t>охорони</w:t>
      </w:r>
      <w:r w:rsidR="00334477" w:rsidRPr="000A38E5">
        <w:rPr>
          <w:lang w:val="uk-UA"/>
        </w:rPr>
        <w:t xml:space="preserve"> </w:t>
      </w:r>
      <w:r w:rsidR="00FE50D8" w:rsidRPr="000A38E5">
        <w:rPr>
          <w:lang w:val="uk-UA"/>
        </w:rPr>
        <w:t>прав</w:t>
      </w:r>
      <w:r w:rsidR="00334477" w:rsidRPr="000A38E5">
        <w:rPr>
          <w:lang w:val="uk-UA"/>
        </w:rPr>
        <w:t xml:space="preserve"> </w:t>
      </w:r>
      <w:r w:rsidR="00FE50D8" w:rsidRPr="000A38E5">
        <w:rPr>
          <w:lang w:val="uk-UA"/>
        </w:rPr>
        <w:t>і свобод інших людей</w:t>
      </w:r>
      <w:r w:rsidRPr="000A38E5">
        <w:rPr>
          <w:lang w:val="uk-UA"/>
        </w:rPr>
        <w:t>...</w:t>
      </w:r>
    </w:p>
    <w:p w:rsidR="00D83351" w:rsidRPr="000A38E5" w:rsidRDefault="00B4161E" w:rsidP="00B4161E">
      <w:pPr>
        <w:pStyle w:val="ECHRParaQuote"/>
        <w:rPr>
          <w:lang w:val="uk-UA"/>
        </w:rPr>
      </w:pPr>
      <w:r w:rsidRPr="000A38E5">
        <w:rPr>
          <w:lang w:val="uk-UA"/>
        </w:rPr>
        <w:t>Строк завчасного сповіщення має бути достатнім</w:t>
      </w:r>
      <w:r w:rsidR="00334477" w:rsidRPr="000A38E5">
        <w:rPr>
          <w:lang w:val="uk-UA"/>
        </w:rPr>
        <w:t xml:space="preserve"> </w:t>
      </w:r>
      <w:r w:rsidRPr="000A38E5">
        <w:rPr>
          <w:lang w:val="uk-UA"/>
        </w:rPr>
        <w:t>і</w:t>
      </w:r>
      <w:r w:rsidR="00334477" w:rsidRPr="000A38E5">
        <w:rPr>
          <w:lang w:val="uk-UA"/>
        </w:rPr>
        <w:t xml:space="preserve"> </w:t>
      </w:r>
      <w:r w:rsidRPr="000A38E5">
        <w:rPr>
          <w:lang w:val="uk-UA"/>
        </w:rPr>
        <w:t>для</w:t>
      </w:r>
      <w:r w:rsidR="00334477" w:rsidRPr="000A38E5">
        <w:rPr>
          <w:lang w:val="uk-UA"/>
        </w:rPr>
        <w:t xml:space="preserve"> </w:t>
      </w:r>
      <w:r w:rsidRPr="000A38E5">
        <w:rPr>
          <w:lang w:val="uk-UA"/>
        </w:rPr>
        <w:t>того, щоб</w:t>
      </w:r>
      <w:r w:rsidR="00334477" w:rsidRPr="000A38E5">
        <w:rPr>
          <w:lang w:val="uk-UA"/>
        </w:rPr>
        <w:t xml:space="preserve"> </w:t>
      </w:r>
      <w:r w:rsidRPr="000A38E5">
        <w:rPr>
          <w:lang w:val="uk-UA"/>
        </w:rPr>
        <w:t>органи</w:t>
      </w:r>
      <w:r w:rsidR="00334477" w:rsidRPr="000A38E5">
        <w:rPr>
          <w:lang w:val="uk-UA"/>
        </w:rPr>
        <w:t xml:space="preserve"> </w:t>
      </w:r>
      <w:r w:rsidRPr="000A38E5">
        <w:rPr>
          <w:lang w:val="uk-UA"/>
        </w:rPr>
        <w:t>виконавчої</w:t>
      </w:r>
      <w:r w:rsidR="00334477" w:rsidRPr="000A38E5">
        <w:rPr>
          <w:lang w:val="uk-UA"/>
        </w:rPr>
        <w:t xml:space="preserve"> </w:t>
      </w:r>
      <w:r w:rsidRPr="000A38E5">
        <w:rPr>
          <w:lang w:val="uk-UA"/>
        </w:rPr>
        <w:t>влади</w:t>
      </w:r>
      <w:r w:rsidR="00334477" w:rsidRPr="000A38E5">
        <w:rPr>
          <w:lang w:val="uk-UA"/>
        </w:rPr>
        <w:t xml:space="preserve"> </w:t>
      </w:r>
      <w:r w:rsidRPr="000A38E5">
        <w:rPr>
          <w:lang w:val="uk-UA"/>
        </w:rPr>
        <w:t>чи органи місцевого самоврядування могли визначитися,</w:t>
      </w:r>
      <w:r w:rsidR="00334477" w:rsidRPr="000A38E5">
        <w:rPr>
          <w:lang w:val="uk-UA"/>
        </w:rPr>
        <w:t xml:space="preserve"> </w:t>
      </w:r>
      <w:r w:rsidRPr="000A38E5">
        <w:rPr>
          <w:lang w:val="uk-UA"/>
        </w:rPr>
        <w:t>наскільки проведення таких зібрань</w:t>
      </w:r>
      <w:r w:rsidR="00334477" w:rsidRPr="000A38E5">
        <w:rPr>
          <w:lang w:val="uk-UA"/>
        </w:rPr>
        <w:t xml:space="preserve"> </w:t>
      </w:r>
      <w:r w:rsidRPr="000A38E5">
        <w:rPr>
          <w:lang w:val="uk-UA"/>
        </w:rPr>
        <w:t>відповідає закону,</w:t>
      </w:r>
      <w:r w:rsidR="00334477" w:rsidRPr="000A38E5">
        <w:rPr>
          <w:lang w:val="uk-UA"/>
        </w:rPr>
        <w:t xml:space="preserve"> </w:t>
      </w:r>
      <w:r w:rsidRPr="000A38E5">
        <w:rPr>
          <w:lang w:val="uk-UA"/>
        </w:rPr>
        <w:t>та</w:t>
      </w:r>
      <w:r w:rsidR="00334477" w:rsidRPr="000A38E5">
        <w:rPr>
          <w:lang w:val="uk-UA"/>
        </w:rPr>
        <w:t xml:space="preserve"> </w:t>
      </w:r>
      <w:r w:rsidRPr="000A38E5">
        <w:rPr>
          <w:lang w:val="uk-UA"/>
        </w:rPr>
        <w:t>в</w:t>
      </w:r>
      <w:r w:rsidR="00334477" w:rsidRPr="000A38E5">
        <w:rPr>
          <w:lang w:val="uk-UA"/>
        </w:rPr>
        <w:t xml:space="preserve"> </w:t>
      </w:r>
      <w:r w:rsidRPr="000A38E5">
        <w:rPr>
          <w:lang w:val="uk-UA"/>
        </w:rPr>
        <w:t>разі</w:t>
      </w:r>
      <w:r w:rsidR="00334477" w:rsidRPr="000A38E5">
        <w:rPr>
          <w:lang w:val="uk-UA"/>
        </w:rPr>
        <w:t xml:space="preserve"> </w:t>
      </w:r>
      <w:r w:rsidRPr="000A38E5">
        <w:rPr>
          <w:lang w:val="uk-UA"/>
        </w:rPr>
        <w:t>потреби,</w:t>
      </w:r>
      <w:r w:rsidR="00334477" w:rsidRPr="000A38E5">
        <w:rPr>
          <w:lang w:val="uk-UA"/>
        </w:rPr>
        <w:t xml:space="preserve"> </w:t>
      </w:r>
      <w:r w:rsidRPr="000A38E5">
        <w:rPr>
          <w:lang w:val="uk-UA"/>
        </w:rPr>
        <w:t>згідно з частиною другою статті 39 Конституції України,</w:t>
      </w:r>
      <w:r w:rsidR="00334477" w:rsidRPr="000A38E5">
        <w:rPr>
          <w:lang w:val="uk-UA"/>
        </w:rPr>
        <w:t xml:space="preserve"> </w:t>
      </w:r>
      <w:r w:rsidRPr="000A38E5">
        <w:rPr>
          <w:lang w:val="uk-UA"/>
        </w:rPr>
        <w:t>звернутися до</w:t>
      </w:r>
      <w:r w:rsidR="00334477" w:rsidRPr="000A38E5">
        <w:rPr>
          <w:lang w:val="uk-UA"/>
        </w:rPr>
        <w:t xml:space="preserve"> </w:t>
      </w:r>
      <w:r w:rsidRPr="000A38E5">
        <w:rPr>
          <w:lang w:val="uk-UA"/>
        </w:rPr>
        <w:t>суду</w:t>
      </w:r>
      <w:r w:rsidR="00334477" w:rsidRPr="000A38E5">
        <w:rPr>
          <w:lang w:val="uk-UA"/>
        </w:rPr>
        <w:t xml:space="preserve"> </w:t>
      </w:r>
      <w:r w:rsidRPr="000A38E5">
        <w:rPr>
          <w:lang w:val="uk-UA"/>
        </w:rPr>
        <w:t>для</w:t>
      </w:r>
      <w:r w:rsidR="00334477" w:rsidRPr="000A38E5">
        <w:rPr>
          <w:lang w:val="uk-UA"/>
        </w:rPr>
        <w:t xml:space="preserve"> </w:t>
      </w:r>
      <w:r w:rsidRPr="000A38E5">
        <w:rPr>
          <w:lang w:val="uk-UA"/>
        </w:rPr>
        <w:t>вирішення</w:t>
      </w:r>
      <w:r w:rsidR="00334477" w:rsidRPr="000A38E5">
        <w:rPr>
          <w:lang w:val="uk-UA"/>
        </w:rPr>
        <w:t xml:space="preserve"> </w:t>
      </w:r>
      <w:r w:rsidRPr="000A38E5">
        <w:rPr>
          <w:lang w:val="uk-UA"/>
        </w:rPr>
        <w:t xml:space="preserve">спірних </w:t>
      </w:r>
      <w:proofErr w:type="spellStart"/>
      <w:r w:rsidRPr="000A38E5">
        <w:rPr>
          <w:lang w:val="uk-UA"/>
        </w:rPr>
        <w:t>питань</w:t>
      </w:r>
      <w:r w:rsidR="00D83351" w:rsidRPr="000A38E5">
        <w:rPr>
          <w:lang w:val="uk-UA"/>
        </w:rPr>
        <w:t>.”</w:t>
      </w:r>
      <w:proofErr w:type="spellEnd"/>
    </w:p>
    <w:p w:rsidR="00D83351" w:rsidRPr="00E93710" w:rsidRDefault="00D83351" w:rsidP="00852217">
      <w:pPr>
        <w:pStyle w:val="ECHRHeading2"/>
        <w:rPr>
          <w:lang w:val="uk-UA"/>
        </w:rPr>
      </w:pPr>
      <w:r w:rsidRPr="00E93710">
        <w:rPr>
          <w:lang w:val="uk-UA"/>
        </w:rPr>
        <w:t>B.</w:t>
      </w:r>
      <w:r w:rsidR="00B13FF6" w:rsidRPr="00E93710">
        <w:rPr>
          <w:lang w:val="uk-UA"/>
        </w:rPr>
        <w:t> Кодекс</w:t>
      </w:r>
      <w:r w:rsidR="001D6F56" w:rsidRPr="000A38E5">
        <w:rPr>
          <w:lang w:val="uk-UA"/>
        </w:rPr>
        <w:t xml:space="preserve"> адміністративних правопорушень від</w:t>
      </w:r>
      <w:r w:rsidRPr="00E93710">
        <w:rPr>
          <w:lang w:val="uk-UA"/>
        </w:rPr>
        <w:t xml:space="preserve"> 1984 </w:t>
      </w:r>
      <w:r w:rsidR="001D6F56" w:rsidRPr="000A38E5">
        <w:rPr>
          <w:lang w:val="uk-UA"/>
        </w:rPr>
        <w:t xml:space="preserve">р. </w:t>
      </w:r>
      <w:r w:rsidRPr="00E93710">
        <w:rPr>
          <w:lang w:val="uk-UA"/>
        </w:rPr>
        <w:t>(</w:t>
      </w:r>
      <w:r w:rsidR="001D6F56" w:rsidRPr="000A38E5">
        <w:rPr>
          <w:lang w:val="uk-UA"/>
        </w:rPr>
        <w:t>виправлений</w:t>
      </w:r>
      <w:r w:rsidRPr="00E93710">
        <w:rPr>
          <w:lang w:val="uk-UA"/>
        </w:rPr>
        <w:t>)</w:t>
      </w:r>
    </w:p>
    <w:bookmarkStart w:id="63" w:name="CAO_reprimand"/>
    <w:p w:rsidR="00D83351" w:rsidRPr="00E93710" w:rsidRDefault="004E7608" w:rsidP="00852217">
      <w:pPr>
        <w:pStyle w:val="ECHRPara"/>
        <w:keepNext/>
        <w:keepLines/>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95</w:t>
      </w:r>
      <w:r w:rsidRPr="00E93710">
        <w:rPr>
          <w:noProof/>
          <w:lang w:val="uk-UA"/>
        </w:rPr>
        <w:fldChar w:fldCharType="end"/>
      </w:r>
      <w:bookmarkEnd w:id="63"/>
      <w:r w:rsidR="00D83351" w:rsidRPr="00E93710">
        <w:rPr>
          <w:lang w:val="uk-UA"/>
        </w:rPr>
        <w:t>.</w:t>
      </w:r>
      <w:r w:rsidR="00334477" w:rsidRPr="000A38E5">
        <w:rPr>
          <w:lang w:val="uk-UA"/>
        </w:rPr>
        <w:t xml:space="preserve"> </w:t>
      </w:r>
      <w:r w:rsidR="0089179F" w:rsidRPr="000A38E5">
        <w:rPr>
          <w:lang w:val="uk-UA"/>
        </w:rPr>
        <w:t>Стаття</w:t>
      </w:r>
      <w:r w:rsidR="00D83351" w:rsidRPr="00E93710">
        <w:rPr>
          <w:lang w:val="uk-UA"/>
        </w:rPr>
        <w:t xml:space="preserve"> 22 </w:t>
      </w:r>
      <w:r w:rsidR="0089179F" w:rsidRPr="000A38E5">
        <w:rPr>
          <w:lang w:val="uk-UA"/>
        </w:rPr>
        <w:t>Кодексу передбачала, що у випадку малозначності правопорушення</w:t>
      </w:r>
      <w:r w:rsidR="00D83351" w:rsidRPr="00E93710">
        <w:rPr>
          <w:lang w:val="uk-UA"/>
        </w:rPr>
        <w:t xml:space="preserve"> </w:t>
      </w:r>
      <w:r w:rsidR="0089179F" w:rsidRPr="000A38E5">
        <w:rPr>
          <w:lang w:val="uk-UA"/>
        </w:rPr>
        <w:t>порушник міг бути звільнений від відповідальності з доганою</w:t>
      </w:r>
      <w:r w:rsidR="00D83351" w:rsidRPr="00E93710">
        <w:rPr>
          <w:lang w:val="uk-UA"/>
        </w:rPr>
        <w:t>.</w:t>
      </w:r>
    </w:p>
    <w:bookmarkStart w:id="64" w:name="CAO_detention"/>
    <w:p w:rsidR="00D83351" w:rsidRPr="00E93710" w:rsidRDefault="004E7608" w:rsidP="00852217">
      <w:pPr>
        <w:pStyle w:val="ECHRPara"/>
        <w:keepNext/>
        <w:keepLines/>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96</w:t>
      </w:r>
      <w:r w:rsidRPr="00E93710">
        <w:rPr>
          <w:noProof/>
          <w:lang w:val="uk-UA"/>
        </w:rPr>
        <w:fldChar w:fldCharType="end"/>
      </w:r>
      <w:bookmarkEnd w:id="64"/>
      <w:r w:rsidR="00D83351" w:rsidRPr="00E93710">
        <w:rPr>
          <w:lang w:val="uk-UA"/>
        </w:rPr>
        <w:t>.</w:t>
      </w:r>
      <w:r w:rsidR="00334477" w:rsidRPr="000A38E5">
        <w:rPr>
          <w:lang w:val="uk-UA"/>
        </w:rPr>
        <w:t xml:space="preserve"> </w:t>
      </w:r>
      <w:r w:rsidR="0089179F" w:rsidRPr="000A38E5">
        <w:rPr>
          <w:lang w:val="uk-UA"/>
        </w:rPr>
        <w:t>Стаття</w:t>
      </w:r>
      <w:r w:rsidR="00D83351" w:rsidRPr="00E93710">
        <w:rPr>
          <w:lang w:val="uk-UA"/>
        </w:rPr>
        <w:t xml:space="preserve"> 32 § 1 </w:t>
      </w:r>
      <w:r w:rsidR="0089179F" w:rsidRPr="000A38E5">
        <w:rPr>
          <w:lang w:val="uk-UA"/>
        </w:rPr>
        <w:t>Кодексу передбачає, що адміністративне затримання</w:t>
      </w:r>
      <w:r w:rsidR="00D83351" w:rsidRPr="00E93710">
        <w:rPr>
          <w:lang w:val="uk-UA"/>
        </w:rPr>
        <w:t xml:space="preserve"> </w:t>
      </w:r>
      <w:r w:rsidR="0089179F" w:rsidRPr="000A38E5">
        <w:rPr>
          <w:lang w:val="uk-UA"/>
        </w:rPr>
        <w:t>на строк до п’ятнадцяти діб може бути застосоване судами</w:t>
      </w:r>
      <w:r w:rsidR="00D83351" w:rsidRPr="00E93710">
        <w:rPr>
          <w:lang w:val="uk-UA"/>
        </w:rPr>
        <w:t xml:space="preserve"> </w:t>
      </w:r>
      <w:r w:rsidR="0089179F" w:rsidRPr="000A38E5">
        <w:rPr>
          <w:lang w:val="uk-UA"/>
        </w:rPr>
        <w:t xml:space="preserve">лише у </w:t>
      </w:r>
      <w:r w:rsidR="00E53851" w:rsidRPr="000A38E5">
        <w:rPr>
          <w:lang w:val="uk-UA"/>
        </w:rPr>
        <w:t>виняткових</w:t>
      </w:r>
      <w:r w:rsidR="0089179F" w:rsidRPr="000A38E5">
        <w:rPr>
          <w:lang w:val="uk-UA"/>
        </w:rPr>
        <w:t xml:space="preserve"> випадках за певні адміністративні порушення</w:t>
      </w:r>
      <w:r w:rsidR="00D83351" w:rsidRPr="00E93710">
        <w:rPr>
          <w:lang w:val="uk-UA"/>
        </w:rPr>
        <w:t xml:space="preserve">. </w:t>
      </w:r>
      <w:r w:rsidR="0089179F" w:rsidRPr="000A38E5">
        <w:rPr>
          <w:lang w:val="uk-UA"/>
        </w:rPr>
        <w:t>Стаття</w:t>
      </w:r>
      <w:r w:rsidR="00D83351" w:rsidRPr="00E93710">
        <w:rPr>
          <w:lang w:val="uk-UA"/>
        </w:rPr>
        <w:t xml:space="preserve"> 33 </w:t>
      </w:r>
      <w:r w:rsidR="0089179F" w:rsidRPr="000A38E5">
        <w:rPr>
          <w:lang w:val="uk-UA"/>
        </w:rPr>
        <w:t>Кодексу вимагає, щоб орган, який виносить вирок</w:t>
      </w:r>
      <w:r w:rsidR="00D83351" w:rsidRPr="00E93710">
        <w:rPr>
          <w:lang w:val="uk-UA"/>
        </w:rPr>
        <w:t xml:space="preserve">, </w:t>
      </w:r>
      <w:r w:rsidR="0089179F" w:rsidRPr="000A38E5">
        <w:rPr>
          <w:lang w:val="uk-UA"/>
        </w:rPr>
        <w:t>при визначенні покарання прийняв до уваги</w:t>
      </w:r>
      <w:r w:rsidR="00D83351" w:rsidRPr="00E93710">
        <w:rPr>
          <w:lang w:val="uk-UA"/>
        </w:rPr>
        <w:t xml:space="preserve"> </w:t>
      </w:r>
      <w:r w:rsidR="0089179F" w:rsidRPr="000A38E5">
        <w:rPr>
          <w:lang w:val="uk-UA"/>
        </w:rPr>
        <w:t xml:space="preserve">характер відповідного </w:t>
      </w:r>
      <w:r w:rsidR="00C67B20" w:rsidRPr="000A38E5">
        <w:rPr>
          <w:lang w:val="uk-UA"/>
        </w:rPr>
        <w:t>правопорушення</w:t>
      </w:r>
      <w:r w:rsidR="00D83351" w:rsidRPr="00E93710">
        <w:rPr>
          <w:lang w:val="uk-UA"/>
        </w:rPr>
        <w:t xml:space="preserve">, </w:t>
      </w:r>
      <w:r w:rsidR="0089179F" w:rsidRPr="000A38E5">
        <w:rPr>
          <w:lang w:val="uk-UA"/>
        </w:rPr>
        <w:t>ступінь вини відповідної особи</w:t>
      </w:r>
      <w:r w:rsidR="00D83351" w:rsidRPr="00E93710">
        <w:rPr>
          <w:lang w:val="uk-UA"/>
        </w:rPr>
        <w:t xml:space="preserve"> </w:t>
      </w:r>
      <w:r w:rsidR="0089179F" w:rsidRPr="000A38E5">
        <w:rPr>
          <w:lang w:val="uk-UA"/>
        </w:rPr>
        <w:t>та його або її фінансове становище</w:t>
      </w:r>
      <w:r w:rsidR="00D83351" w:rsidRPr="00E93710">
        <w:rPr>
          <w:lang w:val="uk-UA"/>
        </w:rPr>
        <w:t xml:space="preserve">, </w:t>
      </w:r>
      <w:r w:rsidR="007D374A" w:rsidRPr="000A38E5">
        <w:rPr>
          <w:lang w:val="uk-UA"/>
        </w:rPr>
        <w:t>а також будь-які пом’якшуючі та обтяжуючі обставини</w:t>
      </w:r>
      <w:r w:rsidR="00D83351" w:rsidRPr="00E93710">
        <w:rPr>
          <w:lang w:val="uk-UA"/>
        </w:rPr>
        <w:t>.</w:t>
      </w:r>
    </w:p>
    <w:bookmarkStart w:id="65" w:name="CAO_185"/>
    <w:p w:rsidR="00D83351" w:rsidRPr="00E93710" w:rsidRDefault="004E7608" w:rsidP="00852217">
      <w:pPr>
        <w:pStyle w:val="ECHRPara"/>
        <w:keepNext/>
        <w:keepLines/>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97</w:t>
      </w:r>
      <w:r w:rsidRPr="00E93710">
        <w:rPr>
          <w:noProof/>
          <w:lang w:val="uk-UA"/>
        </w:rPr>
        <w:fldChar w:fldCharType="end"/>
      </w:r>
      <w:bookmarkEnd w:id="65"/>
      <w:r w:rsidR="00D83351" w:rsidRPr="00E93710">
        <w:rPr>
          <w:lang w:val="uk-UA"/>
        </w:rPr>
        <w:t>.</w:t>
      </w:r>
      <w:r w:rsidR="00334477" w:rsidRPr="000A38E5">
        <w:rPr>
          <w:lang w:val="uk-UA"/>
        </w:rPr>
        <w:t xml:space="preserve"> </w:t>
      </w:r>
      <w:r w:rsidR="007D374A" w:rsidRPr="000A38E5">
        <w:rPr>
          <w:lang w:val="uk-UA"/>
        </w:rPr>
        <w:t>Статті</w:t>
      </w:r>
      <w:r w:rsidR="00D83351" w:rsidRPr="00E93710">
        <w:rPr>
          <w:lang w:val="uk-UA"/>
        </w:rPr>
        <w:t xml:space="preserve"> 185 </w:t>
      </w:r>
      <w:r w:rsidR="007D374A" w:rsidRPr="000A38E5">
        <w:rPr>
          <w:lang w:val="uk-UA"/>
        </w:rPr>
        <w:t>та</w:t>
      </w:r>
      <w:r w:rsidR="00D83351" w:rsidRPr="00E93710">
        <w:rPr>
          <w:lang w:val="uk-UA"/>
        </w:rPr>
        <w:t xml:space="preserve"> 185-1 </w:t>
      </w:r>
      <w:r w:rsidR="007D374A" w:rsidRPr="000A38E5">
        <w:rPr>
          <w:lang w:val="uk-UA"/>
        </w:rPr>
        <w:t>Кодексу передбачають</w:t>
      </w:r>
      <w:r w:rsidR="00D83351" w:rsidRPr="00E93710">
        <w:rPr>
          <w:lang w:val="uk-UA"/>
        </w:rPr>
        <w:t>:</w:t>
      </w:r>
    </w:p>
    <w:p w:rsidR="00D83351" w:rsidRPr="00E93710" w:rsidRDefault="003C0245" w:rsidP="00852217">
      <w:pPr>
        <w:pStyle w:val="ECHRTitleCentre3"/>
        <w:rPr>
          <w:lang w:val="uk-UA"/>
        </w:rPr>
      </w:pPr>
      <w:r w:rsidRPr="000A38E5">
        <w:rPr>
          <w:lang w:val="uk-UA"/>
        </w:rPr>
        <w:t>Стаття</w:t>
      </w:r>
      <w:r w:rsidR="00D83351" w:rsidRPr="00E93710">
        <w:rPr>
          <w:lang w:val="uk-UA"/>
        </w:rPr>
        <w:t xml:space="preserve"> 185. </w:t>
      </w:r>
      <w:r w:rsidR="00F566C1" w:rsidRPr="000A38E5">
        <w:rPr>
          <w:bCs/>
          <w:lang w:val="uk-UA"/>
        </w:rPr>
        <w:t>Злісна непокора законному розпорядженню або вимозі поліцейського, члена громадського формування з охорони громадського порядку і державного кордону, військовослужбовця</w:t>
      </w:r>
    </w:p>
    <w:p w:rsidR="00D83351" w:rsidRPr="00E93710" w:rsidRDefault="00D83351" w:rsidP="00852217">
      <w:pPr>
        <w:pStyle w:val="ECHRParaQuote"/>
        <w:rPr>
          <w:lang w:val="uk-UA"/>
        </w:rPr>
      </w:pPr>
      <w:r w:rsidRPr="00E93710">
        <w:rPr>
          <w:lang w:val="uk-UA"/>
        </w:rPr>
        <w:t>“</w:t>
      </w:r>
      <w:r w:rsidR="00F566C1" w:rsidRPr="00E93710">
        <w:rPr>
          <w:color w:val="000000"/>
          <w:sz w:val="18"/>
          <w:szCs w:val="18"/>
          <w:shd w:val="clear" w:color="auto" w:fill="FFFFFF"/>
          <w:lang w:val="uk-UA"/>
        </w:rPr>
        <w:t xml:space="preserve"> </w:t>
      </w:r>
      <w:r w:rsidR="00F566C1" w:rsidRPr="000A38E5">
        <w:rPr>
          <w:lang w:val="uk-UA"/>
        </w:rPr>
        <w:t>Злісна непокора законному розпорядженню або вимозі поліцейського при виконанні ним службових обов'язків</w:t>
      </w:r>
      <w:r w:rsidRPr="00E93710">
        <w:rPr>
          <w:lang w:val="uk-UA"/>
        </w:rPr>
        <w:t>...</w:t>
      </w:r>
    </w:p>
    <w:p w:rsidR="00D83351" w:rsidRPr="00E93710" w:rsidRDefault="00A40D6F" w:rsidP="00852217">
      <w:pPr>
        <w:pStyle w:val="ECHRParaQuote"/>
        <w:rPr>
          <w:lang w:val="uk-UA"/>
        </w:rPr>
      </w:pPr>
      <w:r w:rsidRPr="000A38E5">
        <w:rPr>
          <w:lang w:val="uk-UA"/>
        </w:rPr>
        <w:t>тягне за собою накладення штрафу від</w:t>
      </w:r>
      <w:r w:rsidR="00D83351" w:rsidRPr="00E93710">
        <w:rPr>
          <w:lang w:val="uk-UA"/>
        </w:rPr>
        <w:t xml:space="preserve"> [</w:t>
      </w:r>
      <w:r w:rsidRPr="000A38E5">
        <w:rPr>
          <w:lang w:val="uk-UA"/>
        </w:rPr>
        <w:t>136 до 255 гривень</w:t>
      </w:r>
      <w:r w:rsidR="00D83351" w:rsidRPr="00E93710">
        <w:rPr>
          <w:lang w:val="uk-UA"/>
        </w:rPr>
        <w:t xml:space="preserve">], </w:t>
      </w:r>
      <w:r w:rsidRPr="000A38E5">
        <w:rPr>
          <w:lang w:val="uk-UA"/>
        </w:rPr>
        <w:t>або відрахування 20% заробітку</w:t>
      </w:r>
      <w:r w:rsidR="00D83351" w:rsidRPr="00E93710">
        <w:rPr>
          <w:lang w:val="uk-UA"/>
        </w:rPr>
        <w:t xml:space="preserve">; </w:t>
      </w:r>
      <w:r w:rsidRPr="000A38E5">
        <w:rPr>
          <w:lang w:val="uk-UA"/>
        </w:rPr>
        <w:t>або, якщо за особливих обставин справи</w:t>
      </w:r>
      <w:r w:rsidR="00D83351" w:rsidRPr="00E93710">
        <w:rPr>
          <w:lang w:val="uk-UA"/>
        </w:rPr>
        <w:t xml:space="preserve"> </w:t>
      </w:r>
      <w:r w:rsidRPr="000A38E5">
        <w:rPr>
          <w:lang w:val="uk-UA"/>
        </w:rPr>
        <w:t>та беручи до уваги характер порушника,</w:t>
      </w:r>
      <w:r w:rsidR="00D83351" w:rsidRPr="00E93710">
        <w:rPr>
          <w:lang w:val="uk-UA"/>
        </w:rPr>
        <w:t xml:space="preserve"> </w:t>
      </w:r>
      <w:r w:rsidRPr="000A38E5">
        <w:rPr>
          <w:lang w:val="uk-UA"/>
        </w:rPr>
        <w:t>ці заходи вважатимуться недостатніми</w:t>
      </w:r>
      <w:r w:rsidR="00D83351" w:rsidRPr="00E93710">
        <w:rPr>
          <w:lang w:val="uk-UA"/>
        </w:rPr>
        <w:t xml:space="preserve">, </w:t>
      </w:r>
      <w:r w:rsidRPr="000A38E5">
        <w:rPr>
          <w:lang w:val="uk-UA"/>
        </w:rPr>
        <w:t xml:space="preserve">адміністративним арештом на строк до п’ятнадцяти </w:t>
      </w:r>
      <w:proofErr w:type="spellStart"/>
      <w:r w:rsidRPr="000A38E5">
        <w:rPr>
          <w:lang w:val="uk-UA"/>
        </w:rPr>
        <w:t>діб</w:t>
      </w:r>
      <w:r w:rsidR="00D83351" w:rsidRPr="00E93710">
        <w:rPr>
          <w:lang w:val="uk-UA"/>
        </w:rPr>
        <w:t>.”</w:t>
      </w:r>
      <w:proofErr w:type="spellEnd"/>
    </w:p>
    <w:p w:rsidR="00D83351" w:rsidRPr="00E93710" w:rsidRDefault="00A40D6F" w:rsidP="00852217">
      <w:pPr>
        <w:pStyle w:val="ECHRTitleCentre3"/>
        <w:rPr>
          <w:lang w:val="uk-UA"/>
        </w:rPr>
      </w:pPr>
      <w:r w:rsidRPr="000A38E5">
        <w:rPr>
          <w:lang w:val="uk-UA"/>
        </w:rPr>
        <w:t>Стаття</w:t>
      </w:r>
      <w:r w:rsidR="00D83351" w:rsidRPr="00E93710">
        <w:rPr>
          <w:lang w:val="uk-UA"/>
        </w:rPr>
        <w:t xml:space="preserve"> 185-1. </w:t>
      </w:r>
      <w:r w:rsidR="0022411A" w:rsidRPr="000A38E5">
        <w:rPr>
          <w:bCs/>
          <w:lang w:val="uk-UA"/>
        </w:rPr>
        <w:t>Порушення порядку організації і проведення зборів, мітингів, вуличних походів і демонстрацій</w:t>
      </w:r>
    </w:p>
    <w:p w:rsidR="00D83351" w:rsidRPr="00E93710" w:rsidRDefault="00D83351" w:rsidP="0022411A">
      <w:pPr>
        <w:pStyle w:val="ECHRParaQuote"/>
        <w:rPr>
          <w:lang w:val="uk-UA"/>
        </w:rPr>
      </w:pPr>
      <w:proofErr w:type="spellStart"/>
      <w:r w:rsidRPr="00E93710">
        <w:rPr>
          <w:lang w:val="uk-UA"/>
        </w:rPr>
        <w:t>“</w:t>
      </w:r>
      <w:r w:rsidR="0022411A" w:rsidRPr="000A38E5">
        <w:rPr>
          <w:lang w:val="uk-UA"/>
        </w:rPr>
        <w:t>Порушення</w:t>
      </w:r>
      <w:proofErr w:type="spellEnd"/>
      <w:r w:rsidR="0022411A" w:rsidRPr="000A38E5">
        <w:rPr>
          <w:lang w:val="uk-UA"/>
        </w:rPr>
        <w:t xml:space="preserve"> встановленого порядку організації або проведення зборів, мітингів, вуличних походів і демонстрацій</w:t>
      </w:r>
      <w:r w:rsidR="00494439" w:rsidRPr="000A38E5">
        <w:rPr>
          <w:lang w:val="uk-UA"/>
        </w:rPr>
        <w:t xml:space="preserve"> – </w:t>
      </w:r>
      <w:r w:rsidR="0022411A" w:rsidRPr="000A38E5">
        <w:rPr>
          <w:lang w:val="uk-UA"/>
        </w:rPr>
        <w:t>тягне за собою попередження або накладення штрафу</w:t>
      </w:r>
      <w:r w:rsidRPr="00E93710">
        <w:rPr>
          <w:lang w:val="uk-UA"/>
        </w:rPr>
        <w:t>...</w:t>
      </w:r>
    </w:p>
    <w:p w:rsidR="00D83351" w:rsidRPr="00E93710" w:rsidRDefault="0022411A" w:rsidP="0022411A">
      <w:pPr>
        <w:pStyle w:val="ECHRParaQuote"/>
        <w:rPr>
          <w:lang w:val="uk-UA"/>
        </w:rPr>
      </w:pPr>
      <w:r w:rsidRPr="000A38E5">
        <w:rPr>
          <w:lang w:val="uk-UA"/>
        </w:rPr>
        <w:t>Ті самі дії, вчинені повторно протягом року після застосування заходів адміністративного стягнення або організатором зборів, мітингу, вуличного походу, демонстрації,</w:t>
      </w:r>
      <w:r w:rsidR="00494439" w:rsidRPr="000A38E5">
        <w:rPr>
          <w:lang w:val="uk-UA"/>
        </w:rPr>
        <w:t xml:space="preserve"> – </w:t>
      </w:r>
      <w:r w:rsidRPr="000A38E5">
        <w:rPr>
          <w:lang w:val="uk-UA"/>
        </w:rPr>
        <w:t>тягнуть за собою накладення штрафу</w:t>
      </w:r>
      <w:r w:rsidR="00D83351" w:rsidRPr="000A38E5">
        <w:rPr>
          <w:lang w:val="uk-UA"/>
        </w:rPr>
        <w:t xml:space="preserve">... </w:t>
      </w:r>
      <w:r w:rsidRPr="000A38E5">
        <w:rPr>
          <w:lang w:val="uk-UA"/>
        </w:rPr>
        <w:t xml:space="preserve">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w:t>
      </w:r>
      <w:proofErr w:type="spellStart"/>
      <w:r w:rsidRPr="000A38E5">
        <w:rPr>
          <w:lang w:val="uk-UA"/>
        </w:rPr>
        <w:t>діб</w:t>
      </w:r>
      <w:r w:rsidR="00D83351" w:rsidRPr="00E93710">
        <w:rPr>
          <w:lang w:val="uk-UA"/>
        </w:rPr>
        <w:t>.”</w:t>
      </w:r>
      <w:proofErr w:type="spellEnd"/>
    </w:p>
    <w:bookmarkStart w:id="66" w:name="CAO_A294"/>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98</w:t>
      </w:r>
      <w:r w:rsidRPr="00E93710">
        <w:rPr>
          <w:lang w:val="uk-UA"/>
        </w:rPr>
        <w:fldChar w:fldCharType="end"/>
      </w:r>
      <w:bookmarkEnd w:id="66"/>
      <w:r w:rsidR="00D83351" w:rsidRPr="00E93710">
        <w:rPr>
          <w:lang w:val="uk-UA"/>
        </w:rPr>
        <w:t>.</w:t>
      </w:r>
      <w:r w:rsidR="00334477" w:rsidRPr="000A38E5">
        <w:rPr>
          <w:lang w:val="uk-UA"/>
        </w:rPr>
        <w:t xml:space="preserve"> </w:t>
      </w:r>
      <w:r w:rsidR="00755724" w:rsidRPr="000A38E5">
        <w:rPr>
          <w:lang w:val="uk-UA"/>
        </w:rPr>
        <w:t>Відповідно до статті</w:t>
      </w:r>
      <w:r w:rsidR="00D83351" w:rsidRPr="00E93710">
        <w:rPr>
          <w:lang w:val="uk-UA"/>
        </w:rPr>
        <w:t xml:space="preserve"> 294 </w:t>
      </w:r>
      <w:r w:rsidR="00755724" w:rsidRPr="000A38E5">
        <w:rPr>
          <w:lang w:val="uk-UA"/>
        </w:rPr>
        <w:t>Кодексу</w:t>
      </w:r>
      <w:r w:rsidR="00D83351" w:rsidRPr="00E93710">
        <w:rPr>
          <w:lang w:val="uk-UA"/>
        </w:rPr>
        <w:t xml:space="preserve">, </w:t>
      </w:r>
      <w:r w:rsidR="00755724" w:rsidRPr="000A38E5">
        <w:rPr>
          <w:lang w:val="uk-UA"/>
        </w:rPr>
        <w:t>сторони проваджень стосовно адміністративного правопорушення</w:t>
      </w:r>
      <w:r w:rsidR="00D83351" w:rsidRPr="00E93710">
        <w:rPr>
          <w:lang w:val="uk-UA"/>
        </w:rPr>
        <w:t xml:space="preserve"> </w:t>
      </w:r>
      <w:r w:rsidR="00755724" w:rsidRPr="000A38E5">
        <w:rPr>
          <w:lang w:val="uk-UA"/>
        </w:rPr>
        <w:t>мають право оскаржувати судові рішення у своїх справах</w:t>
      </w:r>
      <w:r w:rsidR="00D83351" w:rsidRPr="00E93710">
        <w:rPr>
          <w:lang w:val="uk-UA"/>
        </w:rPr>
        <w:t xml:space="preserve"> </w:t>
      </w:r>
      <w:r w:rsidR="00755724" w:rsidRPr="000A38E5">
        <w:rPr>
          <w:lang w:val="uk-UA"/>
        </w:rPr>
        <w:t>протягом десяти днів з їх винесення</w:t>
      </w:r>
      <w:r w:rsidR="00D83351" w:rsidRPr="00E93710">
        <w:rPr>
          <w:lang w:val="uk-UA"/>
        </w:rPr>
        <w:t xml:space="preserve">. </w:t>
      </w:r>
      <w:r w:rsidR="00755724" w:rsidRPr="000A38E5">
        <w:rPr>
          <w:lang w:val="uk-UA"/>
        </w:rPr>
        <w:t>Така апеляція повинна подаватися до суду першої інстанції</w:t>
      </w:r>
      <w:r w:rsidR="00D83351" w:rsidRPr="00E93710">
        <w:rPr>
          <w:lang w:val="uk-UA"/>
        </w:rPr>
        <w:t xml:space="preserve">. </w:t>
      </w:r>
      <w:r w:rsidR="00755724" w:rsidRPr="000A38E5">
        <w:rPr>
          <w:lang w:val="uk-UA"/>
        </w:rPr>
        <w:t>Цей суд повинен упродовж трьох днів</w:t>
      </w:r>
      <w:r w:rsidR="00D83351" w:rsidRPr="00E93710">
        <w:rPr>
          <w:lang w:val="uk-UA"/>
        </w:rPr>
        <w:t xml:space="preserve"> </w:t>
      </w:r>
      <w:r w:rsidR="00755724" w:rsidRPr="000A38E5">
        <w:rPr>
          <w:lang w:val="uk-UA"/>
        </w:rPr>
        <w:t>направити апеляцію або апеляції разом з матеріалами справи</w:t>
      </w:r>
      <w:r w:rsidR="00D83351" w:rsidRPr="00E93710">
        <w:rPr>
          <w:lang w:val="uk-UA"/>
        </w:rPr>
        <w:t xml:space="preserve"> </w:t>
      </w:r>
      <w:r w:rsidR="00755724" w:rsidRPr="000A38E5">
        <w:rPr>
          <w:lang w:val="uk-UA"/>
        </w:rPr>
        <w:t>до апеляційного суду, який у свою чергу</w:t>
      </w:r>
      <w:r w:rsidR="00D83351" w:rsidRPr="00E93710">
        <w:rPr>
          <w:lang w:val="uk-UA"/>
        </w:rPr>
        <w:t xml:space="preserve"> </w:t>
      </w:r>
      <w:r w:rsidR="00755724" w:rsidRPr="000A38E5">
        <w:rPr>
          <w:lang w:val="uk-UA"/>
        </w:rPr>
        <w:t>матиме двадцять днів на розгляд справи</w:t>
      </w:r>
      <w:r w:rsidR="00D83351" w:rsidRPr="00E93710">
        <w:rPr>
          <w:lang w:val="uk-UA"/>
        </w:rPr>
        <w:t>.</w:t>
      </w:r>
    </w:p>
    <w:p w:rsidR="00D83351" w:rsidRPr="00E93710" w:rsidRDefault="00E50FC0" w:rsidP="00E93710">
      <w:pPr>
        <w:pStyle w:val="ECHRPara"/>
        <w:widowControl w:val="0"/>
        <w:ind w:firstLine="397"/>
        <w:rPr>
          <w:lang w:val="uk-UA"/>
        </w:rPr>
      </w:pPr>
      <w:r w:rsidRPr="000A38E5">
        <w:rPr>
          <w:lang w:val="uk-UA"/>
        </w:rPr>
        <w:t>Апеляційний суд повинен повідомити сторони</w:t>
      </w:r>
      <w:r w:rsidR="00D83351" w:rsidRPr="00E93710">
        <w:rPr>
          <w:lang w:val="uk-UA"/>
        </w:rPr>
        <w:t xml:space="preserve"> </w:t>
      </w:r>
      <w:r w:rsidRPr="000A38E5">
        <w:rPr>
          <w:lang w:val="uk-UA"/>
        </w:rPr>
        <w:t>про слухання не пізніше ніж за три дні до слухання</w:t>
      </w:r>
      <w:r w:rsidR="00D83351" w:rsidRPr="00E93710">
        <w:rPr>
          <w:lang w:val="uk-UA"/>
        </w:rPr>
        <w:t xml:space="preserve">. </w:t>
      </w:r>
      <w:r w:rsidRPr="000A38E5">
        <w:rPr>
          <w:lang w:val="uk-UA"/>
        </w:rPr>
        <w:t>Нездатність сторін з’явитися не заважає суду розглянути справу</w:t>
      </w:r>
      <w:r w:rsidR="00D83351" w:rsidRPr="00E93710">
        <w:rPr>
          <w:lang w:val="uk-UA"/>
        </w:rPr>
        <w:t xml:space="preserve">, </w:t>
      </w:r>
      <w:r w:rsidRPr="000A38E5">
        <w:rPr>
          <w:lang w:val="uk-UA"/>
        </w:rPr>
        <w:t>окрім випадків, коли є поважні причини неявки або якщо суд не має інформації, що сторони, нездатні з’явитися, були належним чином проінформовані</w:t>
      </w:r>
      <w:r w:rsidR="00D83351" w:rsidRPr="00E93710">
        <w:rPr>
          <w:lang w:val="uk-UA"/>
        </w:rPr>
        <w:t>.</w:t>
      </w:r>
    </w:p>
    <w:p w:rsidR="00D83351" w:rsidRPr="00E93710" w:rsidRDefault="00E50FC0" w:rsidP="00E93710">
      <w:pPr>
        <w:pStyle w:val="ECHRPara"/>
        <w:widowControl w:val="0"/>
        <w:ind w:firstLine="397"/>
        <w:rPr>
          <w:lang w:val="uk-UA"/>
        </w:rPr>
      </w:pPr>
      <w:r w:rsidRPr="000A38E5">
        <w:rPr>
          <w:lang w:val="uk-UA"/>
        </w:rPr>
        <w:lastRenderedPageBreak/>
        <w:t>Розгляд апеляційного суду обмежується питаннями,</w:t>
      </w:r>
      <w:r w:rsidR="00D83351" w:rsidRPr="00E93710">
        <w:rPr>
          <w:lang w:val="uk-UA"/>
        </w:rPr>
        <w:t xml:space="preserve"> </w:t>
      </w:r>
      <w:r w:rsidRPr="000A38E5">
        <w:rPr>
          <w:lang w:val="uk-UA"/>
        </w:rPr>
        <w:t>висунутими в апеляції</w:t>
      </w:r>
      <w:r w:rsidR="00D83351" w:rsidRPr="00E93710">
        <w:rPr>
          <w:lang w:val="uk-UA"/>
        </w:rPr>
        <w:t xml:space="preserve">, </w:t>
      </w:r>
      <w:r w:rsidRPr="000A38E5">
        <w:rPr>
          <w:lang w:val="uk-UA"/>
        </w:rPr>
        <w:t>якщо суд не виявляє інше порушення</w:t>
      </w:r>
      <w:r w:rsidR="00D83351" w:rsidRPr="00E93710">
        <w:rPr>
          <w:lang w:val="uk-UA"/>
        </w:rPr>
        <w:t xml:space="preserve"> </w:t>
      </w:r>
      <w:r w:rsidRPr="000A38E5">
        <w:rPr>
          <w:lang w:val="uk-UA"/>
        </w:rPr>
        <w:t>матеріального або процесуального права</w:t>
      </w:r>
      <w:r w:rsidR="00D83351" w:rsidRPr="00E93710">
        <w:rPr>
          <w:lang w:val="uk-UA"/>
        </w:rPr>
        <w:t xml:space="preserve">. </w:t>
      </w:r>
      <w:r w:rsidRPr="000A38E5">
        <w:rPr>
          <w:lang w:val="uk-UA"/>
        </w:rPr>
        <w:t>Суд має повноваження щодо розгляду нових доказів,</w:t>
      </w:r>
      <w:r w:rsidR="00D83351" w:rsidRPr="00E93710">
        <w:rPr>
          <w:lang w:val="uk-UA"/>
        </w:rPr>
        <w:t xml:space="preserve"> </w:t>
      </w:r>
      <w:r w:rsidRPr="000A38E5">
        <w:rPr>
          <w:lang w:val="uk-UA"/>
        </w:rPr>
        <w:t>якщо вважає, що були наведені переконливі підстави</w:t>
      </w:r>
      <w:r w:rsidR="00D83351" w:rsidRPr="00E93710">
        <w:rPr>
          <w:lang w:val="uk-UA"/>
        </w:rPr>
        <w:t xml:space="preserve"> </w:t>
      </w:r>
      <w:r w:rsidRPr="000A38E5">
        <w:rPr>
          <w:lang w:val="uk-UA"/>
        </w:rPr>
        <w:t>для ненадання таких доказів у суді першої інстанції,</w:t>
      </w:r>
      <w:r w:rsidR="00D83351" w:rsidRPr="00E93710">
        <w:rPr>
          <w:lang w:val="uk-UA"/>
        </w:rPr>
        <w:t xml:space="preserve"> </w:t>
      </w:r>
      <w:r w:rsidRPr="000A38E5">
        <w:rPr>
          <w:lang w:val="uk-UA"/>
        </w:rPr>
        <w:t>або що суд першої інстанції відхилив такі докази без належних підстав</w:t>
      </w:r>
      <w:r w:rsidR="00D83351" w:rsidRPr="00E93710">
        <w:rPr>
          <w:lang w:val="uk-UA"/>
        </w:rPr>
        <w:t xml:space="preserve">. </w:t>
      </w:r>
      <w:r w:rsidRPr="000A38E5">
        <w:rPr>
          <w:lang w:val="uk-UA"/>
        </w:rPr>
        <w:t>Суди мають повноваження відхилити апеляцію</w:t>
      </w:r>
      <w:r w:rsidR="00D83351" w:rsidRPr="00E93710">
        <w:rPr>
          <w:lang w:val="uk-UA"/>
        </w:rPr>
        <w:t xml:space="preserve">, </w:t>
      </w:r>
      <w:r w:rsidRPr="000A38E5">
        <w:rPr>
          <w:lang w:val="uk-UA"/>
        </w:rPr>
        <w:t>скасувати рішення суду першої інстанції</w:t>
      </w:r>
      <w:r w:rsidR="00D83351" w:rsidRPr="00E93710">
        <w:rPr>
          <w:lang w:val="uk-UA"/>
        </w:rPr>
        <w:t xml:space="preserve"> </w:t>
      </w:r>
      <w:r w:rsidRPr="000A38E5">
        <w:rPr>
          <w:lang w:val="uk-UA"/>
        </w:rPr>
        <w:t>та припинити провадження,</w:t>
      </w:r>
      <w:r w:rsidR="00D83351" w:rsidRPr="00E93710">
        <w:rPr>
          <w:lang w:val="uk-UA"/>
        </w:rPr>
        <w:t xml:space="preserve"> </w:t>
      </w:r>
      <w:r w:rsidRPr="000A38E5">
        <w:rPr>
          <w:lang w:val="uk-UA"/>
        </w:rPr>
        <w:t>скасувати рішення та прийняти нове рішення</w:t>
      </w:r>
      <w:r w:rsidR="00D83351" w:rsidRPr="00E93710">
        <w:rPr>
          <w:lang w:val="uk-UA"/>
        </w:rPr>
        <w:t xml:space="preserve">, </w:t>
      </w:r>
      <w:r w:rsidRPr="000A38E5">
        <w:rPr>
          <w:lang w:val="uk-UA"/>
        </w:rPr>
        <w:t>або виправити рішення</w:t>
      </w:r>
      <w:r w:rsidR="00D83351" w:rsidRPr="00E93710">
        <w:rPr>
          <w:lang w:val="uk-UA"/>
        </w:rPr>
        <w:t xml:space="preserve">. </w:t>
      </w:r>
      <w:r w:rsidR="00B66F33" w:rsidRPr="000A38E5">
        <w:rPr>
          <w:lang w:val="uk-UA"/>
        </w:rPr>
        <w:t>Апеляційний суд не може накласти більш серйозне покарання ніж те, яке було накладено судом першої інстанції</w:t>
      </w:r>
      <w:r w:rsidR="00D83351" w:rsidRPr="00E93710">
        <w:rPr>
          <w:lang w:val="uk-UA"/>
        </w:rPr>
        <w:t xml:space="preserve">. </w:t>
      </w:r>
      <w:r w:rsidR="00B66F33" w:rsidRPr="000A38E5">
        <w:rPr>
          <w:lang w:val="uk-UA"/>
        </w:rPr>
        <w:t>Рішення апеляційних судів є остаточними</w:t>
      </w:r>
      <w:r w:rsidR="00D83351" w:rsidRPr="00E93710">
        <w:rPr>
          <w:lang w:val="uk-UA"/>
        </w:rPr>
        <w:t xml:space="preserve"> </w:t>
      </w:r>
      <w:r w:rsidR="00B66F33" w:rsidRPr="000A38E5">
        <w:rPr>
          <w:lang w:val="uk-UA"/>
        </w:rPr>
        <w:t>та не підлягають подальшому оскарженню</w:t>
      </w:r>
      <w:r w:rsidR="00D83351" w:rsidRPr="00E93710">
        <w:rPr>
          <w:lang w:val="uk-UA"/>
        </w:rPr>
        <w:t>.</w:t>
      </w:r>
    </w:p>
    <w:bookmarkStart w:id="67" w:name="COA_reopening_ECHR"/>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99</w:t>
      </w:r>
      <w:r w:rsidRPr="00E93710">
        <w:rPr>
          <w:lang w:val="uk-UA"/>
        </w:rPr>
        <w:fldChar w:fldCharType="end"/>
      </w:r>
      <w:bookmarkEnd w:id="67"/>
      <w:r w:rsidR="00D83351" w:rsidRPr="00E93710">
        <w:rPr>
          <w:lang w:val="uk-UA"/>
        </w:rPr>
        <w:t>.</w:t>
      </w:r>
      <w:r w:rsidR="00334477" w:rsidRPr="000A38E5">
        <w:rPr>
          <w:lang w:val="uk-UA"/>
        </w:rPr>
        <w:t xml:space="preserve"> </w:t>
      </w:r>
      <w:r w:rsidR="00787268" w:rsidRPr="000A38E5">
        <w:rPr>
          <w:lang w:val="uk-UA"/>
        </w:rPr>
        <w:t>Стаття</w:t>
      </w:r>
      <w:r w:rsidR="00D83351" w:rsidRPr="00E93710">
        <w:rPr>
          <w:lang w:val="uk-UA"/>
        </w:rPr>
        <w:t xml:space="preserve"> 297-1 </w:t>
      </w:r>
      <w:r w:rsidR="00787268" w:rsidRPr="000A38E5">
        <w:rPr>
          <w:lang w:val="uk-UA"/>
        </w:rPr>
        <w:t>Кодексу передбачає, що рішення</w:t>
      </w:r>
      <w:r w:rsidR="00D83351" w:rsidRPr="00E93710">
        <w:rPr>
          <w:lang w:val="uk-UA"/>
        </w:rPr>
        <w:t xml:space="preserve"> </w:t>
      </w:r>
      <w:r w:rsidR="00787268" w:rsidRPr="000A38E5">
        <w:rPr>
          <w:lang w:val="uk-UA"/>
        </w:rPr>
        <w:t>у справі про адміністративне правопорушення</w:t>
      </w:r>
      <w:r w:rsidR="00D83351" w:rsidRPr="00E93710">
        <w:rPr>
          <w:lang w:val="uk-UA"/>
        </w:rPr>
        <w:t xml:space="preserve"> </w:t>
      </w:r>
      <w:r w:rsidR="00787268" w:rsidRPr="000A38E5">
        <w:rPr>
          <w:lang w:val="uk-UA"/>
        </w:rPr>
        <w:t>може бути переглянутим у випадку</w:t>
      </w:r>
      <w:r w:rsidR="00D83351" w:rsidRPr="00E93710">
        <w:rPr>
          <w:lang w:val="uk-UA"/>
        </w:rPr>
        <w:t xml:space="preserve"> </w:t>
      </w:r>
      <w:r w:rsidR="00787268" w:rsidRPr="000A38E5">
        <w:rPr>
          <w:lang w:val="uk-UA"/>
        </w:rPr>
        <w:t>виявлення міжнародним судовим органом</w:t>
      </w:r>
      <w:r w:rsidR="00D83351" w:rsidRPr="00E93710">
        <w:rPr>
          <w:lang w:val="uk-UA"/>
        </w:rPr>
        <w:t xml:space="preserve">, </w:t>
      </w:r>
      <w:r w:rsidR="00787268" w:rsidRPr="000A38E5">
        <w:rPr>
          <w:lang w:val="uk-UA"/>
        </w:rPr>
        <w:t>юрисдикцію якого визнала Україна</w:t>
      </w:r>
      <w:r w:rsidR="00D83351" w:rsidRPr="00E93710">
        <w:rPr>
          <w:lang w:val="uk-UA"/>
        </w:rPr>
        <w:t xml:space="preserve">, </w:t>
      </w:r>
      <w:r w:rsidR="00787268" w:rsidRPr="000A38E5">
        <w:rPr>
          <w:lang w:val="uk-UA"/>
        </w:rPr>
        <w:t>порушення Україною її міжнародних зобов’язань</w:t>
      </w:r>
      <w:r w:rsidR="00D83351" w:rsidRPr="00E93710">
        <w:rPr>
          <w:lang w:val="uk-UA"/>
        </w:rPr>
        <w:t xml:space="preserve"> </w:t>
      </w:r>
      <w:r w:rsidR="00787268" w:rsidRPr="000A38E5">
        <w:rPr>
          <w:lang w:val="uk-UA"/>
        </w:rPr>
        <w:t>протягом судового розгляду справи</w:t>
      </w:r>
      <w:r w:rsidR="00D83351" w:rsidRPr="00E93710">
        <w:rPr>
          <w:lang w:val="uk-UA"/>
        </w:rPr>
        <w:t>.</w:t>
      </w:r>
    </w:p>
    <w:p w:rsidR="00D83351" w:rsidRPr="00E93710" w:rsidRDefault="00D83351" w:rsidP="00852217">
      <w:pPr>
        <w:pStyle w:val="ECHRHeading2"/>
        <w:rPr>
          <w:lang w:val="uk-UA"/>
        </w:rPr>
      </w:pPr>
      <w:r w:rsidRPr="00E93710">
        <w:rPr>
          <w:lang w:val="uk-UA"/>
        </w:rPr>
        <w:t>C.</w:t>
      </w:r>
      <w:r w:rsidR="00334477" w:rsidRPr="000A38E5">
        <w:rPr>
          <w:lang w:val="uk-UA"/>
        </w:rPr>
        <w:t xml:space="preserve"> </w:t>
      </w:r>
      <w:r w:rsidR="00787268" w:rsidRPr="000A38E5">
        <w:rPr>
          <w:lang w:val="uk-UA"/>
        </w:rPr>
        <w:t>Кодекс адміністративно</w:t>
      </w:r>
      <w:r w:rsidR="00812342" w:rsidRPr="000A38E5">
        <w:rPr>
          <w:lang w:val="uk-UA"/>
        </w:rPr>
        <w:t>го</w:t>
      </w:r>
      <w:r w:rsidR="00787268" w:rsidRPr="000A38E5">
        <w:rPr>
          <w:lang w:val="uk-UA"/>
        </w:rPr>
        <w:t xml:space="preserve"> </w:t>
      </w:r>
      <w:r w:rsidR="00812342" w:rsidRPr="000A38E5">
        <w:rPr>
          <w:lang w:val="uk-UA"/>
        </w:rPr>
        <w:t>судочинства</w:t>
      </w:r>
      <w:r w:rsidRPr="00E93710">
        <w:rPr>
          <w:lang w:val="uk-UA"/>
        </w:rPr>
        <w:t xml:space="preserve"> 2005 (</w:t>
      </w:r>
      <w:r w:rsidR="00787268" w:rsidRPr="000A38E5">
        <w:rPr>
          <w:lang w:val="uk-UA"/>
        </w:rPr>
        <w:t>виправлений</w:t>
      </w:r>
      <w:r w:rsidRPr="00E93710">
        <w:rPr>
          <w:lang w:val="uk-UA"/>
        </w:rPr>
        <w:t>)</w:t>
      </w:r>
    </w:p>
    <w:bookmarkStart w:id="68" w:name="CAJ_A182"/>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100</w:t>
      </w:r>
      <w:r w:rsidRPr="00E93710">
        <w:rPr>
          <w:noProof/>
          <w:lang w:val="uk-UA"/>
        </w:rPr>
        <w:fldChar w:fldCharType="end"/>
      </w:r>
      <w:bookmarkEnd w:id="68"/>
      <w:r w:rsidR="00D83351" w:rsidRPr="00E93710">
        <w:rPr>
          <w:lang w:val="uk-UA"/>
        </w:rPr>
        <w:t>.</w:t>
      </w:r>
      <w:r w:rsidR="00334477" w:rsidRPr="000A38E5">
        <w:rPr>
          <w:lang w:val="uk-UA"/>
        </w:rPr>
        <w:t xml:space="preserve"> </w:t>
      </w:r>
      <w:r w:rsidR="00D66130" w:rsidRPr="000A38E5">
        <w:rPr>
          <w:lang w:val="uk-UA"/>
        </w:rPr>
        <w:t>Відповідна частина статті</w:t>
      </w:r>
      <w:r w:rsidR="00D83351" w:rsidRPr="00E93710">
        <w:rPr>
          <w:lang w:val="uk-UA"/>
        </w:rPr>
        <w:t xml:space="preserve"> 182 </w:t>
      </w:r>
      <w:r w:rsidR="00D66130" w:rsidRPr="000A38E5">
        <w:rPr>
          <w:lang w:val="uk-UA"/>
        </w:rPr>
        <w:t>Кодексу передбачає</w:t>
      </w:r>
      <w:r w:rsidR="00D83351" w:rsidRPr="00E93710">
        <w:rPr>
          <w:lang w:val="uk-UA"/>
        </w:rPr>
        <w:t>:</w:t>
      </w:r>
    </w:p>
    <w:p w:rsidR="00D83351" w:rsidRPr="00E93710" w:rsidRDefault="00D66130" w:rsidP="00812342">
      <w:pPr>
        <w:pStyle w:val="ECHRTitleCentre3"/>
        <w:rPr>
          <w:lang w:val="uk-UA"/>
        </w:rPr>
      </w:pPr>
      <w:r w:rsidRPr="000A38E5">
        <w:rPr>
          <w:lang w:val="uk-UA"/>
        </w:rPr>
        <w:t>Стаття</w:t>
      </w:r>
      <w:r w:rsidR="00D83351" w:rsidRPr="00E93710">
        <w:rPr>
          <w:lang w:val="uk-UA"/>
        </w:rPr>
        <w:t xml:space="preserve"> 182. </w:t>
      </w:r>
      <w:r w:rsidR="00812342" w:rsidRPr="000A38E5">
        <w:rPr>
          <w:lang w:val="uk-UA"/>
        </w:rPr>
        <w:t>Особливості провадження у справах за адміністративними позовами суб'єктів владних повноважень про обмеження щодо реалізації права на мирні зібрання</w:t>
      </w:r>
    </w:p>
    <w:p w:rsidR="00D83351" w:rsidRPr="000A38E5" w:rsidRDefault="00D83351" w:rsidP="008A0F75">
      <w:pPr>
        <w:pStyle w:val="ECHRParaQuote"/>
        <w:rPr>
          <w:lang w:val="uk-UA"/>
        </w:rPr>
      </w:pPr>
      <w:r w:rsidRPr="00E93710">
        <w:rPr>
          <w:lang w:val="uk-UA"/>
        </w:rPr>
        <w:t xml:space="preserve">“1. </w:t>
      </w:r>
      <w:r w:rsidR="008A0F75" w:rsidRPr="000A38E5">
        <w:rPr>
          <w:lang w:val="uk-UA"/>
        </w:rPr>
        <w:t>Органи виконавчої влади, органи місцевого самоврядування</w:t>
      </w:r>
      <w:r w:rsidR="00334477" w:rsidRPr="000A38E5">
        <w:rPr>
          <w:lang w:val="uk-UA"/>
        </w:rPr>
        <w:t xml:space="preserve"> </w:t>
      </w:r>
      <w:r w:rsidR="008A0F75" w:rsidRPr="000A38E5">
        <w:rPr>
          <w:lang w:val="uk-UA"/>
        </w:rPr>
        <w:t>негайно</w:t>
      </w:r>
      <w:r w:rsidR="00334477" w:rsidRPr="000A38E5">
        <w:rPr>
          <w:lang w:val="uk-UA"/>
        </w:rPr>
        <w:t xml:space="preserve"> </w:t>
      </w:r>
      <w:r w:rsidR="008A0F75" w:rsidRPr="000A38E5">
        <w:rPr>
          <w:lang w:val="uk-UA"/>
        </w:rPr>
        <w:t>після одержання повідомлення про проведення</w:t>
      </w:r>
      <w:r w:rsidR="00334477" w:rsidRPr="000A38E5">
        <w:rPr>
          <w:lang w:val="uk-UA"/>
        </w:rPr>
        <w:t xml:space="preserve"> </w:t>
      </w:r>
      <w:r w:rsidR="008A0F75" w:rsidRPr="000A38E5">
        <w:rPr>
          <w:lang w:val="uk-UA"/>
        </w:rPr>
        <w:t>зборів, мітингів, походів, демонстрацій тощо мають право звернутися до окружного адміністративного суду за своїм місцезнаходженням із позовною</w:t>
      </w:r>
      <w:r w:rsidR="00334477" w:rsidRPr="000A38E5">
        <w:rPr>
          <w:lang w:val="uk-UA"/>
        </w:rPr>
        <w:t xml:space="preserve"> </w:t>
      </w:r>
      <w:r w:rsidR="008A0F75" w:rsidRPr="000A38E5">
        <w:rPr>
          <w:lang w:val="uk-UA"/>
        </w:rPr>
        <w:t>заявою</w:t>
      </w:r>
      <w:r w:rsidR="00334477" w:rsidRPr="000A38E5">
        <w:rPr>
          <w:lang w:val="uk-UA"/>
        </w:rPr>
        <w:t xml:space="preserve"> </w:t>
      </w:r>
      <w:r w:rsidR="008A0F75" w:rsidRPr="000A38E5">
        <w:rPr>
          <w:lang w:val="uk-UA"/>
        </w:rPr>
        <w:t>про заборону таких заходів чи про інше обмеження права на мирні зібрання (щодо місця чи часу їх проведення тощо)</w:t>
      </w:r>
      <w:r w:rsidRPr="000A38E5">
        <w:rPr>
          <w:lang w:val="uk-UA"/>
        </w:rPr>
        <w:t>.</w:t>
      </w:r>
    </w:p>
    <w:p w:rsidR="00D83351" w:rsidRPr="00E93710" w:rsidRDefault="00D83351" w:rsidP="00895222">
      <w:pPr>
        <w:pStyle w:val="ECHRParaQuote"/>
        <w:rPr>
          <w:lang w:val="uk-UA"/>
        </w:rPr>
      </w:pPr>
      <w:r w:rsidRPr="00E93710">
        <w:rPr>
          <w:lang w:val="uk-UA"/>
        </w:rPr>
        <w:t xml:space="preserve">2. </w:t>
      </w:r>
      <w:r w:rsidR="00895222" w:rsidRPr="000A38E5">
        <w:rPr>
          <w:lang w:val="uk-UA"/>
        </w:rPr>
        <w:t xml:space="preserve">Позовна заява, яка надійшла в день проведення заходів, визначених частиною першою цієї статті, або після цього, залишається без </w:t>
      </w:r>
      <w:proofErr w:type="spellStart"/>
      <w:r w:rsidR="00895222" w:rsidRPr="000A38E5">
        <w:rPr>
          <w:lang w:val="uk-UA"/>
        </w:rPr>
        <w:t>розгляду</w:t>
      </w:r>
      <w:r w:rsidRPr="00E93710">
        <w:rPr>
          <w:lang w:val="uk-UA"/>
        </w:rPr>
        <w:t>.”</w:t>
      </w:r>
      <w:proofErr w:type="spellEnd"/>
    </w:p>
    <w:p w:rsidR="00D83351" w:rsidRPr="00E93710" w:rsidRDefault="00D83351" w:rsidP="00852217">
      <w:pPr>
        <w:pStyle w:val="ECHRHeading2"/>
        <w:rPr>
          <w:lang w:val="uk-UA"/>
        </w:rPr>
      </w:pPr>
      <w:r w:rsidRPr="00E93710">
        <w:rPr>
          <w:lang w:val="uk-UA"/>
        </w:rPr>
        <w:t>D.</w:t>
      </w:r>
      <w:r w:rsidR="0063345D" w:rsidRPr="00E93710">
        <w:rPr>
          <w:lang w:val="uk-UA"/>
        </w:rPr>
        <w:t> </w:t>
      </w:r>
      <w:r w:rsidR="0063345D" w:rsidRPr="000A38E5">
        <w:rPr>
          <w:lang w:val="uk-UA"/>
        </w:rPr>
        <w:t>Кримінальн</w:t>
      </w:r>
      <w:r w:rsidR="006E1E27" w:rsidRPr="000A38E5">
        <w:rPr>
          <w:lang w:val="uk-UA"/>
        </w:rPr>
        <w:t>о-</w:t>
      </w:r>
      <w:r w:rsidR="00895222" w:rsidRPr="000A38E5">
        <w:rPr>
          <w:lang w:val="uk-UA"/>
        </w:rPr>
        <w:t>процесуальний кодекс</w:t>
      </w:r>
      <w:r w:rsidRPr="00E93710">
        <w:rPr>
          <w:lang w:val="uk-UA"/>
        </w:rPr>
        <w:t xml:space="preserve"> 1960</w:t>
      </w:r>
      <w:r w:rsidR="00895222" w:rsidRPr="000A38E5">
        <w:rPr>
          <w:lang w:val="uk-UA"/>
        </w:rPr>
        <w:t xml:space="preserve"> р.</w:t>
      </w:r>
      <w:r w:rsidRPr="00E93710">
        <w:rPr>
          <w:lang w:val="uk-UA"/>
        </w:rPr>
        <w:t xml:space="preserve"> (</w:t>
      </w:r>
      <w:r w:rsidR="00895222" w:rsidRPr="000A38E5">
        <w:rPr>
          <w:lang w:val="uk-UA"/>
        </w:rPr>
        <w:t>виправлений</w:t>
      </w:r>
      <w:r w:rsidRPr="00E93710">
        <w:rPr>
          <w:lang w:val="uk-UA"/>
        </w:rPr>
        <w:t>)</w:t>
      </w:r>
    </w:p>
    <w:bookmarkStart w:id="69" w:name="preinvestigation_enquiries_CPC"/>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101</w:t>
      </w:r>
      <w:r w:rsidRPr="00E93710">
        <w:rPr>
          <w:lang w:val="uk-UA"/>
        </w:rPr>
        <w:fldChar w:fldCharType="end"/>
      </w:r>
      <w:bookmarkEnd w:id="69"/>
      <w:r w:rsidR="00D83351" w:rsidRPr="00E93710">
        <w:rPr>
          <w:lang w:val="uk-UA"/>
        </w:rPr>
        <w:t>.</w:t>
      </w:r>
      <w:r w:rsidR="00334477" w:rsidRPr="000A38E5">
        <w:rPr>
          <w:lang w:val="uk-UA"/>
        </w:rPr>
        <w:t xml:space="preserve"> </w:t>
      </w:r>
      <w:r w:rsidR="0063345D" w:rsidRPr="000A38E5">
        <w:rPr>
          <w:lang w:val="uk-UA"/>
        </w:rPr>
        <w:t>На той час Кримінальн</w:t>
      </w:r>
      <w:r w:rsidR="006E1E27" w:rsidRPr="000A38E5">
        <w:rPr>
          <w:lang w:val="uk-UA"/>
        </w:rPr>
        <w:t>о-</w:t>
      </w:r>
      <w:r w:rsidR="0063345D" w:rsidRPr="000A38E5">
        <w:rPr>
          <w:lang w:val="uk-UA"/>
        </w:rPr>
        <w:t>процесуальний кодекс від</w:t>
      </w:r>
      <w:r w:rsidR="00D83351" w:rsidRPr="00E93710">
        <w:rPr>
          <w:lang w:val="uk-UA"/>
        </w:rPr>
        <w:t xml:space="preserve"> 1960 </w:t>
      </w:r>
      <w:r w:rsidR="0063345D" w:rsidRPr="000A38E5">
        <w:rPr>
          <w:lang w:val="uk-UA"/>
        </w:rPr>
        <w:t>р. передбачав процедуру, відому, як «дослідч</w:t>
      </w:r>
      <w:r w:rsidR="00600373" w:rsidRPr="000A38E5">
        <w:rPr>
          <w:lang w:val="uk-UA"/>
        </w:rPr>
        <w:t>а</w:t>
      </w:r>
      <w:r w:rsidR="0063345D" w:rsidRPr="000A38E5">
        <w:rPr>
          <w:lang w:val="uk-UA"/>
        </w:rPr>
        <w:t xml:space="preserve"> перевірк</w:t>
      </w:r>
      <w:r w:rsidR="00600373" w:rsidRPr="000A38E5">
        <w:rPr>
          <w:lang w:val="uk-UA"/>
        </w:rPr>
        <w:t>а</w:t>
      </w:r>
      <w:r w:rsidR="0063345D" w:rsidRPr="000A38E5">
        <w:rPr>
          <w:lang w:val="uk-UA"/>
        </w:rPr>
        <w:t>»</w:t>
      </w:r>
      <w:r w:rsidR="00D83351" w:rsidRPr="00E93710">
        <w:rPr>
          <w:lang w:val="uk-UA"/>
        </w:rPr>
        <w:t xml:space="preserve">. </w:t>
      </w:r>
      <w:r w:rsidR="0063345D" w:rsidRPr="000A38E5">
        <w:rPr>
          <w:lang w:val="uk-UA"/>
        </w:rPr>
        <w:t>Ця процедура приводила до рішення про відмову у порушенні кримінальної справи або до рішення порушити кримінальну справу</w:t>
      </w:r>
      <w:r w:rsidR="00D83351" w:rsidRPr="00E93710">
        <w:rPr>
          <w:lang w:val="uk-UA"/>
        </w:rPr>
        <w:t xml:space="preserve">. </w:t>
      </w:r>
      <w:r w:rsidR="0063345D" w:rsidRPr="000A38E5">
        <w:rPr>
          <w:lang w:val="uk-UA"/>
        </w:rPr>
        <w:t>У другому випадку необхідно було провести повноцінне кримінальне розслідування</w:t>
      </w:r>
      <w:r w:rsidR="00D83351" w:rsidRPr="00E93710">
        <w:rPr>
          <w:lang w:val="uk-UA"/>
        </w:rPr>
        <w:t xml:space="preserve">. </w:t>
      </w:r>
      <w:r w:rsidR="0063345D" w:rsidRPr="000A38E5">
        <w:rPr>
          <w:lang w:val="uk-UA"/>
        </w:rPr>
        <w:t>Положення стосовно процедури дослідчої перевірки</w:t>
      </w:r>
      <w:r w:rsidR="00D83351" w:rsidRPr="00E93710">
        <w:rPr>
          <w:lang w:val="uk-UA"/>
        </w:rPr>
        <w:t xml:space="preserve"> </w:t>
      </w:r>
      <w:r w:rsidR="0063345D" w:rsidRPr="000A38E5">
        <w:rPr>
          <w:lang w:val="uk-UA"/>
        </w:rPr>
        <w:t xml:space="preserve">та засобів правового захисту, доступних </w:t>
      </w:r>
      <w:proofErr w:type="spellStart"/>
      <w:r w:rsidR="0063345D" w:rsidRPr="000A38E5">
        <w:rPr>
          <w:lang w:val="uk-UA"/>
        </w:rPr>
        <w:t>стверджуваним</w:t>
      </w:r>
      <w:proofErr w:type="spellEnd"/>
      <w:r w:rsidR="0063345D" w:rsidRPr="000A38E5">
        <w:rPr>
          <w:lang w:val="uk-UA"/>
        </w:rPr>
        <w:t xml:space="preserve"> постраждалим</w:t>
      </w:r>
      <w:r w:rsidR="00D83351" w:rsidRPr="00E93710">
        <w:rPr>
          <w:lang w:val="uk-UA"/>
        </w:rPr>
        <w:t xml:space="preserve"> </w:t>
      </w:r>
      <w:r w:rsidR="0063345D" w:rsidRPr="000A38E5">
        <w:rPr>
          <w:lang w:val="uk-UA"/>
        </w:rPr>
        <w:t>у цьому контексті були викладені у статтях</w:t>
      </w:r>
      <w:r w:rsidR="00D83351" w:rsidRPr="00E93710">
        <w:rPr>
          <w:lang w:val="uk-UA"/>
        </w:rPr>
        <w:t xml:space="preserve"> 97, 99-1 </w:t>
      </w:r>
      <w:r w:rsidR="0063345D" w:rsidRPr="000A38E5">
        <w:rPr>
          <w:lang w:val="uk-UA"/>
        </w:rPr>
        <w:t>та</w:t>
      </w:r>
      <w:r w:rsidR="00D83351" w:rsidRPr="00E93710">
        <w:rPr>
          <w:lang w:val="uk-UA"/>
        </w:rPr>
        <w:t xml:space="preserve"> 236-1 </w:t>
      </w:r>
      <w:r w:rsidR="0063345D" w:rsidRPr="000A38E5">
        <w:rPr>
          <w:lang w:val="uk-UA"/>
        </w:rPr>
        <w:t>Кодексу 1960 р</w:t>
      </w:r>
      <w:r w:rsidR="00D83351" w:rsidRPr="00E93710">
        <w:rPr>
          <w:lang w:val="uk-UA"/>
        </w:rPr>
        <w:t xml:space="preserve">. </w:t>
      </w:r>
      <w:r w:rsidR="0063345D" w:rsidRPr="000A38E5">
        <w:rPr>
          <w:lang w:val="uk-UA"/>
        </w:rPr>
        <w:t>Вони передбачають</w:t>
      </w:r>
      <w:r w:rsidR="00D83351" w:rsidRPr="00E93710">
        <w:rPr>
          <w:lang w:val="uk-UA"/>
        </w:rPr>
        <w:t>:</w:t>
      </w:r>
    </w:p>
    <w:p w:rsidR="00D83351" w:rsidRPr="00E93710" w:rsidRDefault="0063345D" w:rsidP="00E4265F">
      <w:pPr>
        <w:pStyle w:val="ECHRTitleCentre3"/>
        <w:rPr>
          <w:lang w:val="uk-UA"/>
        </w:rPr>
      </w:pPr>
      <w:r w:rsidRPr="000A38E5">
        <w:rPr>
          <w:lang w:val="uk-UA"/>
        </w:rPr>
        <w:t>Стаття</w:t>
      </w:r>
      <w:r w:rsidR="00D83351" w:rsidRPr="00E93710">
        <w:rPr>
          <w:lang w:val="uk-UA"/>
        </w:rPr>
        <w:t xml:space="preserve"> 97. </w:t>
      </w:r>
      <w:r w:rsidR="00E4265F" w:rsidRPr="000A38E5">
        <w:rPr>
          <w:lang w:val="uk-UA"/>
        </w:rPr>
        <w:t>Обов'язковість прийняття заяв і повідомлень про злочини і порядок їх розгляду</w:t>
      </w:r>
    </w:p>
    <w:p w:rsidR="00D83351" w:rsidRPr="000A38E5" w:rsidRDefault="00D83351" w:rsidP="00E4265F">
      <w:pPr>
        <w:pStyle w:val="ECHRParaQuote"/>
        <w:rPr>
          <w:lang w:val="uk-UA"/>
        </w:rPr>
      </w:pPr>
      <w:proofErr w:type="spellStart"/>
      <w:r w:rsidRPr="00E93710">
        <w:rPr>
          <w:lang w:val="uk-UA"/>
        </w:rPr>
        <w:t>“</w:t>
      </w:r>
      <w:r w:rsidR="00E4265F" w:rsidRPr="000A38E5">
        <w:rPr>
          <w:lang w:val="uk-UA"/>
        </w:rPr>
        <w:t>Прокурор</w:t>
      </w:r>
      <w:proofErr w:type="spellEnd"/>
      <w:r w:rsidR="00E4265F" w:rsidRPr="000A38E5">
        <w:rPr>
          <w:lang w:val="uk-UA"/>
        </w:rPr>
        <w:t>, слідчий, орган дізнання або суддя зобов'язані приймати заяви</w:t>
      </w:r>
      <w:r w:rsidR="00334477" w:rsidRPr="000A38E5">
        <w:rPr>
          <w:lang w:val="uk-UA"/>
        </w:rPr>
        <w:t xml:space="preserve"> </w:t>
      </w:r>
      <w:r w:rsidR="00E4265F" w:rsidRPr="000A38E5">
        <w:rPr>
          <w:lang w:val="uk-UA"/>
        </w:rPr>
        <w:t>і</w:t>
      </w:r>
      <w:r w:rsidR="00334477" w:rsidRPr="000A38E5">
        <w:rPr>
          <w:lang w:val="uk-UA"/>
        </w:rPr>
        <w:t xml:space="preserve"> </w:t>
      </w:r>
      <w:r w:rsidR="00E4265F" w:rsidRPr="000A38E5">
        <w:rPr>
          <w:lang w:val="uk-UA"/>
        </w:rPr>
        <w:t>повідомлення про вчинені або підготовлювані злочини, в тому числі і в справах, які не підлягають їх віданню</w:t>
      </w:r>
      <w:r w:rsidRPr="000A38E5">
        <w:rPr>
          <w:lang w:val="uk-UA"/>
        </w:rPr>
        <w:t>.</w:t>
      </w:r>
    </w:p>
    <w:p w:rsidR="00D83351" w:rsidRPr="000A38E5" w:rsidRDefault="00E4265F" w:rsidP="00E4265F">
      <w:pPr>
        <w:pStyle w:val="ECHRParaQuote"/>
        <w:rPr>
          <w:lang w:val="uk-UA"/>
        </w:rPr>
      </w:pPr>
      <w:r w:rsidRPr="000A38E5">
        <w:rPr>
          <w:lang w:val="uk-UA"/>
        </w:rPr>
        <w:t>По заяві або повідомленню про злочин прокурор, слідчий, орган дізнання або суддя зобов'язані не пізніше триденного строку прийняти одне з таких рішень</w:t>
      </w:r>
      <w:r w:rsidR="00D83351" w:rsidRPr="000A38E5">
        <w:rPr>
          <w:lang w:val="uk-UA"/>
        </w:rPr>
        <w:t>:</w:t>
      </w:r>
    </w:p>
    <w:p w:rsidR="00D83351" w:rsidRPr="000A38E5" w:rsidRDefault="00121B3C" w:rsidP="005309FB">
      <w:pPr>
        <w:pStyle w:val="ECHRParaQuote"/>
        <w:rPr>
          <w:lang w:val="uk-UA"/>
        </w:rPr>
      </w:pPr>
      <w:r w:rsidRPr="000A38E5">
        <w:rPr>
          <w:lang w:val="uk-UA"/>
        </w:rPr>
        <w:t>(1)</w:t>
      </w:r>
      <w:r w:rsidR="00334477" w:rsidRPr="000A38E5">
        <w:rPr>
          <w:lang w:val="uk-UA"/>
        </w:rPr>
        <w:t xml:space="preserve"> </w:t>
      </w:r>
      <w:r w:rsidR="005309FB" w:rsidRPr="000A38E5">
        <w:rPr>
          <w:lang w:val="uk-UA"/>
        </w:rPr>
        <w:t>порушити кримінальну справу</w:t>
      </w:r>
      <w:r w:rsidR="00D83351" w:rsidRPr="000A38E5">
        <w:rPr>
          <w:lang w:val="uk-UA"/>
        </w:rPr>
        <w:t>;</w:t>
      </w:r>
    </w:p>
    <w:p w:rsidR="00D83351" w:rsidRPr="000A38E5" w:rsidRDefault="00121B3C" w:rsidP="005309FB">
      <w:pPr>
        <w:pStyle w:val="ECHRParaQuote"/>
        <w:rPr>
          <w:lang w:val="uk-UA"/>
        </w:rPr>
      </w:pPr>
      <w:r w:rsidRPr="000A38E5">
        <w:rPr>
          <w:lang w:val="uk-UA"/>
        </w:rPr>
        <w:t>(2)</w:t>
      </w:r>
      <w:r w:rsidR="00334477" w:rsidRPr="000A38E5">
        <w:rPr>
          <w:lang w:val="uk-UA"/>
        </w:rPr>
        <w:t xml:space="preserve"> </w:t>
      </w:r>
      <w:r w:rsidR="005309FB" w:rsidRPr="000A38E5">
        <w:rPr>
          <w:lang w:val="uk-UA"/>
        </w:rPr>
        <w:t>відмовити в порушенні кримінальної справи</w:t>
      </w:r>
      <w:r w:rsidR="00D83351" w:rsidRPr="000A38E5">
        <w:rPr>
          <w:lang w:val="uk-UA"/>
        </w:rPr>
        <w:t>;</w:t>
      </w:r>
    </w:p>
    <w:p w:rsidR="00D83351" w:rsidRPr="000A38E5" w:rsidRDefault="00121B3C" w:rsidP="005309FB">
      <w:pPr>
        <w:pStyle w:val="ECHRParaQuote"/>
        <w:rPr>
          <w:lang w:val="uk-UA"/>
        </w:rPr>
      </w:pPr>
      <w:r w:rsidRPr="000A38E5">
        <w:rPr>
          <w:lang w:val="uk-UA"/>
        </w:rPr>
        <w:t>(3)</w:t>
      </w:r>
      <w:r w:rsidR="00334477" w:rsidRPr="000A38E5">
        <w:rPr>
          <w:lang w:val="uk-UA"/>
        </w:rPr>
        <w:t xml:space="preserve"> </w:t>
      </w:r>
      <w:r w:rsidR="005309FB" w:rsidRPr="000A38E5">
        <w:rPr>
          <w:lang w:val="uk-UA"/>
        </w:rPr>
        <w:t>направити заяву або повідомлення за належністю</w:t>
      </w:r>
      <w:r w:rsidR="00D83351" w:rsidRPr="000A38E5">
        <w:rPr>
          <w:lang w:val="uk-UA"/>
        </w:rPr>
        <w:t>.</w:t>
      </w:r>
    </w:p>
    <w:p w:rsidR="00D83351" w:rsidRPr="000A38E5" w:rsidRDefault="00A17311" w:rsidP="007477FE">
      <w:pPr>
        <w:pStyle w:val="ECHRParaQuote"/>
        <w:rPr>
          <w:lang w:val="uk-UA"/>
        </w:rPr>
      </w:pPr>
      <w:r w:rsidRPr="000A38E5">
        <w:rPr>
          <w:lang w:val="uk-UA"/>
        </w:rPr>
        <w:t xml:space="preserve">Одночасно вживається всіх можливих заходів, щоб запобігти </w:t>
      </w:r>
      <w:r w:rsidR="007477FE" w:rsidRPr="000A38E5">
        <w:rPr>
          <w:lang w:val="uk-UA"/>
        </w:rPr>
        <w:t>злочинові або припинити його</w:t>
      </w:r>
      <w:r w:rsidR="00D83351" w:rsidRPr="000A38E5">
        <w:rPr>
          <w:lang w:val="uk-UA"/>
        </w:rPr>
        <w:t>...</w:t>
      </w:r>
    </w:p>
    <w:p w:rsidR="00D83351" w:rsidRPr="000A38E5" w:rsidRDefault="006920E3" w:rsidP="006920E3">
      <w:pPr>
        <w:pStyle w:val="ECHRParaQuote"/>
        <w:rPr>
          <w:lang w:val="uk-UA"/>
        </w:rPr>
      </w:pPr>
      <w:r w:rsidRPr="000A38E5">
        <w:rPr>
          <w:lang w:val="uk-UA"/>
        </w:rPr>
        <w:t>Коли необхідно перевірити заяву або повідомлення</w:t>
      </w:r>
      <w:r w:rsidR="00334477" w:rsidRPr="000A38E5">
        <w:rPr>
          <w:lang w:val="uk-UA"/>
        </w:rPr>
        <w:t xml:space="preserve"> </w:t>
      </w:r>
      <w:r w:rsidRPr="000A38E5">
        <w:rPr>
          <w:lang w:val="uk-UA"/>
        </w:rPr>
        <w:t>про</w:t>
      </w:r>
      <w:r w:rsidR="00334477" w:rsidRPr="000A38E5">
        <w:rPr>
          <w:lang w:val="uk-UA"/>
        </w:rPr>
        <w:t xml:space="preserve"> </w:t>
      </w:r>
      <w:r w:rsidRPr="000A38E5">
        <w:rPr>
          <w:lang w:val="uk-UA"/>
        </w:rPr>
        <w:t>злочин до порушення справи, така перевірка здійснюється прокурором, слідчим або органом дізнання в строк не більше десяти днів шляхом відібрання</w:t>
      </w:r>
      <w:r w:rsidR="00334477" w:rsidRPr="000A38E5">
        <w:rPr>
          <w:lang w:val="uk-UA"/>
        </w:rPr>
        <w:t xml:space="preserve"> </w:t>
      </w:r>
      <w:r w:rsidRPr="000A38E5">
        <w:rPr>
          <w:lang w:val="uk-UA"/>
        </w:rPr>
        <w:t>пояснень</w:t>
      </w:r>
      <w:r w:rsidR="00334477" w:rsidRPr="000A38E5">
        <w:rPr>
          <w:lang w:val="uk-UA"/>
        </w:rPr>
        <w:t xml:space="preserve"> </w:t>
      </w:r>
      <w:r w:rsidRPr="000A38E5">
        <w:rPr>
          <w:lang w:val="uk-UA"/>
        </w:rPr>
        <w:t>від</w:t>
      </w:r>
      <w:r w:rsidR="00334477" w:rsidRPr="000A38E5">
        <w:rPr>
          <w:lang w:val="uk-UA"/>
        </w:rPr>
        <w:t xml:space="preserve"> </w:t>
      </w:r>
      <w:r w:rsidRPr="000A38E5">
        <w:rPr>
          <w:lang w:val="uk-UA"/>
        </w:rPr>
        <w:t>окремих</w:t>
      </w:r>
      <w:r w:rsidR="00334477" w:rsidRPr="000A38E5">
        <w:rPr>
          <w:lang w:val="uk-UA"/>
        </w:rPr>
        <w:t xml:space="preserve"> </w:t>
      </w:r>
      <w:r w:rsidRPr="000A38E5">
        <w:rPr>
          <w:lang w:val="uk-UA"/>
        </w:rPr>
        <w:t>громадян чи посадових осіб або витребування необхідних документів</w:t>
      </w:r>
      <w:r w:rsidR="00D83351" w:rsidRPr="000A38E5">
        <w:rPr>
          <w:lang w:val="uk-UA"/>
        </w:rPr>
        <w:t>.</w:t>
      </w:r>
    </w:p>
    <w:p w:rsidR="00D83351" w:rsidRPr="000A38E5" w:rsidRDefault="00F113CE" w:rsidP="00F113CE">
      <w:pPr>
        <w:pStyle w:val="ECHRParaQuote"/>
        <w:rPr>
          <w:lang w:val="uk-UA"/>
        </w:rPr>
      </w:pPr>
      <w:r w:rsidRPr="000A38E5">
        <w:rPr>
          <w:lang w:val="uk-UA"/>
        </w:rPr>
        <w:lastRenderedPageBreak/>
        <w:t>Заява або повідомлення про злочини до порушення кримінальної справи</w:t>
      </w:r>
      <w:r w:rsidR="00334477" w:rsidRPr="000A38E5">
        <w:rPr>
          <w:lang w:val="uk-UA"/>
        </w:rPr>
        <w:t xml:space="preserve">  </w:t>
      </w:r>
      <w:r w:rsidRPr="000A38E5">
        <w:rPr>
          <w:lang w:val="uk-UA"/>
        </w:rPr>
        <w:t>можуть бути перевірені шляхом проведення оперативно-розшукової</w:t>
      </w:r>
      <w:r w:rsidR="00334477" w:rsidRPr="000A38E5">
        <w:rPr>
          <w:lang w:val="uk-UA"/>
        </w:rPr>
        <w:t xml:space="preserve"> </w:t>
      </w:r>
      <w:r w:rsidRPr="000A38E5">
        <w:rPr>
          <w:lang w:val="uk-UA"/>
        </w:rPr>
        <w:t>діяльності</w:t>
      </w:r>
      <w:r w:rsidR="00D83351" w:rsidRPr="000A38E5">
        <w:rPr>
          <w:lang w:val="uk-UA"/>
        </w:rPr>
        <w:t>...”</w:t>
      </w:r>
    </w:p>
    <w:p w:rsidR="00D83351" w:rsidRPr="000A38E5" w:rsidRDefault="00E8209F" w:rsidP="00852217">
      <w:pPr>
        <w:pStyle w:val="ECHRTitleCentre3"/>
        <w:rPr>
          <w:lang w:val="uk-UA"/>
        </w:rPr>
      </w:pPr>
      <w:r w:rsidRPr="000A38E5">
        <w:rPr>
          <w:lang w:val="uk-UA"/>
        </w:rPr>
        <w:t>Стаття</w:t>
      </w:r>
      <w:r w:rsidR="00D83351" w:rsidRPr="000A38E5">
        <w:rPr>
          <w:lang w:val="uk-UA"/>
        </w:rPr>
        <w:t xml:space="preserve"> 99. </w:t>
      </w:r>
      <w:r w:rsidR="004F6500" w:rsidRPr="000A38E5">
        <w:rPr>
          <w:lang w:val="uk-UA"/>
        </w:rPr>
        <w:t>Відмова в порушенні справи</w:t>
      </w:r>
    </w:p>
    <w:p w:rsidR="00D83351" w:rsidRPr="000A38E5" w:rsidRDefault="00D83351" w:rsidP="00363A44">
      <w:pPr>
        <w:pStyle w:val="ECHRParaQuote"/>
        <w:rPr>
          <w:lang w:val="uk-UA"/>
        </w:rPr>
      </w:pPr>
      <w:proofErr w:type="spellStart"/>
      <w:r w:rsidRPr="000A38E5">
        <w:rPr>
          <w:lang w:val="uk-UA"/>
        </w:rPr>
        <w:t>“</w:t>
      </w:r>
      <w:r w:rsidR="00363A44" w:rsidRPr="000A38E5">
        <w:rPr>
          <w:lang w:val="uk-UA"/>
        </w:rPr>
        <w:t>При</w:t>
      </w:r>
      <w:proofErr w:type="spellEnd"/>
      <w:r w:rsidR="00363A44" w:rsidRPr="000A38E5">
        <w:rPr>
          <w:lang w:val="uk-UA"/>
        </w:rPr>
        <w:t xml:space="preserve"> відсутності підстав до порушення кримінальної справи прокурор,</w:t>
      </w:r>
      <w:r w:rsidR="00334477" w:rsidRPr="000A38E5">
        <w:rPr>
          <w:lang w:val="uk-UA"/>
        </w:rPr>
        <w:t xml:space="preserve"> </w:t>
      </w:r>
      <w:r w:rsidR="00363A44" w:rsidRPr="000A38E5">
        <w:rPr>
          <w:lang w:val="uk-UA"/>
        </w:rPr>
        <w:t>слідчий, орган дізнання або суддя своєю постановою відмовляють у порушенні кримінальної справи, про що повідомляють заінтересованих осіб і підприємства, установи, організації</w:t>
      </w:r>
      <w:r w:rsidRPr="000A38E5">
        <w:rPr>
          <w:lang w:val="uk-UA"/>
        </w:rPr>
        <w:t>.</w:t>
      </w:r>
    </w:p>
    <w:p w:rsidR="00D83351" w:rsidRPr="00E93710" w:rsidRDefault="00D83351" w:rsidP="00852217">
      <w:pPr>
        <w:pStyle w:val="ECHRParaQuote"/>
        <w:rPr>
          <w:lang w:val="uk-UA"/>
        </w:rPr>
      </w:pPr>
      <w:r w:rsidRPr="00E93710">
        <w:rPr>
          <w:lang w:val="uk-UA"/>
        </w:rPr>
        <w:t>...”</w:t>
      </w:r>
    </w:p>
    <w:p w:rsidR="00D83351" w:rsidRPr="000A38E5" w:rsidRDefault="00A17191" w:rsidP="00852217">
      <w:pPr>
        <w:pStyle w:val="ECHRTitleCentre3"/>
        <w:rPr>
          <w:lang w:val="uk-UA"/>
        </w:rPr>
      </w:pPr>
      <w:r w:rsidRPr="000A38E5">
        <w:rPr>
          <w:lang w:val="uk-UA"/>
        </w:rPr>
        <w:t>Стаття</w:t>
      </w:r>
      <w:r w:rsidR="00D83351" w:rsidRPr="00E93710">
        <w:rPr>
          <w:lang w:val="uk-UA"/>
        </w:rPr>
        <w:t xml:space="preserve"> 99-1. </w:t>
      </w:r>
      <w:r w:rsidRPr="000A38E5">
        <w:rPr>
          <w:lang w:val="uk-UA"/>
        </w:rPr>
        <w:t>Оскарження рішень про відмову в порушенні кримінальної справи</w:t>
      </w:r>
    </w:p>
    <w:p w:rsidR="00D83351" w:rsidRPr="00E93710" w:rsidRDefault="00D83351" w:rsidP="00A17191">
      <w:pPr>
        <w:pStyle w:val="ECHRParaQuote"/>
        <w:rPr>
          <w:lang w:val="uk-UA"/>
        </w:rPr>
      </w:pPr>
      <w:proofErr w:type="spellStart"/>
      <w:r w:rsidRPr="00E93710">
        <w:rPr>
          <w:lang w:val="uk-UA"/>
        </w:rPr>
        <w:t>“</w:t>
      </w:r>
      <w:r w:rsidR="00A17191" w:rsidRPr="000A38E5">
        <w:rPr>
          <w:lang w:val="uk-UA"/>
        </w:rPr>
        <w:t>Постанову</w:t>
      </w:r>
      <w:proofErr w:type="spellEnd"/>
      <w:r w:rsidR="00A17191" w:rsidRPr="000A38E5">
        <w:rPr>
          <w:lang w:val="uk-UA"/>
        </w:rPr>
        <w:t xml:space="preserve"> слідчого</w:t>
      </w:r>
      <w:r w:rsidR="00334477" w:rsidRPr="000A38E5">
        <w:rPr>
          <w:lang w:val="uk-UA"/>
        </w:rPr>
        <w:t xml:space="preserve"> </w:t>
      </w:r>
      <w:r w:rsidR="00A17191" w:rsidRPr="000A38E5">
        <w:rPr>
          <w:lang w:val="uk-UA"/>
        </w:rPr>
        <w:t>і органу ді</w:t>
      </w:r>
      <w:r w:rsidR="003136F2" w:rsidRPr="000A38E5">
        <w:rPr>
          <w:lang w:val="uk-UA"/>
        </w:rPr>
        <w:t xml:space="preserve">знання про відмову в порушенні </w:t>
      </w:r>
      <w:r w:rsidR="00A17191" w:rsidRPr="000A38E5">
        <w:rPr>
          <w:lang w:val="uk-UA"/>
        </w:rPr>
        <w:t>кримінальної справи мо</w:t>
      </w:r>
      <w:r w:rsidR="003136F2" w:rsidRPr="000A38E5">
        <w:rPr>
          <w:lang w:val="uk-UA"/>
        </w:rPr>
        <w:t>же бути оскаржено відповідному прокуророві, а якщо таку</w:t>
      </w:r>
      <w:r w:rsidR="00334477" w:rsidRPr="000A38E5">
        <w:rPr>
          <w:lang w:val="uk-UA"/>
        </w:rPr>
        <w:t xml:space="preserve"> </w:t>
      </w:r>
      <w:r w:rsidR="003136F2" w:rsidRPr="000A38E5">
        <w:rPr>
          <w:lang w:val="uk-UA"/>
        </w:rPr>
        <w:t xml:space="preserve">постанову винесено прокурором — вищестоящому </w:t>
      </w:r>
      <w:r w:rsidR="00A17191" w:rsidRPr="000A38E5">
        <w:rPr>
          <w:lang w:val="uk-UA"/>
        </w:rPr>
        <w:t>прокуророві</w:t>
      </w:r>
      <w:r w:rsidR="003136F2" w:rsidRPr="000A38E5">
        <w:rPr>
          <w:lang w:val="uk-UA"/>
        </w:rPr>
        <w:t>.</w:t>
      </w:r>
      <w:r w:rsidR="00334477" w:rsidRPr="000A38E5">
        <w:rPr>
          <w:lang w:val="uk-UA"/>
        </w:rPr>
        <w:t xml:space="preserve"> </w:t>
      </w:r>
      <w:r w:rsidR="003136F2" w:rsidRPr="000A38E5">
        <w:rPr>
          <w:lang w:val="uk-UA"/>
        </w:rPr>
        <w:t>Скарга</w:t>
      </w:r>
      <w:r w:rsidR="00334477" w:rsidRPr="000A38E5">
        <w:rPr>
          <w:lang w:val="uk-UA"/>
        </w:rPr>
        <w:t xml:space="preserve"> </w:t>
      </w:r>
      <w:r w:rsidR="003136F2" w:rsidRPr="000A38E5">
        <w:rPr>
          <w:lang w:val="uk-UA"/>
        </w:rPr>
        <w:t>подається</w:t>
      </w:r>
      <w:r w:rsidR="00334477" w:rsidRPr="000A38E5">
        <w:rPr>
          <w:lang w:val="uk-UA"/>
        </w:rPr>
        <w:t xml:space="preserve"> </w:t>
      </w:r>
      <w:r w:rsidR="003136F2" w:rsidRPr="000A38E5">
        <w:rPr>
          <w:lang w:val="uk-UA"/>
        </w:rPr>
        <w:t xml:space="preserve">особою, інтересів якої вона </w:t>
      </w:r>
      <w:r w:rsidR="00A17191" w:rsidRPr="000A38E5">
        <w:rPr>
          <w:lang w:val="uk-UA"/>
        </w:rPr>
        <w:t>стосується,</w:t>
      </w:r>
      <w:r w:rsidR="00334477" w:rsidRPr="000A38E5">
        <w:rPr>
          <w:lang w:val="uk-UA"/>
        </w:rPr>
        <w:t xml:space="preserve"> </w:t>
      </w:r>
      <w:r w:rsidR="00A17191" w:rsidRPr="000A38E5">
        <w:rPr>
          <w:lang w:val="uk-UA"/>
        </w:rPr>
        <w:t>або</w:t>
      </w:r>
      <w:r w:rsidR="00334477" w:rsidRPr="000A38E5">
        <w:rPr>
          <w:lang w:val="uk-UA"/>
        </w:rPr>
        <w:t xml:space="preserve"> </w:t>
      </w:r>
      <w:r w:rsidR="00A17191" w:rsidRPr="000A38E5">
        <w:rPr>
          <w:lang w:val="uk-UA"/>
        </w:rPr>
        <w:t>її</w:t>
      </w:r>
      <w:r w:rsidR="00334477" w:rsidRPr="000A38E5">
        <w:rPr>
          <w:lang w:val="uk-UA"/>
        </w:rPr>
        <w:t xml:space="preserve"> </w:t>
      </w:r>
      <w:r w:rsidR="00A17191" w:rsidRPr="000A38E5">
        <w:rPr>
          <w:lang w:val="uk-UA"/>
        </w:rPr>
        <w:t>предс</w:t>
      </w:r>
      <w:r w:rsidR="003136F2" w:rsidRPr="000A38E5">
        <w:rPr>
          <w:lang w:val="uk-UA"/>
        </w:rPr>
        <w:t>тавником</w:t>
      </w:r>
      <w:r w:rsidR="00334477" w:rsidRPr="000A38E5">
        <w:rPr>
          <w:lang w:val="uk-UA"/>
        </w:rPr>
        <w:t xml:space="preserve"> </w:t>
      </w:r>
      <w:r w:rsidR="003136F2" w:rsidRPr="000A38E5">
        <w:rPr>
          <w:lang w:val="uk-UA"/>
        </w:rPr>
        <w:t>протягом</w:t>
      </w:r>
      <w:r w:rsidR="00334477" w:rsidRPr="000A38E5">
        <w:rPr>
          <w:lang w:val="uk-UA"/>
        </w:rPr>
        <w:t xml:space="preserve"> </w:t>
      </w:r>
      <w:r w:rsidR="003136F2" w:rsidRPr="000A38E5">
        <w:rPr>
          <w:lang w:val="uk-UA"/>
        </w:rPr>
        <w:t>семи</w:t>
      </w:r>
      <w:r w:rsidR="00334477" w:rsidRPr="000A38E5">
        <w:rPr>
          <w:lang w:val="uk-UA"/>
        </w:rPr>
        <w:t xml:space="preserve"> </w:t>
      </w:r>
      <w:r w:rsidR="003136F2" w:rsidRPr="000A38E5">
        <w:rPr>
          <w:lang w:val="uk-UA"/>
        </w:rPr>
        <w:t xml:space="preserve">днів з дня </w:t>
      </w:r>
      <w:r w:rsidR="00A17191" w:rsidRPr="000A38E5">
        <w:rPr>
          <w:lang w:val="uk-UA"/>
        </w:rPr>
        <w:t>одержання копії постанови</w:t>
      </w:r>
      <w:r w:rsidRPr="00E93710">
        <w:rPr>
          <w:lang w:val="uk-UA"/>
        </w:rPr>
        <w:t>.</w:t>
      </w:r>
    </w:p>
    <w:p w:rsidR="003136F2" w:rsidRPr="000A38E5" w:rsidRDefault="003C5283" w:rsidP="003136F2">
      <w:pPr>
        <w:pStyle w:val="ECHRParaQuote"/>
        <w:rPr>
          <w:lang w:val="uk-UA"/>
        </w:rPr>
      </w:pPr>
      <w:r w:rsidRPr="000A38E5">
        <w:rPr>
          <w:lang w:val="uk-UA"/>
        </w:rPr>
        <w:t xml:space="preserve">Постанову прокурора, </w:t>
      </w:r>
      <w:r w:rsidR="003136F2" w:rsidRPr="000A38E5">
        <w:rPr>
          <w:lang w:val="uk-UA"/>
        </w:rPr>
        <w:t>слідчого</w:t>
      </w:r>
      <w:r w:rsidRPr="000A38E5">
        <w:rPr>
          <w:lang w:val="uk-UA"/>
        </w:rPr>
        <w:t xml:space="preserve"> і органу дізнання про відмову в</w:t>
      </w:r>
      <w:r w:rsidR="00334477" w:rsidRPr="000A38E5">
        <w:rPr>
          <w:lang w:val="uk-UA"/>
        </w:rPr>
        <w:t xml:space="preserve"> </w:t>
      </w:r>
      <w:r w:rsidRPr="000A38E5">
        <w:rPr>
          <w:lang w:val="uk-UA"/>
        </w:rPr>
        <w:t>порушенні</w:t>
      </w:r>
      <w:r w:rsidR="00334477" w:rsidRPr="000A38E5">
        <w:rPr>
          <w:lang w:val="uk-UA"/>
        </w:rPr>
        <w:t xml:space="preserve"> </w:t>
      </w:r>
      <w:r w:rsidRPr="000A38E5">
        <w:rPr>
          <w:lang w:val="uk-UA"/>
        </w:rPr>
        <w:t xml:space="preserve">кримінальної справи може бути оскаржено особою, </w:t>
      </w:r>
      <w:r w:rsidR="003136F2" w:rsidRPr="000A38E5">
        <w:rPr>
          <w:lang w:val="uk-UA"/>
        </w:rPr>
        <w:t>і</w:t>
      </w:r>
      <w:r w:rsidRPr="000A38E5">
        <w:rPr>
          <w:lang w:val="uk-UA"/>
        </w:rPr>
        <w:t xml:space="preserve">нтересів якої вона стосується, або її представником до суду в </w:t>
      </w:r>
      <w:r w:rsidR="003136F2" w:rsidRPr="000A38E5">
        <w:rPr>
          <w:lang w:val="uk-UA"/>
        </w:rPr>
        <w:t>порядку, передбаченому статтею 236-1 цього Кодексу</w:t>
      </w:r>
    </w:p>
    <w:p w:rsidR="00D83351" w:rsidRPr="00E93710" w:rsidRDefault="00D83351" w:rsidP="00852217">
      <w:pPr>
        <w:pStyle w:val="ECHRParaQuote"/>
        <w:rPr>
          <w:lang w:val="uk-UA"/>
        </w:rPr>
      </w:pPr>
      <w:r w:rsidRPr="00E93710">
        <w:rPr>
          <w:lang w:val="uk-UA"/>
        </w:rPr>
        <w:t>.</w:t>
      </w:r>
    </w:p>
    <w:p w:rsidR="00D83351" w:rsidRPr="00E93710" w:rsidRDefault="00D83351" w:rsidP="00852217">
      <w:pPr>
        <w:pStyle w:val="ECHRParaQuote"/>
        <w:rPr>
          <w:lang w:val="uk-UA"/>
        </w:rPr>
      </w:pPr>
      <w:r w:rsidRPr="00E93710">
        <w:rPr>
          <w:lang w:val="uk-UA"/>
        </w:rPr>
        <w:t>...”</w:t>
      </w:r>
    </w:p>
    <w:p w:rsidR="00D83351" w:rsidRPr="000A38E5" w:rsidRDefault="003C5283" w:rsidP="00852217">
      <w:pPr>
        <w:pStyle w:val="ECHRTitleCentre3"/>
        <w:rPr>
          <w:lang w:val="uk-UA"/>
        </w:rPr>
      </w:pPr>
      <w:r w:rsidRPr="000A38E5">
        <w:rPr>
          <w:lang w:val="uk-UA"/>
        </w:rPr>
        <w:t>Стаття</w:t>
      </w:r>
      <w:r w:rsidR="00D83351" w:rsidRPr="00E93710">
        <w:rPr>
          <w:lang w:val="uk-UA"/>
        </w:rPr>
        <w:t xml:space="preserve"> 236-1. </w:t>
      </w:r>
      <w:r w:rsidR="005A7AFC" w:rsidRPr="000A38E5">
        <w:rPr>
          <w:lang w:val="uk-UA"/>
        </w:rPr>
        <w:t>Оскарження до суду постанови про відмову в порушенні справи</w:t>
      </w:r>
    </w:p>
    <w:p w:rsidR="00C0458C" w:rsidRPr="00E93710" w:rsidRDefault="00D83351" w:rsidP="00C0458C">
      <w:pPr>
        <w:pStyle w:val="ECHRParaQuote"/>
        <w:rPr>
          <w:lang w:val="uk-UA"/>
        </w:rPr>
      </w:pPr>
      <w:proofErr w:type="spellStart"/>
      <w:r w:rsidRPr="00E93710">
        <w:rPr>
          <w:lang w:val="uk-UA"/>
        </w:rPr>
        <w:t>“</w:t>
      </w:r>
      <w:r w:rsidR="00C0458C" w:rsidRPr="000A38E5">
        <w:rPr>
          <w:lang w:val="uk-UA"/>
        </w:rPr>
        <w:t>Скарга</w:t>
      </w:r>
      <w:proofErr w:type="spellEnd"/>
      <w:r w:rsidR="00C0458C" w:rsidRPr="000A38E5">
        <w:rPr>
          <w:lang w:val="uk-UA"/>
        </w:rPr>
        <w:t xml:space="preserve"> на постанову органу дізнання, слідчого, прокурора про відмову</w:t>
      </w:r>
      <w:r w:rsidR="00334477" w:rsidRPr="000A38E5">
        <w:rPr>
          <w:lang w:val="uk-UA"/>
        </w:rPr>
        <w:t xml:space="preserve"> </w:t>
      </w:r>
      <w:r w:rsidR="00C0458C" w:rsidRPr="000A38E5">
        <w:rPr>
          <w:lang w:val="uk-UA"/>
        </w:rPr>
        <w:t>в</w:t>
      </w:r>
      <w:r w:rsidR="00334477" w:rsidRPr="000A38E5">
        <w:rPr>
          <w:lang w:val="uk-UA"/>
        </w:rPr>
        <w:t xml:space="preserve"> </w:t>
      </w:r>
      <w:r w:rsidR="00C0458C" w:rsidRPr="000A38E5">
        <w:rPr>
          <w:lang w:val="uk-UA"/>
        </w:rPr>
        <w:t xml:space="preserve">порушенні кримінальної справи подається особою, інтересів якої вона стосується, або її представником до районного (міського) суду за </w:t>
      </w:r>
      <w:proofErr w:type="spellStart"/>
      <w:r w:rsidR="00C0458C" w:rsidRPr="000A38E5">
        <w:rPr>
          <w:lang w:val="uk-UA"/>
        </w:rPr>
        <w:t>місцерозташуванням</w:t>
      </w:r>
      <w:proofErr w:type="spellEnd"/>
      <w:r w:rsidR="00C0458C" w:rsidRPr="000A38E5">
        <w:rPr>
          <w:lang w:val="uk-UA"/>
        </w:rPr>
        <w:t xml:space="preserve"> органу або роботи посадової особи,</w:t>
      </w:r>
      <w:r w:rsidR="00334477" w:rsidRPr="000A38E5">
        <w:rPr>
          <w:lang w:val="uk-UA"/>
        </w:rPr>
        <w:t xml:space="preserve"> </w:t>
      </w:r>
      <w:r w:rsidR="00C0458C" w:rsidRPr="000A38E5">
        <w:rPr>
          <w:lang w:val="uk-UA"/>
        </w:rPr>
        <w:t>яка винесла постанову, протягом семи днів з дня отримання копії постанови чи повідомлення прокурора про відмову в скасуванні постанови</w:t>
      </w:r>
    </w:p>
    <w:p w:rsidR="00D83351" w:rsidRPr="00E93710" w:rsidRDefault="00D83351" w:rsidP="00852217">
      <w:pPr>
        <w:pStyle w:val="ECHRParaQuote"/>
        <w:rPr>
          <w:lang w:val="uk-UA"/>
        </w:rPr>
      </w:pPr>
      <w:r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102</w:t>
      </w:r>
      <w:r w:rsidRPr="00E93710">
        <w:rPr>
          <w:noProof/>
          <w:lang w:val="uk-UA"/>
        </w:rPr>
        <w:fldChar w:fldCharType="end"/>
      </w:r>
      <w:r w:rsidR="00D83351" w:rsidRPr="00E93710">
        <w:rPr>
          <w:lang w:val="uk-UA"/>
        </w:rPr>
        <w:t>.</w:t>
      </w:r>
      <w:r w:rsidR="00334477" w:rsidRPr="000A38E5">
        <w:rPr>
          <w:lang w:val="uk-UA"/>
        </w:rPr>
        <w:t xml:space="preserve"> </w:t>
      </w:r>
      <w:r w:rsidR="006E1E27" w:rsidRPr="000A38E5">
        <w:rPr>
          <w:lang w:val="uk-UA"/>
        </w:rPr>
        <w:t>Інші відповідні положення стосовно дослідчих перевірок</w:t>
      </w:r>
      <w:r w:rsidR="00D83351" w:rsidRPr="00E93710">
        <w:rPr>
          <w:lang w:val="uk-UA"/>
        </w:rPr>
        <w:t xml:space="preserve"> </w:t>
      </w:r>
      <w:r w:rsidR="006E1E27" w:rsidRPr="000A38E5">
        <w:rPr>
          <w:lang w:val="uk-UA"/>
        </w:rPr>
        <w:t>можна знайти у рішенні у справі</w:t>
      </w:r>
      <w:r w:rsidR="00D83351" w:rsidRPr="00E93710">
        <w:rPr>
          <w:lang w:val="uk-UA"/>
        </w:rPr>
        <w:t xml:space="preserve"> </w:t>
      </w:r>
      <w:proofErr w:type="spellStart"/>
      <w:r w:rsidR="00D83351" w:rsidRPr="00E93710">
        <w:rPr>
          <w:i/>
          <w:lang w:val="uk-UA"/>
        </w:rPr>
        <w:t>Kaverzin</w:t>
      </w:r>
      <w:proofErr w:type="spellEnd"/>
      <w:r w:rsidR="00D83351" w:rsidRPr="00E93710">
        <w:rPr>
          <w:i/>
          <w:lang w:val="uk-UA"/>
        </w:rPr>
        <w:t> v. </w:t>
      </w:r>
      <w:proofErr w:type="spellStart"/>
      <w:r w:rsidR="00D83351" w:rsidRPr="00E93710">
        <w:rPr>
          <w:i/>
          <w:lang w:val="uk-UA"/>
        </w:rPr>
        <w:t>Ukraine</w:t>
      </w:r>
      <w:proofErr w:type="spellEnd"/>
      <w:r w:rsidR="00D83351" w:rsidRPr="00E93710">
        <w:rPr>
          <w:lang w:val="uk-UA"/>
        </w:rPr>
        <w:t xml:space="preserve"> (</w:t>
      </w:r>
      <w:r w:rsidR="006E1E27" w:rsidRPr="000A38E5">
        <w:rPr>
          <w:lang w:val="uk-UA"/>
        </w:rPr>
        <w:t>№</w:t>
      </w:r>
      <w:r w:rsidR="00D83351" w:rsidRPr="00E93710">
        <w:rPr>
          <w:lang w:val="uk-UA"/>
        </w:rPr>
        <w:t xml:space="preserve"> 23893/03, § 45, 15 </w:t>
      </w:r>
      <w:r w:rsidR="006E1E27" w:rsidRPr="000A38E5">
        <w:rPr>
          <w:lang w:val="uk-UA"/>
        </w:rPr>
        <w:t>травня</w:t>
      </w:r>
      <w:r w:rsidR="00D83351" w:rsidRPr="00E93710">
        <w:rPr>
          <w:lang w:val="uk-UA"/>
        </w:rPr>
        <w:t xml:space="preserve"> 2012).</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103</w:t>
      </w:r>
      <w:r w:rsidRPr="00E93710">
        <w:rPr>
          <w:noProof/>
          <w:lang w:val="uk-UA"/>
        </w:rPr>
        <w:fldChar w:fldCharType="end"/>
      </w:r>
      <w:r w:rsidR="00D83351" w:rsidRPr="00E93710">
        <w:rPr>
          <w:lang w:val="uk-UA"/>
        </w:rPr>
        <w:t>.</w:t>
      </w:r>
      <w:r w:rsidR="00334477" w:rsidRPr="000A38E5">
        <w:rPr>
          <w:lang w:val="uk-UA"/>
        </w:rPr>
        <w:t xml:space="preserve"> </w:t>
      </w:r>
      <w:r w:rsidR="006E1E27" w:rsidRPr="000A38E5">
        <w:rPr>
          <w:lang w:val="uk-UA"/>
        </w:rPr>
        <w:t>Кримінально-процесуальний кодекс</w:t>
      </w:r>
      <w:r w:rsidR="00D83351" w:rsidRPr="00E93710">
        <w:rPr>
          <w:lang w:val="uk-UA"/>
        </w:rPr>
        <w:t xml:space="preserve"> 1960 </w:t>
      </w:r>
      <w:r w:rsidR="006E1E27" w:rsidRPr="000A38E5">
        <w:rPr>
          <w:lang w:val="uk-UA"/>
        </w:rPr>
        <w:t>р. був у силі на той час та втратив силу</w:t>
      </w:r>
      <w:r w:rsidR="00D83351" w:rsidRPr="00E93710">
        <w:rPr>
          <w:lang w:val="uk-UA"/>
        </w:rPr>
        <w:t xml:space="preserve"> 19 </w:t>
      </w:r>
      <w:r w:rsidR="006E1E27" w:rsidRPr="000A38E5">
        <w:rPr>
          <w:lang w:val="uk-UA"/>
        </w:rPr>
        <w:t>листопада</w:t>
      </w:r>
      <w:r w:rsidR="00D83351" w:rsidRPr="00E93710">
        <w:rPr>
          <w:lang w:val="uk-UA"/>
        </w:rPr>
        <w:t xml:space="preserve"> 2012</w:t>
      </w:r>
      <w:r w:rsidR="008260CA" w:rsidRPr="00E93710">
        <w:rPr>
          <w:lang w:val="uk-UA"/>
        </w:rPr>
        <w:t xml:space="preserve"> о</w:t>
      </w:r>
      <w:r w:rsidR="00D83351" w:rsidRPr="00E93710">
        <w:rPr>
          <w:lang w:val="uk-UA"/>
        </w:rPr>
        <w:t>.</w:t>
      </w:r>
    </w:p>
    <w:p w:rsidR="00D83351" w:rsidRPr="00E93710" w:rsidRDefault="00D83351" w:rsidP="00852217">
      <w:pPr>
        <w:pStyle w:val="ECHRHeading2"/>
        <w:rPr>
          <w:lang w:val="uk-UA"/>
        </w:rPr>
      </w:pPr>
      <w:r w:rsidRPr="00E93710">
        <w:rPr>
          <w:lang w:val="uk-UA"/>
        </w:rPr>
        <w:t>E.</w:t>
      </w:r>
      <w:r w:rsidR="00334477" w:rsidRPr="000A38E5">
        <w:rPr>
          <w:lang w:val="uk-UA"/>
        </w:rPr>
        <w:t xml:space="preserve"> </w:t>
      </w:r>
      <w:r w:rsidR="00815C20" w:rsidRPr="000A38E5">
        <w:rPr>
          <w:lang w:val="uk-UA"/>
        </w:rPr>
        <w:t xml:space="preserve">Закон про </w:t>
      </w:r>
      <w:r w:rsidR="00600373" w:rsidRPr="000A38E5">
        <w:rPr>
          <w:lang w:val="uk-UA"/>
        </w:rPr>
        <w:t>звернення</w:t>
      </w:r>
      <w:r w:rsidR="00815C20" w:rsidRPr="000A38E5">
        <w:rPr>
          <w:lang w:val="uk-UA"/>
        </w:rPr>
        <w:t xml:space="preserve"> громадян</w:t>
      </w:r>
      <w:r w:rsidRPr="00E93710">
        <w:rPr>
          <w:lang w:val="uk-UA"/>
        </w:rPr>
        <w:t xml:space="preserve"> </w:t>
      </w:r>
      <w:r w:rsidR="00815C20" w:rsidRPr="000A38E5">
        <w:rPr>
          <w:lang w:val="uk-UA"/>
        </w:rPr>
        <w:t>від</w:t>
      </w:r>
      <w:r w:rsidRPr="00E93710">
        <w:rPr>
          <w:lang w:val="uk-UA"/>
        </w:rPr>
        <w:t xml:space="preserve"> 1996</w:t>
      </w:r>
      <w:r w:rsidR="00815C20" w:rsidRPr="000A38E5">
        <w:rPr>
          <w:lang w:val="uk-UA"/>
        </w:rPr>
        <w:t xml:space="preserve"> р.</w:t>
      </w:r>
      <w:r w:rsidRPr="00E93710">
        <w:rPr>
          <w:lang w:val="uk-UA"/>
        </w:rPr>
        <w:t xml:space="preserve"> (</w:t>
      </w:r>
      <w:r w:rsidR="00815C20" w:rsidRPr="000A38E5">
        <w:rPr>
          <w:lang w:val="uk-UA"/>
        </w:rPr>
        <w:t>виправлений</w:t>
      </w:r>
      <w:r w:rsidRPr="00E93710">
        <w:rPr>
          <w:lang w:val="uk-UA"/>
        </w:rPr>
        <w:t>)</w:t>
      </w:r>
    </w:p>
    <w:bookmarkStart w:id="70" w:name="Petitions_Act"/>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104</w:t>
      </w:r>
      <w:r w:rsidRPr="00E93710">
        <w:rPr>
          <w:lang w:val="uk-UA"/>
        </w:rPr>
        <w:fldChar w:fldCharType="end"/>
      </w:r>
      <w:bookmarkEnd w:id="70"/>
      <w:r w:rsidR="00D83351" w:rsidRPr="00E93710">
        <w:rPr>
          <w:lang w:val="uk-UA"/>
        </w:rPr>
        <w:t>.</w:t>
      </w:r>
      <w:r w:rsidR="00334477" w:rsidRPr="000A38E5">
        <w:rPr>
          <w:lang w:val="uk-UA"/>
        </w:rPr>
        <w:t xml:space="preserve"> </w:t>
      </w:r>
      <w:r w:rsidR="00872497" w:rsidRPr="000A38E5">
        <w:rPr>
          <w:lang w:val="uk-UA"/>
        </w:rPr>
        <w:t xml:space="preserve">Закон містить правила стосовно </w:t>
      </w:r>
      <w:r w:rsidR="00600373" w:rsidRPr="000A38E5">
        <w:rPr>
          <w:lang w:val="uk-UA"/>
        </w:rPr>
        <w:t>звернень</w:t>
      </w:r>
      <w:r w:rsidR="00D83351" w:rsidRPr="00E93710">
        <w:rPr>
          <w:lang w:val="uk-UA"/>
        </w:rPr>
        <w:t xml:space="preserve">, </w:t>
      </w:r>
      <w:r w:rsidR="00872497" w:rsidRPr="000A38E5">
        <w:rPr>
          <w:lang w:val="uk-UA"/>
        </w:rPr>
        <w:t xml:space="preserve">гарантії для осіб, які подають </w:t>
      </w:r>
      <w:r w:rsidR="00600373" w:rsidRPr="000A38E5">
        <w:rPr>
          <w:lang w:val="uk-UA"/>
        </w:rPr>
        <w:t>звернення</w:t>
      </w:r>
      <w:r w:rsidR="00872497" w:rsidRPr="000A38E5">
        <w:rPr>
          <w:lang w:val="uk-UA"/>
        </w:rPr>
        <w:t>,</w:t>
      </w:r>
      <w:r w:rsidR="00D83351" w:rsidRPr="00E93710">
        <w:rPr>
          <w:lang w:val="uk-UA"/>
        </w:rPr>
        <w:t xml:space="preserve"> </w:t>
      </w:r>
      <w:r w:rsidR="00872497" w:rsidRPr="000A38E5">
        <w:rPr>
          <w:lang w:val="uk-UA"/>
        </w:rPr>
        <w:t>та регулює процедуру їх розгляду</w:t>
      </w:r>
      <w:r w:rsidR="00D83351" w:rsidRPr="00E93710">
        <w:rPr>
          <w:lang w:val="uk-UA"/>
        </w:rPr>
        <w:t xml:space="preserve">. </w:t>
      </w:r>
      <w:r w:rsidR="00872497" w:rsidRPr="000A38E5">
        <w:rPr>
          <w:lang w:val="uk-UA"/>
        </w:rPr>
        <w:t>Закон передбачає право громадян</w:t>
      </w:r>
      <w:r w:rsidR="00D83351" w:rsidRPr="00E93710">
        <w:rPr>
          <w:lang w:val="uk-UA"/>
        </w:rPr>
        <w:t xml:space="preserve"> </w:t>
      </w:r>
      <w:r w:rsidR="00872497" w:rsidRPr="000A38E5">
        <w:rPr>
          <w:lang w:val="uk-UA"/>
        </w:rPr>
        <w:t>та інших осіб, які знаходяться в Україні на законних підставах,</w:t>
      </w:r>
      <w:r w:rsidR="00D83351" w:rsidRPr="00E93710">
        <w:rPr>
          <w:lang w:val="uk-UA"/>
        </w:rPr>
        <w:t xml:space="preserve"> </w:t>
      </w:r>
      <w:r w:rsidR="00600373" w:rsidRPr="000A38E5">
        <w:rPr>
          <w:lang w:val="uk-UA"/>
        </w:rPr>
        <w:t>надсилати звернення</w:t>
      </w:r>
      <w:r w:rsidR="00872497" w:rsidRPr="000A38E5">
        <w:rPr>
          <w:lang w:val="uk-UA"/>
        </w:rPr>
        <w:t xml:space="preserve"> до державних та муніципальних органів влади</w:t>
      </w:r>
      <w:r w:rsidR="00D83351" w:rsidRPr="00E93710">
        <w:rPr>
          <w:lang w:val="uk-UA"/>
        </w:rPr>
        <w:t xml:space="preserve"> </w:t>
      </w:r>
      <w:r w:rsidR="00872497" w:rsidRPr="000A38E5">
        <w:rPr>
          <w:lang w:val="uk-UA"/>
        </w:rPr>
        <w:t xml:space="preserve">з питань занепокоєності, у тому числі – </w:t>
      </w:r>
      <w:proofErr w:type="spellStart"/>
      <w:r w:rsidR="00872497" w:rsidRPr="000A38E5">
        <w:rPr>
          <w:lang w:val="uk-UA"/>
        </w:rPr>
        <w:t>стверджуваних</w:t>
      </w:r>
      <w:proofErr w:type="spellEnd"/>
      <w:r w:rsidR="00872497" w:rsidRPr="000A38E5">
        <w:rPr>
          <w:lang w:val="uk-UA"/>
        </w:rPr>
        <w:t xml:space="preserve"> порушень прав</w:t>
      </w:r>
      <w:r w:rsidR="00D83351" w:rsidRPr="00E93710">
        <w:rPr>
          <w:lang w:val="uk-UA"/>
        </w:rPr>
        <w:t xml:space="preserve"> (</w:t>
      </w:r>
      <w:r w:rsidR="00872497" w:rsidRPr="000A38E5">
        <w:rPr>
          <w:lang w:val="uk-UA"/>
        </w:rPr>
        <w:t>зокрема, розділи 1 та</w:t>
      </w:r>
      <w:r w:rsidR="00D83351" w:rsidRPr="00E93710">
        <w:rPr>
          <w:lang w:val="uk-UA"/>
        </w:rPr>
        <w:t xml:space="preserve"> 3). </w:t>
      </w:r>
      <w:r w:rsidR="00872497" w:rsidRPr="000A38E5">
        <w:rPr>
          <w:lang w:val="uk-UA"/>
        </w:rPr>
        <w:t xml:space="preserve">Він накладає на ці органи зобов’язання </w:t>
      </w:r>
      <w:r w:rsidR="00600373" w:rsidRPr="000A38E5">
        <w:rPr>
          <w:lang w:val="uk-UA"/>
        </w:rPr>
        <w:t>бути безсто</w:t>
      </w:r>
      <w:r w:rsidR="00872497" w:rsidRPr="000A38E5">
        <w:rPr>
          <w:lang w:val="uk-UA"/>
        </w:rPr>
        <w:t>ро</w:t>
      </w:r>
      <w:r w:rsidR="00600373" w:rsidRPr="000A38E5">
        <w:rPr>
          <w:lang w:val="uk-UA"/>
        </w:rPr>
        <w:t>нніми, роз</w:t>
      </w:r>
      <w:r w:rsidR="00872497" w:rsidRPr="000A38E5">
        <w:rPr>
          <w:lang w:val="uk-UA"/>
        </w:rPr>
        <w:t xml:space="preserve">глядати </w:t>
      </w:r>
      <w:r w:rsidR="00600373" w:rsidRPr="000A38E5">
        <w:rPr>
          <w:lang w:val="uk-UA"/>
        </w:rPr>
        <w:t>звернення</w:t>
      </w:r>
      <w:r w:rsidR="00D83351" w:rsidRPr="00E93710">
        <w:rPr>
          <w:lang w:val="uk-UA"/>
        </w:rPr>
        <w:t xml:space="preserve"> </w:t>
      </w:r>
      <w:r w:rsidR="00600373" w:rsidRPr="000A38E5">
        <w:rPr>
          <w:lang w:val="uk-UA"/>
        </w:rPr>
        <w:t>неупереджено</w:t>
      </w:r>
      <w:r w:rsidR="00D83351" w:rsidRPr="00E93710">
        <w:rPr>
          <w:lang w:val="uk-UA"/>
        </w:rPr>
        <w:t xml:space="preserve">, </w:t>
      </w:r>
      <w:r w:rsidR="00872497" w:rsidRPr="000A38E5">
        <w:rPr>
          <w:lang w:val="uk-UA"/>
        </w:rPr>
        <w:t>відповідати та</w:t>
      </w:r>
      <w:r w:rsidR="00600373" w:rsidRPr="000A38E5">
        <w:rPr>
          <w:lang w:val="uk-UA"/>
        </w:rPr>
        <w:t>, за необхідності,</w:t>
      </w:r>
      <w:r w:rsidR="00872497" w:rsidRPr="000A38E5">
        <w:rPr>
          <w:lang w:val="uk-UA"/>
        </w:rPr>
        <w:t xml:space="preserve"> приймати заходи з відшкодування</w:t>
      </w:r>
      <w:r w:rsidR="00D83351" w:rsidRPr="00E93710">
        <w:rPr>
          <w:lang w:val="uk-UA"/>
        </w:rPr>
        <w:t xml:space="preserve"> (</w:t>
      </w:r>
      <w:r w:rsidR="00872497" w:rsidRPr="000A38E5">
        <w:rPr>
          <w:lang w:val="uk-UA"/>
        </w:rPr>
        <w:t>розділ</w:t>
      </w:r>
      <w:r w:rsidR="00D83351" w:rsidRPr="00E93710">
        <w:rPr>
          <w:lang w:val="uk-UA"/>
        </w:rPr>
        <w:t xml:space="preserve"> 19). </w:t>
      </w:r>
      <w:r w:rsidR="00872497" w:rsidRPr="000A38E5">
        <w:rPr>
          <w:lang w:val="uk-UA"/>
        </w:rPr>
        <w:t>Крайній строк для відповіді зазвичай складає один місяць,</w:t>
      </w:r>
      <w:r w:rsidR="00D83351" w:rsidRPr="00E93710">
        <w:rPr>
          <w:lang w:val="uk-UA"/>
        </w:rPr>
        <w:t xml:space="preserve"> </w:t>
      </w:r>
      <w:r w:rsidR="00872497" w:rsidRPr="000A38E5">
        <w:rPr>
          <w:lang w:val="uk-UA"/>
        </w:rPr>
        <w:t>але може бути скорочений, якщо громадянин цього вимагає</w:t>
      </w:r>
      <w:r w:rsidR="00600373" w:rsidRPr="000A38E5">
        <w:rPr>
          <w:lang w:val="uk-UA"/>
        </w:rPr>
        <w:t>,</w:t>
      </w:r>
      <w:r w:rsidR="00D83351" w:rsidRPr="00E93710">
        <w:rPr>
          <w:lang w:val="uk-UA"/>
        </w:rPr>
        <w:t xml:space="preserve"> </w:t>
      </w:r>
      <w:r w:rsidR="00872497" w:rsidRPr="000A38E5">
        <w:rPr>
          <w:lang w:val="uk-UA"/>
        </w:rPr>
        <w:t>і якщо обставини це дозволяють</w:t>
      </w:r>
      <w:r w:rsidR="00D83351" w:rsidRPr="00E93710">
        <w:rPr>
          <w:lang w:val="uk-UA"/>
        </w:rPr>
        <w:t xml:space="preserve"> (</w:t>
      </w:r>
      <w:r w:rsidR="00872497" w:rsidRPr="000A38E5">
        <w:rPr>
          <w:lang w:val="uk-UA"/>
        </w:rPr>
        <w:t>розділ</w:t>
      </w:r>
      <w:r w:rsidR="00D83351" w:rsidRPr="00E93710">
        <w:rPr>
          <w:lang w:val="uk-UA"/>
        </w:rPr>
        <w:t xml:space="preserve"> 20).</w:t>
      </w:r>
    </w:p>
    <w:p w:rsidR="00D83351" w:rsidRPr="000A38E5" w:rsidRDefault="00D83351" w:rsidP="00852217">
      <w:pPr>
        <w:pStyle w:val="ECHRHeading2"/>
        <w:rPr>
          <w:lang w:val="uk-UA"/>
        </w:rPr>
      </w:pPr>
      <w:r w:rsidRPr="00E93710">
        <w:rPr>
          <w:lang w:val="uk-UA"/>
        </w:rPr>
        <w:t>F.</w:t>
      </w:r>
      <w:r w:rsidR="00334477" w:rsidRPr="000A38E5">
        <w:rPr>
          <w:lang w:val="uk-UA"/>
        </w:rPr>
        <w:t xml:space="preserve"> </w:t>
      </w:r>
      <w:r w:rsidR="001556DC" w:rsidRPr="000A38E5">
        <w:rPr>
          <w:lang w:val="uk-UA"/>
        </w:rPr>
        <w:t>Правила стосовно охоронців</w:t>
      </w:r>
    </w:p>
    <w:bookmarkStart w:id="71" w:name="Licensing_Rules"/>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105</w:t>
      </w:r>
      <w:r w:rsidRPr="00E93710">
        <w:rPr>
          <w:lang w:val="uk-UA"/>
        </w:rPr>
        <w:fldChar w:fldCharType="end"/>
      </w:r>
      <w:bookmarkEnd w:id="71"/>
      <w:r w:rsidR="00D83351" w:rsidRPr="00E93710">
        <w:rPr>
          <w:lang w:val="uk-UA"/>
        </w:rPr>
        <w:t>.</w:t>
      </w:r>
      <w:r w:rsidR="00334477" w:rsidRPr="000A38E5">
        <w:rPr>
          <w:lang w:val="uk-UA"/>
        </w:rPr>
        <w:t xml:space="preserve"> </w:t>
      </w:r>
      <w:r w:rsidR="001556DC" w:rsidRPr="000A38E5">
        <w:rPr>
          <w:lang w:val="uk-UA"/>
        </w:rPr>
        <w:t>Розділ 9 Закону про ліцензування від</w:t>
      </w:r>
      <w:r w:rsidR="00D83351" w:rsidRPr="00E93710">
        <w:rPr>
          <w:lang w:val="uk-UA"/>
        </w:rPr>
        <w:t xml:space="preserve"> 2000</w:t>
      </w:r>
      <w:r w:rsidR="001556DC" w:rsidRPr="000A38E5">
        <w:rPr>
          <w:lang w:val="uk-UA"/>
        </w:rPr>
        <w:t xml:space="preserve"> р.</w:t>
      </w:r>
      <w:r w:rsidR="00D83351" w:rsidRPr="00E93710">
        <w:rPr>
          <w:lang w:val="uk-UA"/>
        </w:rPr>
        <w:t xml:space="preserve">, </w:t>
      </w:r>
      <w:r w:rsidR="006814D0" w:rsidRPr="000A38E5">
        <w:rPr>
          <w:lang w:val="uk-UA"/>
        </w:rPr>
        <w:t>у силі на той час</w:t>
      </w:r>
      <w:r w:rsidR="00D83351" w:rsidRPr="00E93710">
        <w:rPr>
          <w:lang w:val="uk-UA"/>
        </w:rPr>
        <w:t xml:space="preserve">, </w:t>
      </w:r>
      <w:r w:rsidR="006814D0" w:rsidRPr="000A38E5">
        <w:rPr>
          <w:lang w:val="uk-UA"/>
        </w:rPr>
        <w:t xml:space="preserve">вимагав ліцензію для </w:t>
      </w:r>
      <w:r w:rsidR="00D83351" w:rsidRPr="000A38E5">
        <w:rPr>
          <w:lang w:val="uk-UA"/>
        </w:rPr>
        <w:t>надання послуг, пов</w:t>
      </w:r>
      <w:r w:rsidR="00852217" w:rsidRPr="000A38E5">
        <w:rPr>
          <w:lang w:val="uk-UA"/>
        </w:rPr>
        <w:t>’</w:t>
      </w:r>
      <w:r w:rsidR="00D83351" w:rsidRPr="000A38E5">
        <w:rPr>
          <w:lang w:val="uk-UA"/>
        </w:rPr>
        <w:t>язаних з охороною державної та іншої власності, надання послуг з охорони громадян</w:t>
      </w:r>
      <w:r w:rsidR="00D83351" w:rsidRPr="00E93710">
        <w:rPr>
          <w:lang w:val="uk-UA"/>
        </w:rPr>
        <w:t xml:space="preserve">. </w:t>
      </w:r>
      <w:r w:rsidR="003868A3" w:rsidRPr="000A38E5">
        <w:rPr>
          <w:lang w:val="uk-UA"/>
        </w:rPr>
        <w:t>Розділ 6 Закону вимагав,</w:t>
      </w:r>
      <w:r w:rsidR="00D83351" w:rsidRPr="00E93710">
        <w:rPr>
          <w:lang w:val="uk-UA"/>
        </w:rPr>
        <w:t xml:space="preserve"> </w:t>
      </w:r>
      <w:r w:rsidR="003868A3" w:rsidRPr="000A38E5">
        <w:rPr>
          <w:lang w:val="uk-UA"/>
        </w:rPr>
        <w:t>щоб органи, які видають ліцензії на відповідну діяльність,</w:t>
      </w:r>
      <w:r w:rsidR="00D83351" w:rsidRPr="00E93710">
        <w:rPr>
          <w:lang w:val="uk-UA"/>
        </w:rPr>
        <w:t xml:space="preserve"> </w:t>
      </w:r>
      <w:r w:rsidR="003868A3" w:rsidRPr="000A38E5">
        <w:rPr>
          <w:lang w:val="uk-UA"/>
        </w:rPr>
        <w:t>встановили правила, регулюючі діяльність у відповідній галузі</w:t>
      </w:r>
      <w:r w:rsidR="00D83351" w:rsidRPr="00E93710">
        <w:rPr>
          <w:lang w:val="uk-UA"/>
        </w:rPr>
        <w:t xml:space="preserve">. </w:t>
      </w:r>
      <w:r w:rsidR="003868A3" w:rsidRPr="000A38E5">
        <w:rPr>
          <w:lang w:val="uk-UA"/>
        </w:rPr>
        <w:t>У галузі охоронних послуг</w:t>
      </w:r>
      <w:r w:rsidR="00D83351" w:rsidRPr="00E93710">
        <w:rPr>
          <w:lang w:val="uk-UA"/>
        </w:rPr>
        <w:t xml:space="preserve"> </w:t>
      </w:r>
      <w:r w:rsidR="003868A3" w:rsidRPr="000A38E5">
        <w:rPr>
          <w:lang w:val="uk-UA"/>
        </w:rPr>
        <w:t>такі правила встановлює Наказ №</w:t>
      </w:r>
      <w:r w:rsidR="00D83351" w:rsidRPr="00E93710">
        <w:rPr>
          <w:lang w:val="uk-UA"/>
        </w:rPr>
        <w:t xml:space="preserve"> 505 </w:t>
      </w:r>
      <w:r w:rsidR="003868A3" w:rsidRPr="000A38E5">
        <w:rPr>
          <w:lang w:val="uk-UA"/>
        </w:rPr>
        <w:t>Міністерства внутрішніх справ від 1 грудня</w:t>
      </w:r>
      <w:r w:rsidR="00D83351" w:rsidRPr="00E93710">
        <w:rPr>
          <w:lang w:val="uk-UA"/>
        </w:rPr>
        <w:t xml:space="preserve"> 2009 </w:t>
      </w:r>
      <w:r w:rsidR="003868A3" w:rsidRPr="00E93710">
        <w:rPr>
          <w:lang w:val="uk-UA"/>
        </w:rPr>
        <w:t xml:space="preserve">р. </w:t>
      </w:r>
      <w:r w:rsidR="003868A3" w:rsidRPr="000A38E5">
        <w:rPr>
          <w:lang w:val="uk-UA"/>
        </w:rPr>
        <w:t xml:space="preserve">під назвою </w:t>
      </w:r>
      <w:r w:rsidR="003868A3" w:rsidRPr="000A38E5">
        <w:rPr>
          <w:lang w:val="uk-UA"/>
        </w:rPr>
        <w:lastRenderedPageBreak/>
        <w:t>«</w:t>
      </w:r>
      <w:r w:rsidR="00D83351" w:rsidRPr="000A38E5">
        <w:rPr>
          <w:lang w:val="uk-UA"/>
        </w:rPr>
        <w:t>Ліцензійні умови провадження господарської діяльності з надання послуг з охорони власності та громадян</w:t>
      </w:r>
      <w:r w:rsidR="003868A3" w:rsidRPr="000A38E5">
        <w:rPr>
          <w:lang w:val="uk-UA"/>
        </w:rPr>
        <w:t>»</w:t>
      </w:r>
      <w:r w:rsidR="00D83351" w:rsidRPr="000A38E5">
        <w:rPr>
          <w:lang w:val="uk-UA"/>
        </w:rPr>
        <w:t xml:space="preserve"> </w:t>
      </w:r>
      <w:r w:rsidR="003868A3" w:rsidRPr="000A38E5">
        <w:rPr>
          <w:lang w:val="uk-UA"/>
        </w:rPr>
        <w:t>(надалі – «Ліцензійні умови»)</w:t>
      </w:r>
      <w:r w:rsidR="00D83351" w:rsidRPr="000A38E5">
        <w:rPr>
          <w:lang w:val="uk-UA"/>
        </w:rPr>
        <w:t xml:space="preserve">. </w:t>
      </w:r>
      <w:r w:rsidR="003868A3" w:rsidRPr="000A38E5">
        <w:rPr>
          <w:lang w:val="uk-UA"/>
        </w:rPr>
        <w:t>Вони були в силі на той час</w:t>
      </w:r>
      <w:r w:rsidR="00D83351" w:rsidRPr="00E93710">
        <w:rPr>
          <w:lang w:val="uk-UA"/>
        </w:rPr>
        <w:t>.</w:t>
      </w:r>
    </w:p>
    <w:bookmarkStart w:id="72" w:name="Licensing_Rules_guarded_entity"/>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106</w:t>
      </w:r>
      <w:r w:rsidRPr="00E93710">
        <w:rPr>
          <w:lang w:val="uk-UA"/>
        </w:rPr>
        <w:fldChar w:fldCharType="end"/>
      </w:r>
      <w:bookmarkEnd w:id="72"/>
      <w:r w:rsidR="00D83351" w:rsidRPr="00E93710">
        <w:rPr>
          <w:lang w:val="uk-UA"/>
        </w:rPr>
        <w:t>.</w:t>
      </w:r>
      <w:r w:rsidR="00334477" w:rsidRPr="000A38E5">
        <w:rPr>
          <w:lang w:val="uk-UA"/>
        </w:rPr>
        <w:t xml:space="preserve"> </w:t>
      </w:r>
      <w:r w:rsidR="003868A3" w:rsidRPr="000A38E5">
        <w:rPr>
          <w:lang w:val="uk-UA"/>
        </w:rPr>
        <w:t>Правило</w:t>
      </w:r>
      <w:r w:rsidR="00D83351" w:rsidRPr="00E93710">
        <w:rPr>
          <w:lang w:val="uk-UA"/>
        </w:rPr>
        <w:t xml:space="preserve"> 1.3 </w:t>
      </w:r>
      <w:r w:rsidR="003868A3" w:rsidRPr="000A38E5">
        <w:rPr>
          <w:lang w:val="uk-UA"/>
        </w:rPr>
        <w:t>визначало об’єкт охорони</w:t>
      </w:r>
      <w:r w:rsidR="00D83351" w:rsidRPr="00E93710">
        <w:rPr>
          <w:lang w:val="uk-UA"/>
        </w:rPr>
        <w:t xml:space="preserve"> </w:t>
      </w:r>
      <w:r w:rsidR="005478E7" w:rsidRPr="000A38E5">
        <w:rPr>
          <w:lang w:val="uk-UA"/>
        </w:rPr>
        <w:t xml:space="preserve">як </w:t>
      </w:r>
      <w:r w:rsidR="002F3D42" w:rsidRPr="000A38E5">
        <w:rPr>
          <w:lang w:val="uk-UA"/>
        </w:rPr>
        <w:t xml:space="preserve">фізичних </w:t>
      </w:r>
      <w:r w:rsidR="005478E7" w:rsidRPr="000A38E5">
        <w:rPr>
          <w:lang w:val="uk-UA"/>
        </w:rPr>
        <w:t>осіб або майно, яке належить фізичним особам</w:t>
      </w:r>
      <w:r w:rsidR="00D83351" w:rsidRPr="00E93710">
        <w:rPr>
          <w:lang w:val="uk-UA"/>
        </w:rPr>
        <w:t xml:space="preserve"> </w:t>
      </w:r>
      <w:r w:rsidR="005478E7" w:rsidRPr="000A38E5">
        <w:rPr>
          <w:lang w:val="uk-UA"/>
        </w:rPr>
        <w:t>та державним або приватним юридичним особам</w:t>
      </w:r>
      <w:r w:rsidR="00D83351" w:rsidRPr="00E93710">
        <w:rPr>
          <w:lang w:val="uk-UA"/>
        </w:rPr>
        <w:t>.</w:t>
      </w:r>
    </w:p>
    <w:bookmarkStart w:id="73" w:name="Licensing_Rules_guards_powers"/>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107</w:t>
      </w:r>
      <w:r w:rsidRPr="00E93710">
        <w:rPr>
          <w:lang w:val="uk-UA"/>
        </w:rPr>
        <w:fldChar w:fldCharType="end"/>
      </w:r>
      <w:bookmarkEnd w:id="73"/>
      <w:r w:rsidR="00D83351" w:rsidRPr="00E93710">
        <w:rPr>
          <w:lang w:val="uk-UA"/>
        </w:rPr>
        <w:t>.</w:t>
      </w:r>
      <w:r w:rsidR="00334477" w:rsidRPr="000A38E5">
        <w:rPr>
          <w:lang w:val="uk-UA"/>
        </w:rPr>
        <w:t xml:space="preserve"> </w:t>
      </w:r>
      <w:r w:rsidR="005478E7" w:rsidRPr="000A38E5">
        <w:rPr>
          <w:lang w:val="uk-UA"/>
        </w:rPr>
        <w:t xml:space="preserve">Ліцензійні </w:t>
      </w:r>
      <w:r w:rsidR="002F3D42" w:rsidRPr="000A38E5">
        <w:rPr>
          <w:lang w:val="uk-UA"/>
        </w:rPr>
        <w:t>умови</w:t>
      </w:r>
      <w:r w:rsidR="005478E7" w:rsidRPr="000A38E5">
        <w:rPr>
          <w:lang w:val="uk-UA"/>
        </w:rPr>
        <w:t xml:space="preserve"> передбачали, зокрема</w:t>
      </w:r>
      <w:r w:rsidR="00D83351" w:rsidRPr="00E93710">
        <w:rPr>
          <w:lang w:val="uk-UA"/>
        </w:rPr>
        <w:t>:</w:t>
      </w:r>
    </w:p>
    <w:p w:rsidR="00D83351" w:rsidRPr="00E93710" w:rsidRDefault="00D83351" w:rsidP="00852217">
      <w:pPr>
        <w:pStyle w:val="ECHRParaQuote"/>
        <w:rPr>
          <w:lang w:val="uk-UA"/>
        </w:rPr>
      </w:pPr>
      <w:r w:rsidRPr="00E93710">
        <w:rPr>
          <w:lang w:val="uk-UA"/>
        </w:rPr>
        <w:t>“1.4.</w:t>
      </w:r>
      <w:r w:rsidR="00334477" w:rsidRPr="000A38E5">
        <w:rPr>
          <w:lang w:val="uk-UA"/>
        </w:rPr>
        <w:t xml:space="preserve"> </w:t>
      </w:r>
      <w:r w:rsidR="002F3D42" w:rsidRPr="000A38E5">
        <w:rPr>
          <w:lang w:val="uk-UA"/>
        </w:rPr>
        <w:t>Заходи безпеки, здійснювані охоронцями</w:t>
      </w:r>
      <w:r w:rsidRPr="00E93710">
        <w:rPr>
          <w:lang w:val="uk-UA"/>
        </w:rPr>
        <w:t>:</w:t>
      </w:r>
    </w:p>
    <w:p w:rsidR="00D83351" w:rsidRPr="00E93710" w:rsidRDefault="00D83351" w:rsidP="00852217">
      <w:pPr>
        <w:pStyle w:val="ECHRParaQuote"/>
        <w:rPr>
          <w:lang w:val="uk-UA"/>
        </w:rPr>
      </w:pPr>
      <w:r w:rsidRPr="00E93710">
        <w:rPr>
          <w:lang w:val="uk-UA"/>
        </w:rPr>
        <w:t xml:space="preserve">1.4.1. </w:t>
      </w:r>
      <w:r w:rsidR="002F3D42" w:rsidRPr="000A38E5">
        <w:rPr>
          <w:lang w:val="uk-UA"/>
        </w:rPr>
        <w:t>контроль доступу осіб до об’єкта охорони</w:t>
      </w:r>
      <w:r w:rsidRPr="00E93710">
        <w:rPr>
          <w:lang w:val="uk-UA"/>
        </w:rPr>
        <w:t xml:space="preserve">, </w:t>
      </w:r>
      <w:r w:rsidR="002F3D42" w:rsidRPr="000A38E5">
        <w:rPr>
          <w:lang w:val="uk-UA"/>
        </w:rPr>
        <w:t>їх пересування на його території та виходу з неї</w:t>
      </w:r>
      <w:r w:rsidRPr="00E93710">
        <w:rPr>
          <w:lang w:val="uk-UA"/>
        </w:rPr>
        <w:t>;</w:t>
      </w:r>
    </w:p>
    <w:p w:rsidR="00D83351" w:rsidRPr="00E93710" w:rsidRDefault="00D83351" w:rsidP="00852217">
      <w:pPr>
        <w:pStyle w:val="ECHRParaQuote"/>
        <w:rPr>
          <w:lang w:val="uk-UA"/>
        </w:rPr>
      </w:pPr>
      <w:r w:rsidRPr="00E93710">
        <w:rPr>
          <w:lang w:val="uk-UA"/>
        </w:rPr>
        <w:t>...</w:t>
      </w:r>
    </w:p>
    <w:p w:rsidR="00D83351" w:rsidRPr="00E93710" w:rsidRDefault="00121B3C" w:rsidP="00852217">
      <w:pPr>
        <w:pStyle w:val="ECHRParaQuote"/>
        <w:rPr>
          <w:lang w:val="uk-UA"/>
        </w:rPr>
      </w:pPr>
      <w:r w:rsidRPr="00E93710">
        <w:rPr>
          <w:lang w:val="uk-UA"/>
        </w:rPr>
        <w:t>1.4.2.</w:t>
      </w:r>
      <w:r w:rsidR="00334477" w:rsidRPr="000A38E5">
        <w:rPr>
          <w:lang w:val="uk-UA"/>
        </w:rPr>
        <w:t xml:space="preserve"> </w:t>
      </w:r>
      <w:r w:rsidR="002F3D42" w:rsidRPr="000A38E5">
        <w:rPr>
          <w:lang w:val="uk-UA"/>
        </w:rPr>
        <w:t>фізичні заходи безпеки</w:t>
      </w:r>
      <w:r w:rsidR="00D83351" w:rsidRPr="00E93710">
        <w:rPr>
          <w:lang w:val="uk-UA"/>
        </w:rPr>
        <w:t xml:space="preserve"> – </w:t>
      </w:r>
      <w:r w:rsidR="002F3D42" w:rsidRPr="000A38E5">
        <w:rPr>
          <w:lang w:val="uk-UA"/>
        </w:rPr>
        <w:t>дії, спрямовані на виявлення, запобігання</w:t>
      </w:r>
      <w:r w:rsidR="00D83351" w:rsidRPr="00E93710">
        <w:rPr>
          <w:lang w:val="uk-UA"/>
        </w:rPr>
        <w:t xml:space="preserve"> </w:t>
      </w:r>
      <w:r w:rsidR="002F3D42" w:rsidRPr="000A38E5">
        <w:rPr>
          <w:lang w:val="uk-UA"/>
        </w:rPr>
        <w:t>та зупинення</w:t>
      </w:r>
      <w:r w:rsidR="00D83351" w:rsidRPr="00E93710">
        <w:rPr>
          <w:lang w:val="uk-UA"/>
        </w:rPr>
        <w:t xml:space="preserve"> ... </w:t>
      </w:r>
      <w:r w:rsidR="002F3D42" w:rsidRPr="000A38E5">
        <w:rPr>
          <w:lang w:val="uk-UA"/>
        </w:rPr>
        <w:t>втручань на</w:t>
      </w:r>
      <w:r w:rsidR="00D83351" w:rsidRPr="00E93710">
        <w:rPr>
          <w:lang w:val="uk-UA"/>
        </w:rPr>
        <w:t xml:space="preserve"> ... </w:t>
      </w:r>
      <w:r w:rsidR="002F3D42" w:rsidRPr="000A38E5">
        <w:rPr>
          <w:lang w:val="uk-UA"/>
        </w:rPr>
        <w:t>захищену територію без дозволу власника</w:t>
      </w:r>
      <w:r w:rsidR="00D83351" w:rsidRPr="00E93710">
        <w:rPr>
          <w:lang w:val="uk-UA"/>
        </w:rPr>
        <w:t xml:space="preserve"> ... </w:t>
      </w:r>
      <w:r w:rsidR="002F3D42" w:rsidRPr="000A38E5">
        <w:rPr>
          <w:lang w:val="uk-UA"/>
        </w:rPr>
        <w:t>та присутності осіб, не авторизованих</w:t>
      </w:r>
      <w:r w:rsidR="00D83351" w:rsidRPr="00E93710">
        <w:rPr>
          <w:lang w:val="uk-UA"/>
        </w:rPr>
        <w:t xml:space="preserve"> [</w:t>
      </w:r>
      <w:r w:rsidR="00C470FA" w:rsidRPr="000A38E5">
        <w:rPr>
          <w:lang w:val="uk-UA"/>
        </w:rPr>
        <w:t>власником</w:t>
      </w:r>
      <w:r w:rsidR="00D83351" w:rsidRPr="00E93710">
        <w:rPr>
          <w:lang w:val="uk-UA"/>
        </w:rPr>
        <w:t xml:space="preserve">] </w:t>
      </w:r>
      <w:r w:rsidR="002F3D42" w:rsidRPr="000A38E5">
        <w:rPr>
          <w:lang w:val="uk-UA"/>
        </w:rPr>
        <w:t>на захищеній території</w:t>
      </w:r>
      <w:r w:rsidR="00D83351" w:rsidRPr="00E93710">
        <w:rPr>
          <w:lang w:val="uk-UA"/>
        </w:rPr>
        <w:t>;</w:t>
      </w:r>
    </w:p>
    <w:p w:rsidR="00D83351" w:rsidRPr="00E93710" w:rsidRDefault="00D83351" w:rsidP="00852217">
      <w:pPr>
        <w:pStyle w:val="ECHRParaQuote"/>
        <w:rPr>
          <w:lang w:val="uk-UA"/>
        </w:rPr>
      </w:pPr>
      <w:r w:rsidRPr="00E93710">
        <w:rPr>
          <w:lang w:val="uk-UA"/>
        </w:rPr>
        <w:t>...</w:t>
      </w:r>
    </w:p>
    <w:p w:rsidR="00D83351" w:rsidRPr="00E93710" w:rsidRDefault="00121B3C" w:rsidP="00852217">
      <w:pPr>
        <w:pStyle w:val="ECHRParaQuote"/>
        <w:rPr>
          <w:lang w:val="uk-UA"/>
        </w:rPr>
      </w:pPr>
      <w:r w:rsidRPr="00E93710">
        <w:rPr>
          <w:lang w:val="uk-UA"/>
        </w:rPr>
        <w:t>1.4.3.</w:t>
      </w:r>
      <w:r w:rsidR="00334477" w:rsidRPr="000A38E5">
        <w:rPr>
          <w:lang w:val="uk-UA"/>
        </w:rPr>
        <w:t xml:space="preserve"> </w:t>
      </w:r>
      <w:r w:rsidR="00C470FA" w:rsidRPr="000A38E5">
        <w:rPr>
          <w:lang w:val="uk-UA"/>
        </w:rPr>
        <w:t>заходи оперативного реагування</w:t>
      </w:r>
      <w:r w:rsidR="00D83351" w:rsidRPr="00E93710">
        <w:rPr>
          <w:lang w:val="uk-UA"/>
        </w:rPr>
        <w:t xml:space="preserve">, </w:t>
      </w:r>
      <w:r w:rsidR="00C470FA" w:rsidRPr="000A38E5">
        <w:rPr>
          <w:lang w:val="uk-UA"/>
        </w:rPr>
        <w:t>тобто, негайні</w:t>
      </w:r>
      <w:r w:rsidR="00D83351" w:rsidRPr="00E93710">
        <w:rPr>
          <w:lang w:val="uk-UA"/>
        </w:rPr>
        <w:t xml:space="preserve">, </w:t>
      </w:r>
      <w:r w:rsidR="00C470FA" w:rsidRPr="000A38E5">
        <w:rPr>
          <w:lang w:val="uk-UA"/>
        </w:rPr>
        <w:t>починаючи з мінімально необхідних, дії</w:t>
      </w:r>
      <w:r w:rsidR="00D83351" w:rsidRPr="00E93710">
        <w:rPr>
          <w:lang w:val="uk-UA"/>
        </w:rPr>
        <w:t xml:space="preserve">, </w:t>
      </w:r>
      <w:r w:rsidR="00C470FA" w:rsidRPr="000A38E5">
        <w:rPr>
          <w:lang w:val="uk-UA"/>
        </w:rPr>
        <w:t>у зв’язку з будь-якими незаконними діями</w:t>
      </w:r>
      <w:r w:rsidR="00D83351" w:rsidRPr="00E93710">
        <w:rPr>
          <w:lang w:val="uk-UA"/>
        </w:rPr>
        <w:t xml:space="preserve"> </w:t>
      </w:r>
      <w:r w:rsidR="00C470FA" w:rsidRPr="000A38E5">
        <w:rPr>
          <w:lang w:val="uk-UA"/>
        </w:rPr>
        <w:t>проти об’єкта охорони</w:t>
      </w:r>
      <w:r w:rsidR="00D83351" w:rsidRPr="00E93710">
        <w:rPr>
          <w:lang w:val="uk-UA"/>
        </w:rPr>
        <w:t xml:space="preserve"> </w:t>
      </w:r>
      <w:r w:rsidR="00C470FA" w:rsidRPr="000A38E5">
        <w:rPr>
          <w:lang w:val="uk-UA"/>
        </w:rPr>
        <w:t>або подіями та обставинами, які приводять</w:t>
      </w:r>
      <w:r w:rsidR="00D83351" w:rsidRPr="00E93710">
        <w:rPr>
          <w:lang w:val="uk-UA"/>
        </w:rPr>
        <w:t xml:space="preserve"> (</w:t>
      </w:r>
      <w:r w:rsidR="00C470FA" w:rsidRPr="000A38E5">
        <w:rPr>
          <w:lang w:val="uk-UA"/>
        </w:rPr>
        <w:t>або можуть привести</w:t>
      </w:r>
      <w:r w:rsidR="00D83351" w:rsidRPr="00E93710">
        <w:rPr>
          <w:lang w:val="uk-UA"/>
        </w:rPr>
        <w:t xml:space="preserve">) </w:t>
      </w:r>
      <w:r w:rsidR="00842542" w:rsidRPr="000A38E5">
        <w:rPr>
          <w:lang w:val="uk-UA"/>
        </w:rPr>
        <w:t>до матеріальної шкоди власникам</w:t>
      </w:r>
      <w:r w:rsidR="00D83351" w:rsidRPr="00E93710">
        <w:rPr>
          <w:lang w:val="uk-UA"/>
        </w:rPr>
        <w:t xml:space="preserve"> </w:t>
      </w:r>
      <w:r w:rsidR="00842542" w:rsidRPr="000A38E5">
        <w:rPr>
          <w:lang w:val="uk-UA"/>
        </w:rPr>
        <w:t>або представляють значну загрозу особистій безпеці</w:t>
      </w:r>
      <w:r w:rsidR="00D83351" w:rsidRPr="00E93710">
        <w:rPr>
          <w:lang w:val="uk-UA"/>
        </w:rPr>
        <w:t xml:space="preserve"> </w:t>
      </w:r>
      <w:r w:rsidR="00842542" w:rsidRPr="000A38E5">
        <w:rPr>
          <w:lang w:val="uk-UA"/>
        </w:rPr>
        <w:t>осіб, працівників об’єкта охорони</w:t>
      </w:r>
      <w:r w:rsidR="00D83351" w:rsidRPr="00E93710">
        <w:rPr>
          <w:lang w:val="uk-UA"/>
        </w:rPr>
        <w:t xml:space="preserve">, </w:t>
      </w:r>
      <w:r w:rsidR="00842542" w:rsidRPr="000A38E5">
        <w:rPr>
          <w:lang w:val="uk-UA"/>
        </w:rPr>
        <w:t>або інших осіб та охоронців</w:t>
      </w:r>
      <w:r w:rsidR="00D83351" w:rsidRPr="00E93710">
        <w:rPr>
          <w:lang w:val="uk-UA"/>
        </w:rPr>
        <w:t xml:space="preserve">, </w:t>
      </w:r>
      <w:r w:rsidR="00535F0A" w:rsidRPr="000A38E5">
        <w:rPr>
          <w:lang w:val="uk-UA"/>
        </w:rPr>
        <w:t>у тому числі заходи з виявлення конкретного місця,</w:t>
      </w:r>
      <w:r w:rsidR="00D83351" w:rsidRPr="00E93710">
        <w:rPr>
          <w:lang w:val="uk-UA"/>
        </w:rPr>
        <w:t xml:space="preserve"> </w:t>
      </w:r>
      <w:r w:rsidR="00535F0A" w:rsidRPr="000A38E5">
        <w:rPr>
          <w:lang w:val="uk-UA"/>
        </w:rPr>
        <w:t>де може бути скоєно порушення,</w:t>
      </w:r>
      <w:r w:rsidR="00D83351" w:rsidRPr="00E93710">
        <w:rPr>
          <w:lang w:val="uk-UA"/>
        </w:rPr>
        <w:t xml:space="preserve"> </w:t>
      </w:r>
      <w:r w:rsidR="00535F0A" w:rsidRPr="000A38E5">
        <w:rPr>
          <w:lang w:val="uk-UA"/>
        </w:rPr>
        <w:t>або існування небезпечних обставин</w:t>
      </w:r>
      <w:r w:rsidR="00D83351" w:rsidRPr="00E93710">
        <w:rPr>
          <w:lang w:val="uk-UA"/>
        </w:rPr>
        <w:t xml:space="preserve">, </w:t>
      </w:r>
      <w:r w:rsidR="00535F0A" w:rsidRPr="000A38E5">
        <w:rPr>
          <w:lang w:val="uk-UA"/>
        </w:rPr>
        <w:t>виявлення та взяття їх під контроль, а також, за необхідності, їх нейтралізація</w:t>
      </w:r>
      <w:r w:rsidR="00D83351" w:rsidRPr="00E93710">
        <w:rPr>
          <w:lang w:val="uk-UA"/>
        </w:rPr>
        <w:t xml:space="preserve"> </w:t>
      </w:r>
      <w:r w:rsidR="00535F0A" w:rsidRPr="000A38E5">
        <w:rPr>
          <w:lang w:val="uk-UA"/>
        </w:rPr>
        <w:t>та запобігання незаконним діям</w:t>
      </w:r>
      <w:r w:rsidR="00D83351" w:rsidRPr="00E93710">
        <w:rPr>
          <w:lang w:val="uk-UA"/>
        </w:rPr>
        <w:t xml:space="preserve"> </w:t>
      </w:r>
      <w:r w:rsidR="00535F0A" w:rsidRPr="000A38E5">
        <w:rPr>
          <w:lang w:val="uk-UA"/>
        </w:rPr>
        <w:t>або видалення інших наслідків, небезпечних для…осіб</w:t>
      </w:r>
      <w:r w:rsidR="00D83351" w:rsidRPr="00E93710">
        <w:rPr>
          <w:lang w:val="uk-UA"/>
        </w:rPr>
        <w:t>.</w:t>
      </w:r>
    </w:p>
    <w:p w:rsidR="00D83351" w:rsidRPr="00E93710" w:rsidRDefault="00D83351" w:rsidP="00852217">
      <w:pPr>
        <w:pStyle w:val="ECHRParaQuote"/>
        <w:rPr>
          <w:lang w:val="uk-UA"/>
        </w:rPr>
      </w:pPr>
      <w:r w:rsidRPr="00E93710">
        <w:rPr>
          <w:lang w:val="uk-UA"/>
        </w:rPr>
        <w:t>...”</w:t>
      </w:r>
    </w:p>
    <w:bookmarkStart w:id="74" w:name="Licensing_Rules_badges"/>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108</w:t>
      </w:r>
      <w:r w:rsidRPr="00E93710">
        <w:rPr>
          <w:lang w:val="uk-UA"/>
        </w:rPr>
        <w:fldChar w:fldCharType="end"/>
      </w:r>
      <w:bookmarkEnd w:id="74"/>
      <w:r w:rsidR="00D83351" w:rsidRPr="00E93710">
        <w:rPr>
          <w:lang w:val="uk-UA"/>
        </w:rPr>
        <w:t>.</w:t>
      </w:r>
      <w:r w:rsidR="00334477" w:rsidRPr="000A38E5">
        <w:rPr>
          <w:lang w:val="uk-UA"/>
        </w:rPr>
        <w:t xml:space="preserve"> </w:t>
      </w:r>
      <w:r w:rsidR="00535F0A" w:rsidRPr="000A38E5">
        <w:rPr>
          <w:lang w:val="uk-UA"/>
        </w:rPr>
        <w:t>Правило</w:t>
      </w:r>
      <w:r w:rsidR="00D83351" w:rsidRPr="00E93710">
        <w:rPr>
          <w:lang w:val="uk-UA"/>
        </w:rPr>
        <w:t xml:space="preserve"> 2.1.2 </w:t>
      </w:r>
      <w:r w:rsidR="00535F0A" w:rsidRPr="000A38E5">
        <w:rPr>
          <w:lang w:val="uk-UA"/>
        </w:rPr>
        <w:t>Ліцензійних умов</w:t>
      </w:r>
      <w:r w:rsidR="00D83351" w:rsidRPr="00E93710">
        <w:rPr>
          <w:lang w:val="uk-UA"/>
        </w:rPr>
        <w:t xml:space="preserve"> </w:t>
      </w:r>
      <w:r w:rsidR="00535F0A" w:rsidRPr="000A38E5">
        <w:rPr>
          <w:lang w:val="uk-UA"/>
        </w:rPr>
        <w:t>вимагало, щоб ліцензовані юридичні особи забезпечували,</w:t>
      </w:r>
      <w:r w:rsidR="00D83351" w:rsidRPr="00E93710">
        <w:rPr>
          <w:lang w:val="uk-UA"/>
        </w:rPr>
        <w:t xml:space="preserve"> </w:t>
      </w:r>
      <w:r w:rsidR="00535F0A" w:rsidRPr="000A38E5">
        <w:rPr>
          <w:lang w:val="uk-UA"/>
        </w:rPr>
        <w:t>щоб їх охоронці носили відзнаки,</w:t>
      </w:r>
      <w:r w:rsidR="00D83351" w:rsidRPr="00E93710">
        <w:rPr>
          <w:lang w:val="uk-UA"/>
        </w:rPr>
        <w:t xml:space="preserve"> </w:t>
      </w:r>
      <w:r w:rsidR="00B87DA6" w:rsidRPr="000A38E5">
        <w:rPr>
          <w:lang w:val="uk-UA"/>
        </w:rPr>
        <w:t>які демонструють, що вони належать до конкретної ліцензованої організації</w:t>
      </w:r>
      <w:r w:rsidR="00D83351" w:rsidRPr="00E93710">
        <w:rPr>
          <w:lang w:val="uk-UA"/>
        </w:rPr>
        <w:t xml:space="preserve">. </w:t>
      </w:r>
      <w:r w:rsidR="00B87DA6" w:rsidRPr="000A38E5">
        <w:rPr>
          <w:lang w:val="uk-UA"/>
        </w:rPr>
        <w:t>Такі відзнаки повинні бути ухвалені ліцензованою організацією</w:t>
      </w:r>
      <w:r w:rsidR="00D83351" w:rsidRPr="00E93710">
        <w:rPr>
          <w:lang w:val="uk-UA"/>
        </w:rPr>
        <w:t xml:space="preserve"> </w:t>
      </w:r>
      <w:r w:rsidR="00B87DA6" w:rsidRPr="000A38E5">
        <w:rPr>
          <w:lang w:val="uk-UA"/>
        </w:rPr>
        <w:t>та повідомлені</w:t>
      </w:r>
      <w:r w:rsidR="00334477" w:rsidRPr="000A38E5">
        <w:rPr>
          <w:lang w:val="uk-UA"/>
        </w:rPr>
        <w:t xml:space="preserve"> </w:t>
      </w:r>
      <w:r w:rsidR="00B87DA6" w:rsidRPr="000A38E5">
        <w:rPr>
          <w:lang w:val="uk-UA"/>
        </w:rPr>
        <w:t>органу, який видає ліцензію</w:t>
      </w:r>
      <w:r w:rsidR="00D83351" w:rsidRPr="00E93710">
        <w:rPr>
          <w:lang w:val="uk-UA"/>
        </w:rPr>
        <w:t xml:space="preserve"> (</w:t>
      </w:r>
      <w:r w:rsidR="00B87DA6" w:rsidRPr="000A38E5">
        <w:rPr>
          <w:lang w:val="uk-UA"/>
        </w:rPr>
        <w:t>Міністерству внутрішніх справ</w:t>
      </w:r>
      <w:r w:rsidR="00D83351" w:rsidRPr="00E93710">
        <w:rPr>
          <w:lang w:val="uk-UA"/>
        </w:rPr>
        <w:t>).</w:t>
      </w:r>
    </w:p>
    <w:bookmarkStart w:id="75" w:name="Licensing_Rules_police_notification"/>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109</w:t>
      </w:r>
      <w:r w:rsidRPr="00E93710">
        <w:rPr>
          <w:lang w:val="uk-UA"/>
        </w:rPr>
        <w:fldChar w:fldCharType="end"/>
      </w:r>
      <w:bookmarkEnd w:id="75"/>
      <w:r w:rsidR="00D83351" w:rsidRPr="00E93710">
        <w:rPr>
          <w:lang w:val="uk-UA"/>
        </w:rPr>
        <w:t>.</w:t>
      </w:r>
      <w:r w:rsidR="00334477" w:rsidRPr="000A38E5">
        <w:rPr>
          <w:lang w:val="uk-UA"/>
        </w:rPr>
        <w:t xml:space="preserve"> </w:t>
      </w:r>
      <w:r w:rsidR="00B87DA6" w:rsidRPr="000A38E5">
        <w:rPr>
          <w:lang w:val="uk-UA"/>
        </w:rPr>
        <w:t>Правило</w:t>
      </w:r>
      <w:r w:rsidR="00D83351" w:rsidRPr="00E93710">
        <w:rPr>
          <w:lang w:val="uk-UA"/>
        </w:rPr>
        <w:t xml:space="preserve"> 2.2.3 </w:t>
      </w:r>
      <w:r w:rsidR="00407AFA" w:rsidRPr="000A38E5">
        <w:rPr>
          <w:lang w:val="uk-UA"/>
        </w:rPr>
        <w:t>Ліцензійних умов вимагало, щоб ліцензована організація</w:t>
      </w:r>
      <w:r w:rsidR="00D83351" w:rsidRPr="00E93710">
        <w:rPr>
          <w:lang w:val="uk-UA"/>
        </w:rPr>
        <w:t xml:space="preserve"> </w:t>
      </w:r>
      <w:r w:rsidR="00D83351" w:rsidRPr="000A38E5">
        <w:rPr>
          <w:lang w:val="uk-UA"/>
        </w:rPr>
        <w:t>негайно сповіща</w:t>
      </w:r>
      <w:r w:rsidR="00407AFA" w:rsidRPr="000A38E5">
        <w:rPr>
          <w:lang w:val="uk-UA"/>
        </w:rPr>
        <w:t>ла</w:t>
      </w:r>
      <w:r w:rsidR="00D83351" w:rsidRPr="000A38E5">
        <w:rPr>
          <w:lang w:val="uk-UA"/>
        </w:rPr>
        <w:t xml:space="preserve"> орган внутрішніх справ за місцезнаходженням об</w:t>
      </w:r>
      <w:r w:rsidR="00852217" w:rsidRPr="000A38E5">
        <w:rPr>
          <w:lang w:val="uk-UA"/>
        </w:rPr>
        <w:t>’</w:t>
      </w:r>
      <w:r w:rsidR="00D83351" w:rsidRPr="000A38E5">
        <w:rPr>
          <w:lang w:val="uk-UA"/>
        </w:rPr>
        <w:t>єкта охорони про вчинення протиправних посягань на об</w:t>
      </w:r>
      <w:r w:rsidR="00852217" w:rsidRPr="000A38E5">
        <w:rPr>
          <w:lang w:val="uk-UA"/>
        </w:rPr>
        <w:t>’</w:t>
      </w:r>
      <w:r w:rsidR="00D83351" w:rsidRPr="000A38E5">
        <w:rPr>
          <w:lang w:val="uk-UA"/>
        </w:rPr>
        <w:t>єкт, що охороняється</w:t>
      </w:r>
      <w:r w:rsidR="00D83351" w:rsidRPr="00E93710">
        <w:rPr>
          <w:lang w:val="uk-UA"/>
        </w:rPr>
        <w:t xml:space="preserve">, </w:t>
      </w:r>
      <w:r w:rsidR="004B6B3F" w:rsidRPr="000A38E5">
        <w:rPr>
          <w:lang w:val="uk-UA"/>
        </w:rPr>
        <w:t>виявлення крадіжки або будь-яких інших порушень</w:t>
      </w:r>
      <w:r w:rsidR="00D83351" w:rsidRPr="00E93710">
        <w:rPr>
          <w:lang w:val="uk-UA"/>
        </w:rPr>
        <w:t xml:space="preserve">, </w:t>
      </w:r>
      <w:r w:rsidR="004B6B3F" w:rsidRPr="000A38E5">
        <w:rPr>
          <w:lang w:val="uk-UA"/>
        </w:rPr>
        <w:t>та здійснювала заходи для обмеження доступу</w:t>
      </w:r>
      <w:r w:rsidR="00D83351" w:rsidRPr="00E93710">
        <w:rPr>
          <w:lang w:val="uk-UA"/>
        </w:rPr>
        <w:t xml:space="preserve"> </w:t>
      </w:r>
      <w:r w:rsidR="004B6B3F" w:rsidRPr="000A38E5">
        <w:rPr>
          <w:lang w:val="uk-UA"/>
        </w:rPr>
        <w:t>третіх сторін до місця подій</w:t>
      </w:r>
      <w:r w:rsidR="00D83351" w:rsidRPr="00E93710">
        <w:rPr>
          <w:lang w:val="uk-UA"/>
        </w:rPr>
        <w:t xml:space="preserve"> </w:t>
      </w:r>
      <w:r w:rsidR="004B6B3F" w:rsidRPr="000A38E5">
        <w:rPr>
          <w:lang w:val="uk-UA"/>
        </w:rPr>
        <w:t>до прибуття міліції</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bookmarkStart w:id="76" w:name="Guarding_Activity_Act"/>
      <w:r w:rsidR="0075299E" w:rsidRPr="00E93710">
        <w:rPr>
          <w:noProof/>
          <w:lang w:val="uk-UA"/>
        </w:rPr>
        <w:t>110</w:t>
      </w:r>
      <w:bookmarkEnd w:id="76"/>
      <w:r w:rsidRPr="00E93710">
        <w:rPr>
          <w:noProof/>
          <w:lang w:val="uk-UA"/>
        </w:rPr>
        <w:fldChar w:fldCharType="end"/>
      </w:r>
      <w:r w:rsidR="00D83351" w:rsidRPr="00E93710">
        <w:rPr>
          <w:lang w:val="uk-UA"/>
        </w:rPr>
        <w:t>.</w:t>
      </w:r>
      <w:r w:rsidR="00334477" w:rsidRPr="000A38E5">
        <w:rPr>
          <w:lang w:val="uk-UA"/>
        </w:rPr>
        <w:t xml:space="preserve"> </w:t>
      </w:r>
      <w:r w:rsidR="00C87EF1" w:rsidRPr="000A38E5">
        <w:rPr>
          <w:lang w:val="uk-UA"/>
        </w:rPr>
        <w:t>Розділ</w:t>
      </w:r>
      <w:r w:rsidR="00D83351" w:rsidRPr="00E93710">
        <w:rPr>
          <w:lang w:val="uk-UA"/>
        </w:rPr>
        <w:t xml:space="preserve"> 12(1)(3) </w:t>
      </w:r>
      <w:r w:rsidR="00C87EF1" w:rsidRPr="000A38E5">
        <w:rPr>
          <w:lang w:val="uk-UA"/>
        </w:rPr>
        <w:t>Закону про охоронну діяльність від</w:t>
      </w:r>
      <w:r w:rsidR="00D83351" w:rsidRPr="00E93710">
        <w:rPr>
          <w:lang w:val="uk-UA"/>
        </w:rPr>
        <w:t xml:space="preserve"> 2012 </w:t>
      </w:r>
      <w:r w:rsidR="00C87EF1" w:rsidRPr="000A38E5">
        <w:rPr>
          <w:lang w:val="uk-UA"/>
        </w:rPr>
        <w:t xml:space="preserve">р. </w:t>
      </w:r>
      <w:r w:rsidR="00EB674D" w:rsidRPr="000A38E5">
        <w:rPr>
          <w:lang w:val="uk-UA"/>
        </w:rPr>
        <w:t>уповноважує охоронців перешкоджати доступу осіб</w:t>
      </w:r>
      <w:r w:rsidR="00D83351" w:rsidRPr="00E93710">
        <w:rPr>
          <w:lang w:val="uk-UA"/>
        </w:rPr>
        <w:t xml:space="preserve"> </w:t>
      </w:r>
      <w:r w:rsidR="00EB674D" w:rsidRPr="000A38E5">
        <w:rPr>
          <w:lang w:val="uk-UA"/>
        </w:rPr>
        <w:t>до об’єкта охорони та затримувати</w:t>
      </w:r>
      <w:r w:rsidR="00D83351" w:rsidRPr="00E93710">
        <w:rPr>
          <w:lang w:val="uk-UA"/>
        </w:rPr>
        <w:t xml:space="preserve"> </w:t>
      </w:r>
      <w:r w:rsidR="00D929DF" w:rsidRPr="000A38E5">
        <w:rPr>
          <w:lang w:val="uk-UA"/>
        </w:rPr>
        <w:t>осіб, які увійшли на територію або намагаються її залишити</w:t>
      </w:r>
      <w:r w:rsidR="00D83351" w:rsidRPr="00E93710">
        <w:rPr>
          <w:lang w:val="uk-UA"/>
        </w:rPr>
        <w:t xml:space="preserve"> </w:t>
      </w:r>
      <w:r w:rsidR="00D929DF" w:rsidRPr="000A38E5">
        <w:rPr>
          <w:lang w:val="uk-UA"/>
        </w:rPr>
        <w:t>в порушення встановлених правил</w:t>
      </w:r>
      <w:r w:rsidR="00D83351" w:rsidRPr="00E93710">
        <w:rPr>
          <w:lang w:val="uk-UA"/>
        </w:rPr>
        <w:t xml:space="preserve">. </w:t>
      </w:r>
      <w:r w:rsidR="00D929DF" w:rsidRPr="000A38E5">
        <w:rPr>
          <w:lang w:val="uk-UA"/>
        </w:rPr>
        <w:t>В останньому випадку охоронці повинні негайно повідомити міліцію</w:t>
      </w:r>
      <w:r w:rsidR="00D83351" w:rsidRPr="00E93710">
        <w:rPr>
          <w:lang w:val="uk-UA"/>
        </w:rPr>
        <w:t>.</w:t>
      </w:r>
    </w:p>
    <w:p w:rsidR="00D83351" w:rsidRPr="000A38E5" w:rsidRDefault="00D83351" w:rsidP="00852217">
      <w:pPr>
        <w:pStyle w:val="ECHRHeading2"/>
        <w:rPr>
          <w:lang w:val="uk-UA"/>
        </w:rPr>
      </w:pPr>
      <w:r w:rsidRPr="00E93710">
        <w:rPr>
          <w:lang w:val="uk-UA"/>
        </w:rPr>
        <w:t>G.</w:t>
      </w:r>
      <w:r w:rsidR="00092D05" w:rsidRPr="00E93710">
        <w:rPr>
          <w:lang w:val="uk-UA"/>
        </w:rPr>
        <w:t> Правила</w:t>
      </w:r>
      <w:r w:rsidR="00092D05" w:rsidRPr="000A38E5">
        <w:rPr>
          <w:lang w:val="uk-UA"/>
        </w:rPr>
        <w:t>, регулюючі повалення дерев та безпеку на місці будівництва</w:t>
      </w:r>
    </w:p>
    <w:p w:rsidR="00D83351" w:rsidRPr="00E93710" w:rsidRDefault="004E7608" w:rsidP="00852217">
      <w:pPr>
        <w:pStyle w:val="ECHRPara"/>
        <w:rPr>
          <w:lang w:val="uk-UA"/>
        </w:rPr>
      </w:pPr>
      <w:r w:rsidRPr="00E93710">
        <w:rPr>
          <w:lang w:val="uk-UA"/>
        </w:rPr>
        <w:fldChar w:fldCharType="begin"/>
      </w:r>
      <w:r w:rsidR="007C6EE5" w:rsidRPr="000A38E5">
        <w:rPr>
          <w:lang w:val="uk-UA"/>
        </w:rPr>
        <w:instrText xml:space="preserve"> </w:instrText>
      </w:r>
      <w:r w:rsidR="007C6EE5" w:rsidRPr="00E93710">
        <w:rPr>
          <w:lang w:val="uk-UA"/>
        </w:rPr>
        <w:instrText>SEQ</w:instrText>
      </w:r>
      <w:r w:rsidR="007C6EE5" w:rsidRPr="000A38E5">
        <w:rPr>
          <w:lang w:val="uk-UA"/>
        </w:rPr>
        <w:instrText xml:space="preserve"> </w:instrText>
      </w:r>
      <w:r w:rsidR="007C6EE5" w:rsidRPr="00E93710">
        <w:rPr>
          <w:lang w:val="uk-UA"/>
        </w:rPr>
        <w:instrText>level</w:instrText>
      </w:r>
      <w:r w:rsidR="007C6EE5" w:rsidRPr="000A38E5">
        <w:rPr>
          <w:lang w:val="uk-UA"/>
        </w:rPr>
        <w:instrText>0 \*</w:instrText>
      </w:r>
      <w:r w:rsidR="007C6EE5" w:rsidRPr="00E93710">
        <w:rPr>
          <w:lang w:val="uk-UA"/>
        </w:rPr>
        <w:instrText>arabic</w:instrText>
      </w:r>
      <w:r w:rsidR="007C6EE5" w:rsidRPr="000A38E5">
        <w:rPr>
          <w:lang w:val="uk-UA"/>
        </w:rPr>
        <w:instrText xml:space="preserve"> </w:instrText>
      </w:r>
      <w:r w:rsidRPr="00E93710">
        <w:rPr>
          <w:lang w:val="uk-UA"/>
        </w:rPr>
        <w:fldChar w:fldCharType="separate"/>
      </w:r>
      <w:r w:rsidR="0075299E" w:rsidRPr="00E93710">
        <w:rPr>
          <w:noProof/>
          <w:lang w:val="uk-UA"/>
        </w:rPr>
        <w:t>111</w:t>
      </w:r>
      <w:r w:rsidRPr="00E93710">
        <w:rPr>
          <w:noProof/>
          <w:lang w:val="uk-UA"/>
        </w:rPr>
        <w:fldChar w:fldCharType="end"/>
      </w:r>
      <w:r w:rsidR="00D83351" w:rsidRPr="000A38E5">
        <w:rPr>
          <w:lang w:val="uk-UA"/>
        </w:rPr>
        <w:t>.</w:t>
      </w:r>
      <w:r w:rsidR="00334477" w:rsidRPr="000A38E5">
        <w:rPr>
          <w:lang w:val="uk-UA"/>
        </w:rPr>
        <w:t xml:space="preserve"> </w:t>
      </w:r>
      <w:r w:rsidR="00092D05" w:rsidRPr="000A38E5">
        <w:rPr>
          <w:lang w:val="uk-UA"/>
        </w:rPr>
        <w:t>На той час</w:t>
      </w:r>
      <w:r w:rsidR="00D83351" w:rsidRPr="000A38E5">
        <w:rPr>
          <w:lang w:val="uk-UA"/>
        </w:rPr>
        <w:t xml:space="preserve"> </w:t>
      </w:r>
      <w:r w:rsidR="00092D05" w:rsidRPr="000A38E5">
        <w:rPr>
          <w:lang w:val="uk-UA"/>
        </w:rPr>
        <w:t>розділ</w:t>
      </w:r>
      <w:r w:rsidR="00D83351" w:rsidRPr="000A38E5">
        <w:rPr>
          <w:lang w:val="uk-UA"/>
        </w:rPr>
        <w:t xml:space="preserve"> 28(3) </w:t>
      </w:r>
      <w:r w:rsidR="00092D05" w:rsidRPr="000A38E5">
        <w:rPr>
          <w:lang w:val="uk-UA"/>
        </w:rPr>
        <w:t>Закону України про благоустрій населених пунктів від</w:t>
      </w:r>
      <w:r w:rsidR="00D83351" w:rsidRPr="000A38E5">
        <w:rPr>
          <w:lang w:val="uk-UA"/>
        </w:rPr>
        <w:t xml:space="preserve"> 2005</w:t>
      </w:r>
      <w:r w:rsidR="00092D05" w:rsidRPr="000A38E5">
        <w:rPr>
          <w:lang w:val="uk-UA"/>
        </w:rPr>
        <w:t xml:space="preserve"> р.</w:t>
      </w:r>
      <w:r w:rsidR="00D83351" w:rsidRPr="000A38E5">
        <w:rPr>
          <w:lang w:val="uk-UA"/>
        </w:rPr>
        <w:t xml:space="preserve"> </w:t>
      </w:r>
      <w:r w:rsidR="00DF770C" w:rsidRPr="000A38E5">
        <w:rPr>
          <w:lang w:val="uk-UA"/>
        </w:rPr>
        <w:t>передбачав, що видалення дерев повинно було здійснюватися</w:t>
      </w:r>
      <w:r w:rsidR="00D83351" w:rsidRPr="000A38E5">
        <w:rPr>
          <w:lang w:val="uk-UA"/>
        </w:rPr>
        <w:t xml:space="preserve"> </w:t>
      </w:r>
      <w:r w:rsidR="00DF770C" w:rsidRPr="000A38E5">
        <w:rPr>
          <w:lang w:val="uk-UA"/>
        </w:rPr>
        <w:t>відповідно до процедури, встановленої</w:t>
      </w:r>
      <w:r w:rsidR="00D83351" w:rsidRPr="000A38E5">
        <w:rPr>
          <w:lang w:val="uk-UA"/>
        </w:rPr>
        <w:t xml:space="preserve"> </w:t>
      </w:r>
      <w:r w:rsidR="00DF770C" w:rsidRPr="000A38E5">
        <w:rPr>
          <w:lang w:val="uk-UA"/>
        </w:rPr>
        <w:t>Кабінетом міністрів</w:t>
      </w:r>
      <w:r w:rsidR="00D83351" w:rsidRPr="000A38E5">
        <w:rPr>
          <w:lang w:val="uk-UA"/>
        </w:rPr>
        <w:t xml:space="preserve"> (</w:t>
      </w:r>
      <w:r w:rsidR="00DF770C" w:rsidRPr="000A38E5">
        <w:rPr>
          <w:lang w:val="uk-UA"/>
        </w:rPr>
        <w:t>Резолюція Кабінету міністрів №</w:t>
      </w:r>
      <w:r w:rsidR="00D83351" w:rsidRPr="000A38E5">
        <w:rPr>
          <w:lang w:val="uk-UA"/>
        </w:rPr>
        <w:t xml:space="preserve"> 1045 </w:t>
      </w:r>
      <w:r w:rsidR="00DF770C" w:rsidRPr="000A38E5">
        <w:rPr>
          <w:lang w:val="uk-UA"/>
        </w:rPr>
        <w:t>від 1 серпня</w:t>
      </w:r>
      <w:r w:rsidR="00D83351" w:rsidRPr="000A38E5">
        <w:rPr>
          <w:lang w:val="uk-UA"/>
        </w:rPr>
        <w:t xml:space="preserve"> 2006). </w:t>
      </w:r>
      <w:r w:rsidR="00FB07D3" w:rsidRPr="000A38E5">
        <w:rPr>
          <w:lang w:val="uk-UA"/>
        </w:rPr>
        <w:t>Процедура передбачала, що дерева</w:t>
      </w:r>
      <w:r w:rsidR="00D83351" w:rsidRPr="00E93710">
        <w:rPr>
          <w:lang w:val="uk-UA"/>
        </w:rPr>
        <w:t xml:space="preserve"> </w:t>
      </w:r>
      <w:r w:rsidR="00FB07D3" w:rsidRPr="000A38E5">
        <w:rPr>
          <w:lang w:val="uk-UA"/>
        </w:rPr>
        <w:t>могли бути повалені, зокрема</w:t>
      </w:r>
      <w:r w:rsidR="00D83351" w:rsidRPr="00E93710">
        <w:rPr>
          <w:lang w:val="uk-UA"/>
        </w:rPr>
        <w:t xml:space="preserve">, </w:t>
      </w:r>
      <w:r w:rsidR="005A4BB1" w:rsidRPr="000A38E5">
        <w:rPr>
          <w:lang w:val="uk-UA"/>
        </w:rPr>
        <w:t>у рамках втілення плану міського розвитку,</w:t>
      </w:r>
      <w:r w:rsidR="00D83351" w:rsidRPr="00E93710">
        <w:rPr>
          <w:lang w:val="uk-UA"/>
        </w:rPr>
        <w:t xml:space="preserve"> </w:t>
      </w:r>
      <w:r w:rsidR="005A4BB1" w:rsidRPr="000A38E5">
        <w:rPr>
          <w:lang w:val="uk-UA"/>
        </w:rPr>
        <w:t>але їх повалення вимагало рішення виконавчого органу</w:t>
      </w:r>
      <w:r w:rsidR="00D83351" w:rsidRPr="00E93710">
        <w:rPr>
          <w:lang w:val="uk-UA"/>
        </w:rPr>
        <w:t xml:space="preserve"> </w:t>
      </w:r>
      <w:r w:rsidR="005A4BB1" w:rsidRPr="000A38E5">
        <w:rPr>
          <w:lang w:val="uk-UA"/>
        </w:rPr>
        <w:t>муніципалітету та наказу</w:t>
      </w:r>
      <w:r w:rsidR="00D83351" w:rsidRPr="00E93710">
        <w:rPr>
          <w:lang w:val="uk-UA"/>
        </w:rPr>
        <w:t xml:space="preserve">. </w:t>
      </w:r>
      <w:r w:rsidR="005A4BB1" w:rsidRPr="000A38E5">
        <w:rPr>
          <w:lang w:val="uk-UA"/>
        </w:rPr>
        <w:t>До видання будь-якого рішення</w:t>
      </w:r>
      <w:r w:rsidR="00D83351" w:rsidRPr="00E93710">
        <w:rPr>
          <w:lang w:val="uk-UA"/>
        </w:rPr>
        <w:t xml:space="preserve"> </w:t>
      </w:r>
      <w:r w:rsidR="005A4BB1" w:rsidRPr="000A38E5">
        <w:rPr>
          <w:lang w:val="uk-UA"/>
        </w:rPr>
        <w:t>дерева повинні бути обстежені комісією, призначеною муніципальними органами влади</w:t>
      </w:r>
      <w:r w:rsidR="00D83351" w:rsidRPr="00E93710">
        <w:rPr>
          <w:lang w:val="uk-UA"/>
        </w:rPr>
        <w:t>.</w:t>
      </w:r>
    </w:p>
    <w:bookmarkStart w:id="77" w:name="safety_rules"/>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112</w:t>
      </w:r>
      <w:r w:rsidRPr="00E93710">
        <w:rPr>
          <w:lang w:val="uk-UA"/>
        </w:rPr>
        <w:fldChar w:fldCharType="end"/>
      </w:r>
      <w:bookmarkEnd w:id="77"/>
      <w:r w:rsidR="00D83351" w:rsidRPr="00E93710">
        <w:rPr>
          <w:lang w:val="uk-UA"/>
        </w:rPr>
        <w:t>.</w:t>
      </w:r>
      <w:r w:rsidR="00334477" w:rsidRPr="000A38E5">
        <w:rPr>
          <w:lang w:val="uk-UA"/>
        </w:rPr>
        <w:t xml:space="preserve"> </w:t>
      </w:r>
      <w:r w:rsidR="000A2AF9" w:rsidRPr="000A38E5">
        <w:rPr>
          <w:lang w:val="uk-UA"/>
        </w:rPr>
        <w:t>На той час правила безпеки будівництва містилися у документі під назвою</w:t>
      </w:r>
      <w:r w:rsidR="00D83351" w:rsidRPr="00E93710">
        <w:rPr>
          <w:lang w:val="uk-UA"/>
        </w:rPr>
        <w:t xml:space="preserve"> </w:t>
      </w:r>
      <w:r w:rsidR="000A2AF9" w:rsidRPr="000A38E5">
        <w:rPr>
          <w:lang w:val="uk-UA"/>
        </w:rPr>
        <w:t>«Будівельні норми і правила»</w:t>
      </w:r>
      <w:r w:rsidR="00D83351" w:rsidRPr="00E93710">
        <w:rPr>
          <w:lang w:val="uk-UA"/>
        </w:rPr>
        <w:t xml:space="preserve"> (</w:t>
      </w:r>
      <w:proofErr w:type="spellStart"/>
      <w:r w:rsidR="00D83351" w:rsidRPr="00E93710">
        <w:rPr>
          <w:i/>
          <w:lang w:val="uk-UA"/>
        </w:rPr>
        <w:t>СНиП</w:t>
      </w:r>
      <w:proofErr w:type="spellEnd"/>
      <w:r w:rsidR="00D83351" w:rsidRPr="00E93710">
        <w:rPr>
          <w:lang w:val="uk-UA"/>
        </w:rPr>
        <w:t xml:space="preserve">) III-4-80 </w:t>
      </w:r>
      <w:r w:rsidR="00C81438" w:rsidRPr="000A38E5">
        <w:rPr>
          <w:lang w:val="uk-UA"/>
        </w:rPr>
        <w:t>Правила безпеки будівництва</w:t>
      </w:r>
      <w:r w:rsidR="00D83351" w:rsidRPr="00E93710">
        <w:rPr>
          <w:lang w:val="uk-UA"/>
        </w:rPr>
        <w:t xml:space="preserve">, </w:t>
      </w:r>
      <w:r w:rsidR="00C81438" w:rsidRPr="000A38E5">
        <w:rPr>
          <w:lang w:val="uk-UA"/>
        </w:rPr>
        <w:t>введені Наказом №</w:t>
      </w:r>
      <w:r w:rsidR="00D83351" w:rsidRPr="00E93710">
        <w:rPr>
          <w:lang w:val="uk-UA"/>
        </w:rPr>
        <w:t xml:space="preserve"> 82 </w:t>
      </w:r>
      <w:proofErr w:type="spellStart"/>
      <w:r w:rsidR="00C81438" w:rsidRPr="000A38E5">
        <w:rPr>
          <w:lang w:val="uk-UA"/>
        </w:rPr>
        <w:t>Держстроєм</w:t>
      </w:r>
      <w:proofErr w:type="spellEnd"/>
      <w:r w:rsidR="00C81438" w:rsidRPr="000A38E5">
        <w:rPr>
          <w:lang w:val="uk-UA"/>
        </w:rPr>
        <w:t xml:space="preserve"> С</w:t>
      </w:r>
      <w:r w:rsidR="00CE0740" w:rsidRPr="000A38E5">
        <w:rPr>
          <w:lang w:val="uk-UA"/>
        </w:rPr>
        <w:t>Р</w:t>
      </w:r>
      <w:r w:rsidR="00C81438" w:rsidRPr="000A38E5">
        <w:rPr>
          <w:lang w:val="uk-UA"/>
        </w:rPr>
        <w:t>СР</w:t>
      </w:r>
      <w:r w:rsidR="00D83351" w:rsidRPr="00E93710">
        <w:rPr>
          <w:lang w:val="uk-UA"/>
        </w:rPr>
        <w:t xml:space="preserve"> </w:t>
      </w:r>
      <w:r w:rsidR="00C81438" w:rsidRPr="000A38E5">
        <w:rPr>
          <w:lang w:val="uk-UA"/>
        </w:rPr>
        <w:t>від 9 червня</w:t>
      </w:r>
      <w:r w:rsidR="00D83351" w:rsidRPr="00E93710">
        <w:rPr>
          <w:lang w:val="uk-UA"/>
        </w:rPr>
        <w:t xml:space="preserve"> 1980</w:t>
      </w:r>
      <w:r w:rsidR="00C81438" w:rsidRPr="00E93710">
        <w:rPr>
          <w:lang w:val="uk-UA"/>
        </w:rPr>
        <w:t xml:space="preserve"> р</w:t>
      </w:r>
      <w:r w:rsidR="00D83351" w:rsidRPr="00E93710">
        <w:rPr>
          <w:lang w:val="uk-UA"/>
        </w:rPr>
        <w:t xml:space="preserve">. </w:t>
      </w:r>
      <w:r w:rsidR="00CE0740" w:rsidRPr="000A38E5">
        <w:rPr>
          <w:lang w:val="uk-UA"/>
        </w:rPr>
        <w:t>Вони усе ще були застосовними в Україні</w:t>
      </w:r>
      <w:r w:rsidR="00D83351" w:rsidRPr="00E93710">
        <w:rPr>
          <w:lang w:val="uk-UA"/>
        </w:rPr>
        <w:t xml:space="preserve">, </w:t>
      </w:r>
      <w:r w:rsidR="00CE0740" w:rsidRPr="000A38E5">
        <w:rPr>
          <w:lang w:val="uk-UA"/>
        </w:rPr>
        <w:t>на основі Резолюції Верховної Ради України від</w:t>
      </w:r>
      <w:r w:rsidR="00D83351" w:rsidRPr="00E93710">
        <w:rPr>
          <w:lang w:val="uk-UA"/>
        </w:rPr>
        <w:t xml:space="preserve"> 12 </w:t>
      </w:r>
      <w:r w:rsidR="00CE0740" w:rsidRPr="000A38E5">
        <w:rPr>
          <w:lang w:val="uk-UA"/>
        </w:rPr>
        <w:t>вересня</w:t>
      </w:r>
      <w:r w:rsidR="00D83351" w:rsidRPr="00E93710">
        <w:rPr>
          <w:lang w:val="uk-UA"/>
        </w:rPr>
        <w:t xml:space="preserve"> 1991 </w:t>
      </w:r>
      <w:r w:rsidR="00CE0740" w:rsidRPr="00E93710">
        <w:rPr>
          <w:lang w:val="uk-UA"/>
        </w:rPr>
        <w:t xml:space="preserve">р. </w:t>
      </w:r>
      <w:r w:rsidR="00CE0740" w:rsidRPr="000A38E5">
        <w:rPr>
          <w:lang w:val="uk-UA"/>
        </w:rPr>
        <w:t>про тимчасове застосування законодавчих актів Радянського Союзу</w:t>
      </w:r>
      <w:r w:rsidR="00D83351" w:rsidRPr="00E93710">
        <w:rPr>
          <w:lang w:val="uk-UA"/>
        </w:rPr>
        <w:t>.</w:t>
      </w:r>
    </w:p>
    <w:p w:rsidR="00D83351" w:rsidRPr="00E93710" w:rsidRDefault="00CE4A1C" w:rsidP="00852217">
      <w:pPr>
        <w:pStyle w:val="ECHRPara"/>
        <w:rPr>
          <w:lang w:val="uk-UA"/>
        </w:rPr>
      </w:pPr>
      <w:r w:rsidRPr="000A38E5">
        <w:rPr>
          <w:lang w:val="uk-UA"/>
        </w:rPr>
        <w:t>Правило</w:t>
      </w:r>
      <w:r w:rsidR="00D83351" w:rsidRPr="00E93710">
        <w:rPr>
          <w:lang w:val="uk-UA"/>
        </w:rPr>
        <w:t xml:space="preserve"> 1.16 </w:t>
      </w:r>
      <w:r w:rsidR="008F71AE" w:rsidRPr="000A38E5">
        <w:rPr>
          <w:lang w:val="uk-UA"/>
        </w:rPr>
        <w:t xml:space="preserve">забороняло доступ </w:t>
      </w:r>
      <w:r w:rsidRPr="000A38E5">
        <w:rPr>
          <w:lang w:val="uk-UA"/>
        </w:rPr>
        <w:t>сторонніх осіб</w:t>
      </w:r>
      <w:r w:rsidR="00D83351" w:rsidRPr="00E93710">
        <w:rPr>
          <w:lang w:val="uk-UA"/>
        </w:rPr>
        <w:t xml:space="preserve"> </w:t>
      </w:r>
      <w:r w:rsidRPr="000A38E5">
        <w:rPr>
          <w:lang w:val="uk-UA"/>
        </w:rPr>
        <w:t>на територію будівельних майданчиків</w:t>
      </w:r>
      <w:r w:rsidR="00D83351" w:rsidRPr="00E93710">
        <w:rPr>
          <w:lang w:val="uk-UA"/>
        </w:rPr>
        <w:t>.</w:t>
      </w:r>
    </w:p>
    <w:p w:rsidR="00D83351" w:rsidRPr="000A38E5" w:rsidRDefault="00D83351" w:rsidP="00852217">
      <w:pPr>
        <w:pStyle w:val="ECHRHeading1"/>
        <w:rPr>
          <w:lang w:val="uk-UA"/>
        </w:rPr>
      </w:pPr>
      <w:r w:rsidRPr="00E93710">
        <w:rPr>
          <w:lang w:val="uk-UA"/>
        </w:rPr>
        <w:lastRenderedPageBreak/>
        <w:t>III.</w:t>
      </w:r>
      <w:r w:rsidR="00334477" w:rsidRPr="000A38E5">
        <w:rPr>
          <w:lang w:val="uk-UA"/>
        </w:rPr>
        <w:t xml:space="preserve"> </w:t>
      </w:r>
      <w:r w:rsidR="00032DAD" w:rsidRPr="000A38E5">
        <w:rPr>
          <w:lang w:val="uk-UA"/>
        </w:rPr>
        <w:t>ВІДПОВІДНІ МІЖНАРОДНІ МАТЕРІАЛИ</w:t>
      </w:r>
    </w:p>
    <w:p w:rsidR="00D83351" w:rsidRPr="000A38E5" w:rsidRDefault="00D83351" w:rsidP="00852217">
      <w:pPr>
        <w:pStyle w:val="ECHRHeading2"/>
        <w:rPr>
          <w:lang w:val="uk-UA"/>
        </w:rPr>
      </w:pPr>
      <w:r w:rsidRPr="00E93710">
        <w:rPr>
          <w:lang w:val="uk-UA"/>
        </w:rPr>
        <w:t>A.</w:t>
      </w:r>
      <w:r w:rsidR="00323208" w:rsidRPr="00E93710">
        <w:rPr>
          <w:lang w:val="uk-UA"/>
        </w:rPr>
        <w:t> Керівні</w:t>
      </w:r>
      <w:r w:rsidR="002037AA" w:rsidRPr="000A38E5">
        <w:rPr>
          <w:lang w:val="uk-UA"/>
        </w:rPr>
        <w:t xml:space="preserve"> принципи </w:t>
      </w:r>
      <w:r w:rsidR="00554534" w:rsidRPr="000A38E5">
        <w:rPr>
          <w:lang w:val="uk-UA"/>
        </w:rPr>
        <w:t>щ</w:t>
      </w:r>
      <w:r w:rsidR="002037AA" w:rsidRPr="000A38E5">
        <w:rPr>
          <w:lang w:val="uk-UA"/>
        </w:rPr>
        <w:t xml:space="preserve">одо свободи </w:t>
      </w:r>
      <w:r w:rsidR="002439F2" w:rsidRPr="000A38E5">
        <w:rPr>
          <w:lang w:val="uk-UA"/>
        </w:rPr>
        <w:t>мирних зібрань</w:t>
      </w:r>
    </w:p>
    <w:bookmarkStart w:id="78" w:name="OSCE_guidelines"/>
    <w:p w:rsidR="00D83351" w:rsidRPr="000A38E5" w:rsidRDefault="004E7608" w:rsidP="00852217">
      <w:pPr>
        <w:pStyle w:val="ECHRPara"/>
        <w:rPr>
          <w:lang w:val="uk-UA"/>
        </w:rPr>
      </w:pPr>
      <w:r w:rsidRPr="00E93710">
        <w:rPr>
          <w:lang w:val="uk-UA"/>
        </w:rPr>
        <w:fldChar w:fldCharType="begin"/>
      </w:r>
      <w:r w:rsidR="00D83351" w:rsidRPr="000A38E5">
        <w:rPr>
          <w:lang w:val="uk-UA"/>
        </w:rPr>
        <w:instrText xml:space="preserve"> </w:instrText>
      </w:r>
      <w:r w:rsidR="00D83351" w:rsidRPr="00E93710">
        <w:rPr>
          <w:lang w:val="uk-UA"/>
        </w:rPr>
        <w:instrText>SEQ</w:instrText>
      </w:r>
      <w:r w:rsidR="00D83351" w:rsidRPr="000A38E5">
        <w:rPr>
          <w:lang w:val="uk-UA"/>
        </w:rPr>
        <w:instrText xml:space="preserve"> </w:instrText>
      </w:r>
      <w:r w:rsidR="00D83351" w:rsidRPr="00E93710">
        <w:rPr>
          <w:lang w:val="uk-UA"/>
        </w:rPr>
        <w:instrText>level</w:instrText>
      </w:r>
      <w:r w:rsidR="00D83351" w:rsidRPr="000A38E5">
        <w:rPr>
          <w:lang w:val="uk-UA"/>
        </w:rPr>
        <w:instrText>0 \*</w:instrText>
      </w:r>
      <w:r w:rsidR="00D83351" w:rsidRPr="00E93710">
        <w:rPr>
          <w:lang w:val="uk-UA"/>
        </w:rPr>
        <w:instrText>arabic</w:instrText>
      </w:r>
      <w:r w:rsidR="00D83351" w:rsidRPr="000A38E5">
        <w:rPr>
          <w:lang w:val="uk-UA"/>
        </w:rPr>
        <w:instrText xml:space="preserve"> </w:instrText>
      </w:r>
      <w:r w:rsidRPr="00E93710">
        <w:rPr>
          <w:lang w:val="uk-UA"/>
        </w:rPr>
        <w:fldChar w:fldCharType="separate"/>
      </w:r>
      <w:r w:rsidR="0075299E" w:rsidRPr="00E93710">
        <w:rPr>
          <w:noProof/>
          <w:lang w:val="uk-UA"/>
        </w:rPr>
        <w:t>113</w:t>
      </w:r>
      <w:r w:rsidRPr="00E93710">
        <w:rPr>
          <w:lang w:val="uk-UA"/>
        </w:rPr>
        <w:fldChar w:fldCharType="end"/>
      </w:r>
      <w:bookmarkEnd w:id="78"/>
      <w:r w:rsidR="00D83351" w:rsidRPr="000A38E5">
        <w:rPr>
          <w:lang w:val="uk-UA"/>
        </w:rPr>
        <w:t>.</w:t>
      </w:r>
      <w:r w:rsidR="00334477" w:rsidRPr="000A38E5">
        <w:rPr>
          <w:lang w:val="uk-UA"/>
        </w:rPr>
        <w:t xml:space="preserve"> </w:t>
      </w:r>
      <w:r w:rsidR="005353F6" w:rsidRPr="000A38E5">
        <w:rPr>
          <w:lang w:val="uk-UA"/>
        </w:rPr>
        <w:t xml:space="preserve">Керівні принципи щодо свободи </w:t>
      </w:r>
      <w:r w:rsidR="002439F2" w:rsidRPr="000A38E5">
        <w:rPr>
          <w:lang w:val="uk-UA"/>
        </w:rPr>
        <w:t>мирних зібрань</w:t>
      </w:r>
      <w:r w:rsidR="005353F6" w:rsidRPr="000A38E5">
        <w:rPr>
          <w:lang w:val="uk-UA"/>
        </w:rPr>
        <w:t>, розроблені</w:t>
      </w:r>
      <w:r w:rsidR="00D83351" w:rsidRPr="000A38E5">
        <w:rPr>
          <w:lang w:val="uk-UA"/>
        </w:rPr>
        <w:t xml:space="preserve"> </w:t>
      </w:r>
      <w:r w:rsidR="005353F6" w:rsidRPr="000A38E5">
        <w:rPr>
          <w:lang w:val="uk-UA"/>
        </w:rPr>
        <w:t>Управлінням з питань демократії та прав людини Організації з безпеки та співробітництва в Європі</w:t>
      </w:r>
      <w:r w:rsidR="00D83351" w:rsidRPr="000A38E5">
        <w:rPr>
          <w:lang w:val="uk-UA"/>
        </w:rPr>
        <w:t xml:space="preserve"> </w:t>
      </w:r>
      <w:r w:rsidR="005353F6" w:rsidRPr="000A38E5">
        <w:rPr>
          <w:lang w:val="uk-UA"/>
        </w:rPr>
        <w:t>та</w:t>
      </w:r>
      <w:r w:rsidR="00D83351" w:rsidRPr="000A38E5">
        <w:rPr>
          <w:lang w:val="uk-UA"/>
        </w:rPr>
        <w:t xml:space="preserve"> </w:t>
      </w:r>
      <w:r w:rsidR="0040096C" w:rsidRPr="000A38E5">
        <w:rPr>
          <w:lang w:val="uk-UA"/>
        </w:rPr>
        <w:t>Венеціанською комісією</w:t>
      </w:r>
      <w:r w:rsidR="00D83351" w:rsidRPr="000A38E5">
        <w:rPr>
          <w:lang w:val="uk-UA"/>
        </w:rPr>
        <w:t xml:space="preserve">, </w:t>
      </w:r>
      <w:r w:rsidR="0040096C" w:rsidRPr="000A38E5">
        <w:rPr>
          <w:lang w:val="uk-UA"/>
        </w:rPr>
        <w:t>та прийняті Венеціанською комісією на її</w:t>
      </w:r>
      <w:r w:rsidR="00D83351" w:rsidRPr="000A38E5">
        <w:rPr>
          <w:lang w:val="uk-UA"/>
        </w:rPr>
        <w:t xml:space="preserve"> 83</w:t>
      </w:r>
      <w:r w:rsidR="0040096C" w:rsidRPr="000A38E5">
        <w:rPr>
          <w:lang w:val="uk-UA"/>
        </w:rPr>
        <w:t>-му</w:t>
      </w:r>
      <w:r w:rsidR="00D83351" w:rsidRPr="000A38E5">
        <w:rPr>
          <w:lang w:val="uk-UA"/>
        </w:rPr>
        <w:t xml:space="preserve"> </w:t>
      </w:r>
      <w:r w:rsidR="00C716F7" w:rsidRPr="000A38E5">
        <w:rPr>
          <w:lang w:val="uk-UA"/>
        </w:rPr>
        <w:t>Пленарному засіданні</w:t>
      </w:r>
      <w:r w:rsidR="00D83351" w:rsidRPr="000A38E5">
        <w:rPr>
          <w:lang w:val="uk-UA"/>
        </w:rPr>
        <w:t xml:space="preserve"> (4 </w:t>
      </w:r>
      <w:r w:rsidR="00C716F7" w:rsidRPr="000A38E5">
        <w:rPr>
          <w:lang w:val="uk-UA"/>
        </w:rPr>
        <w:t>червня</w:t>
      </w:r>
      <w:r w:rsidR="00D83351" w:rsidRPr="000A38E5">
        <w:rPr>
          <w:lang w:val="uk-UA"/>
        </w:rPr>
        <w:t xml:space="preserve"> 2010</w:t>
      </w:r>
      <w:r w:rsidR="00675F4B" w:rsidRPr="000A38E5">
        <w:rPr>
          <w:lang w:val="uk-UA"/>
        </w:rPr>
        <w:t xml:space="preserve"> р.</w:t>
      </w:r>
      <w:r w:rsidR="00D83351" w:rsidRPr="000A38E5">
        <w:rPr>
          <w:lang w:val="uk-UA"/>
        </w:rPr>
        <w:t xml:space="preserve">) </w:t>
      </w:r>
      <w:r w:rsidR="005C7AC9" w:rsidRPr="000A38E5">
        <w:rPr>
          <w:lang w:val="uk-UA"/>
        </w:rPr>
        <w:t>передбачають, у відповідній частині</w:t>
      </w:r>
      <w:r w:rsidR="00D83351" w:rsidRPr="000A38E5">
        <w:rPr>
          <w:lang w:val="uk-UA"/>
        </w:rPr>
        <w:t>:</w:t>
      </w:r>
    </w:p>
    <w:p w:rsidR="00D83351" w:rsidRPr="000A38E5" w:rsidRDefault="005C7AC9" w:rsidP="00852217">
      <w:pPr>
        <w:pStyle w:val="ECHRTitleCentre3"/>
        <w:rPr>
          <w:lang w:val="uk-UA"/>
        </w:rPr>
      </w:pPr>
      <w:r w:rsidRPr="000A38E5">
        <w:rPr>
          <w:lang w:val="uk-UA"/>
        </w:rPr>
        <w:t>Розділ</w:t>
      </w:r>
      <w:r w:rsidR="00D83351" w:rsidRPr="00E93710">
        <w:rPr>
          <w:lang w:val="uk-UA"/>
        </w:rPr>
        <w:t xml:space="preserve"> A – </w:t>
      </w:r>
      <w:r w:rsidR="00323208" w:rsidRPr="000A38E5">
        <w:rPr>
          <w:lang w:val="uk-UA"/>
        </w:rPr>
        <w:t>К</w:t>
      </w:r>
      <w:r w:rsidRPr="000A38E5">
        <w:rPr>
          <w:lang w:val="uk-UA"/>
        </w:rPr>
        <w:t xml:space="preserve">ерівні принципи щодо права на свободу </w:t>
      </w:r>
      <w:r w:rsidR="002439F2" w:rsidRPr="000A38E5">
        <w:rPr>
          <w:lang w:val="uk-UA"/>
        </w:rPr>
        <w:t>мирних зібрань</w:t>
      </w:r>
      <w:r w:rsidR="007C6EE5" w:rsidRPr="00E93710">
        <w:rPr>
          <w:lang w:val="uk-UA"/>
        </w:rPr>
        <w:br/>
      </w:r>
      <w:r w:rsidR="00D83351" w:rsidRPr="00E93710">
        <w:rPr>
          <w:lang w:val="uk-UA"/>
        </w:rPr>
        <w:t xml:space="preserve">1. </w:t>
      </w:r>
      <w:r w:rsidRPr="000A38E5">
        <w:rPr>
          <w:lang w:val="uk-UA"/>
        </w:rPr>
        <w:t xml:space="preserve">Право на свободу </w:t>
      </w:r>
      <w:r w:rsidR="002439F2" w:rsidRPr="000A38E5">
        <w:rPr>
          <w:lang w:val="uk-UA"/>
        </w:rPr>
        <w:t>мирних зібрань</w:t>
      </w:r>
    </w:p>
    <w:p w:rsidR="00D83351" w:rsidRPr="00E93710" w:rsidRDefault="007C6EE5" w:rsidP="00852217">
      <w:pPr>
        <w:pStyle w:val="ECHRParaQuote"/>
        <w:rPr>
          <w:lang w:val="uk-UA"/>
        </w:rPr>
      </w:pPr>
      <w:r w:rsidRPr="00E93710">
        <w:rPr>
          <w:lang w:val="uk-UA"/>
        </w:rPr>
        <w:t>“</w:t>
      </w:r>
      <w:r w:rsidR="00D83351" w:rsidRPr="00E93710">
        <w:rPr>
          <w:lang w:val="uk-UA"/>
        </w:rPr>
        <w:t>...</w:t>
      </w:r>
    </w:p>
    <w:p w:rsidR="00D83351" w:rsidRPr="00E93710" w:rsidRDefault="00121B3C" w:rsidP="00852217">
      <w:pPr>
        <w:pStyle w:val="ECHRParaQuote"/>
        <w:rPr>
          <w:lang w:val="uk-UA"/>
        </w:rPr>
      </w:pPr>
      <w:r w:rsidRPr="00E93710">
        <w:rPr>
          <w:bCs/>
          <w:lang w:val="uk-UA"/>
        </w:rPr>
        <w:t>1.2</w:t>
      </w:r>
      <w:r w:rsidR="00334477" w:rsidRPr="000A38E5">
        <w:rPr>
          <w:bCs/>
          <w:lang w:val="uk-UA"/>
        </w:rPr>
        <w:t xml:space="preserve"> </w:t>
      </w:r>
      <w:r w:rsidR="00CE721D" w:rsidRPr="000A38E5">
        <w:rPr>
          <w:bCs/>
          <w:lang w:val="uk-UA"/>
        </w:rPr>
        <w:t>Визначення терміна «</w:t>
      </w:r>
      <w:r w:rsidR="002439F2" w:rsidRPr="000A38E5">
        <w:rPr>
          <w:bCs/>
          <w:lang w:val="uk-UA"/>
        </w:rPr>
        <w:t>зібрання</w:t>
      </w:r>
      <w:r w:rsidR="00CE721D" w:rsidRPr="000A38E5">
        <w:rPr>
          <w:bCs/>
          <w:lang w:val="uk-UA"/>
        </w:rPr>
        <w:t>»</w:t>
      </w:r>
      <w:r w:rsidR="00D83351" w:rsidRPr="00E93710">
        <w:rPr>
          <w:bCs/>
          <w:lang w:val="uk-UA"/>
        </w:rPr>
        <w:t xml:space="preserve">. </w:t>
      </w:r>
      <w:r w:rsidR="00E003D8" w:rsidRPr="000A38E5">
        <w:rPr>
          <w:lang w:val="uk-UA"/>
        </w:rPr>
        <w:t xml:space="preserve">Для цілей цих Керівних </w:t>
      </w:r>
      <w:r w:rsidR="00323208" w:rsidRPr="000A38E5">
        <w:rPr>
          <w:lang w:val="uk-UA"/>
        </w:rPr>
        <w:t>п</w:t>
      </w:r>
      <w:r w:rsidR="00E003D8" w:rsidRPr="000A38E5">
        <w:rPr>
          <w:lang w:val="uk-UA"/>
        </w:rPr>
        <w:t>ринципів</w:t>
      </w:r>
      <w:r w:rsidR="00D83351" w:rsidRPr="00E93710">
        <w:rPr>
          <w:lang w:val="uk-UA"/>
        </w:rPr>
        <w:t xml:space="preserve">, </w:t>
      </w:r>
      <w:r w:rsidR="00E003D8" w:rsidRPr="000A38E5">
        <w:rPr>
          <w:lang w:val="uk-UA"/>
        </w:rPr>
        <w:t>термін «зібрання» означає навмисну та тимчасову присутність</w:t>
      </w:r>
      <w:r w:rsidR="00D83351" w:rsidRPr="00E93710">
        <w:rPr>
          <w:lang w:val="uk-UA"/>
        </w:rPr>
        <w:t xml:space="preserve"> </w:t>
      </w:r>
      <w:r w:rsidR="00E003D8" w:rsidRPr="000A38E5">
        <w:rPr>
          <w:lang w:val="uk-UA"/>
        </w:rPr>
        <w:t>у громадському місці групи осіб з метою висловлення спільних інтересів</w:t>
      </w:r>
      <w:r w:rsidR="00D83351" w:rsidRPr="00E93710">
        <w:rPr>
          <w:lang w:val="uk-UA"/>
        </w:rPr>
        <w:t xml:space="preserve">. </w:t>
      </w:r>
      <w:r w:rsidR="00E003D8" w:rsidRPr="000A38E5">
        <w:rPr>
          <w:lang w:val="uk-UA"/>
        </w:rPr>
        <w:t>Це висловлення означає, що хоча окремі категорії зібрань</w:t>
      </w:r>
      <w:r w:rsidR="00D83351" w:rsidRPr="00E93710">
        <w:rPr>
          <w:lang w:val="uk-UA"/>
        </w:rPr>
        <w:t xml:space="preserve"> </w:t>
      </w:r>
      <w:r w:rsidR="007A537E" w:rsidRPr="000A38E5">
        <w:rPr>
          <w:lang w:val="uk-UA"/>
        </w:rPr>
        <w:t>можуть потребувати особливих видів регулювання</w:t>
      </w:r>
      <w:r w:rsidR="00D83351" w:rsidRPr="00E93710">
        <w:rPr>
          <w:lang w:val="uk-UA"/>
        </w:rPr>
        <w:t xml:space="preserve">, </w:t>
      </w:r>
      <w:r w:rsidR="007A537E" w:rsidRPr="000A38E5">
        <w:rPr>
          <w:lang w:val="uk-UA"/>
        </w:rPr>
        <w:t>захисту заслуговують усі види мирних зібрань</w:t>
      </w:r>
      <w:r w:rsidR="00D83351" w:rsidRPr="00E93710">
        <w:rPr>
          <w:lang w:val="uk-UA"/>
        </w:rPr>
        <w:t xml:space="preserve"> – </w:t>
      </w:r>
      <w:r w:rsidR="007A537E" w:rsidRPr="000A38E5">
        <w:rPr>
          <w:lang w:val="uk-UA"/>
        </w:rPr>
        <w:t>як статичні так і рухомі</w:t>
      </w:r>
      <w:r w:rsidR="00B10D60" w:rsidRPr="000A38E5">
        <w:rPr>
          <w:lang w:val="uk-UA"/>
        </w:rPr>
        <w:t>,</w:t>
      </w:r>
      <w:r w:rsidR="00D83351" w:rsidRPr="00E93710">
        <w:rPr>
          <w:lang w:val="uk-UA"/>
        </w:rPr>
        <w:t xml:space="preserve"> </w:t>
      </w:r>
      <w:r w:rsidR="00B10D60" w:rsidRPr="000A38E5">
        <w:rPr>
          <w:lang w:val="uk-UA"/>
        </w:rPr>
        <w:t>а також ті, які проходять на території державних</w:t>
      </w:r>
      <w:r w:rsidR="00D83351" w:rsidRPr="00E93710">
        <w:rPr>
          <w:lang w:val="uk-UA"/>
        </w:rPr>
        <w:t xml:space="preserve"> </w:t>
      </w:r>
      <w:r w:rsidR="00B10D60" w:rsidRPr="000A38E5">
        <w:rPr>
          <w:lang w:val="uk-UA"/>
        </w:rPr>
        <w:t>або приватних об’єктів, або у приміщеннях</w:t>
      </w:r>
      <w:r w:rsidR="00D83351" w:rsidRPr="00E93710">
        <w:rPr>
          <w:lang w:val="uk-UA"/>
        </w:rPr>
        <w:t>.</w:t>
      </w:r>
    </w:p>
    <w:p w:rsidR="00D83351" w:rsidRPr="00E93710" w:rsidRDefault="00D83351" w:rsidP="00852217">
      <w:pPr>
        <w:pStyle w:val="ECHRParaQuote"/>
        <w:rPr>
          <w:lang w:val="uk-UA"/>
        </w:rPr>
      </w:pPr>
      <w:r w:rsidRPr="00E93710">
        <w:rPr>
          <w:lang w:val="uk-UA"/>
        </w:rPr>
        <w:t>...</w:t>
      </w:r>
      <w:r w:rsidR="007C6EE5" w:rsidRPr="00E93710">
        <w:rPr>
          <w:lang w:val="uk-UA"/>
        </w:rPr>
        <w:t>”</w:t>
      </w:r>
    </w:p>
    <w:p w:rsidR="00D83351" w:rsidRPr="000A38E5" w:rsidRDefault="00D83351" w:rsidP="00852217">
      <w:pPr>
        <w:pStyle w:val="ECHRTitleCentre3"/>
        <w:rPr>
          <w:lang w:val="uk-UA"/>
        </w:rPr>
      </w:pPr>
      <w:r w:rsidRPr="00E93710">
        <w:rPr>
          <w:lang w:val="uk-UA"/>
        </w:rPr>
        <w:t xml:space="preserve">5. </w:t>
      </w:r>
      <w:r w:rsidR="00B10D60" w:rsidRPr="000A38E5">
        <w:rPr>
          <w:lang w:val="uk-UA"/>
        </w:rPr>
        <w:t>Застосування законодавства про свободу мирних зібрань</w:t>
      </w:r>
    </w:p>
    <w:p w:rsidR="00D83351" w:rsidRPr="000A38E5" w:rsidRDefault="007C6EE5" w:rsidP="00852217">
      <w:pPr>
        <w:pStyle w:val="ECHRParaQuote"/>
        <w:rPr>
          <w:lang w:val="uk-UA"/>
        </w:rPr>
      </w:pPr>
      <w:r w:rsidRPr="00E93710">
        <w:rPr>
          <w:lang w:val="uk-UA"/>
        </w:rPr>
        <w:t>“</w:t>
      </w:r>
      <w:r w:rsidR="00121B3C" w:rsidRPr="00E93710">
        <w:rPr>
          <w:lang w:val="uk-UA"/>
        </w:rPr>
        <w:t>5.3</w:t>
      </w:r>
      <w:r w:rsidR="00334477" w:rsidRPr="000A38E5">
        <w:rPr>
          <w:lang w:val="uk-UA"/>
        </w:rPr>
        <w:t xml:space="preserve"> </w:t>
      </w:r>
      <w:r w:rsidR="00B10D60" w:rsidRPr="000A38E5">
        <w:rPr>
          <w:lang w:val="uk-UA"/>
        </w:rPr>
        <w:t>Підхід до охорони порядку протягом зібрань з позицій прав людини</w:t>
      </w:r>
    </w:p>
    <w:p w:rsidR="00D83351" w:rsidRPr="000A38E5" w:rsidRDefault="00BB3046" w:rsidP="00852217">
      <w:pPr>
        <w:pStyle w:val="ECHRParaQuote"/>
        <w:rPr>
          <w:lang w:val="uk-UA"/>
        </w:rPr>
      </w:pPr>
      <w:r w:rsidRPr="000A38E5">
        <w:rPr>
          <w:lang w:val="uk-UA"/>
        </w:rPr>
        <w:t>Дії з охорони порядку при проведенні зібрань</w:t>
      </w:r>
      <w:r w:rsidR="00D83351" w:rsidRPr="000A38E5">
        <w:rPr>
          <w:lang w:val="uk-UA"/>
        </w:rPr>
        <w:t xml:space="preserve"> </w:t>
      </w:r>
      <w:r w:rsidRPr="000A38E5">
        <w:rPr>
          <w:lang w:val="uk-UA"/>
        </w:rPr>
        <w:t>повинні відповідати принципам прав людини</w:t>
      </w:r>
      <w:r w:rsidR="00D83351" w:rsidRPr="000A38E5">
        <w:rPr>
          <w:lang w:val="uk-UA"/>
        </w:rPr>
        <w:t xml:space="preserve"> </w:t>
      </w:r>
      <w:r w:rsidRPr="000A38E5">
        <w:rPr>
          <w:lang w:val="uk-UA"/>
        </w:rPr>
        <w:t>– законності, необхідності, пропорційності</w:t>
      </w:r>
      <w:r w:rsidR="00D83351" w:rsidRPr="000A38E5">
        <w:rPr>
          <w:lang w:val="uk-UA"/>
        </w:rPr>
        <w:t xml:space="preserve"> </w:t>
      </w:r>
      <w:r w:rsidRPr="000A38E5">
        <w:rPr>
          <w:lang w:val="uk-UA"/>
        </w:rPr>
        <w:t>та недискримінації –</w:t>
      </w:r>
      <w:r w:rsidR="00D83351" w:rsidRPr="000A38E5">
        <w:rPr>
          <w:lang w:val="uk-UA"/>
        </w:rPr>
        <w:t xml:space="preserve"> </w:t>
      </w:r>
      <w:r w:rsidRPr="000A38E5">
        <w:rPr>
          <w:lang w:val="uk-UA"/>
        </w:rPr>
        <w:t>і в ході цих дій повинні виконуватися певні норми в галузі прав людини</w:t>
      </w:r>
      <w:r w:rsidR="00D83351" w:rsidRPr="000A38E5">
        <w:rPr>
          <w:lang w:val="uk-UA"/>
        </w:rPr>
        <w:t xml:space="preserve">. </w:t>
      </w:r>
      <w:r w:rsidR="00615E92" w:rsidRPr="000A38E5">
        <w:rPr>
          <w:lang w:val="uk-UA"/>
        </w:rPr>
        <w:t>Зокрема, держава має позитивний обов’язок</w:t>
      </w:r>
      <w:r w:rsidR="00D83351" w:rsidRPr="000A38E5">
        <w:rPr>
          <w:lang w:val="uk-UA"/>
        </w:rPr>
        <w:t xml:space="preserve"> </w:t>
      </w:r>
      <w:r w:rsidR="00615E92" w:rsidRPr="000A38E5">
        <w:rPr>
          <w:lang w:val="uk-UA"/>
        </w:rPr>
        <w:t>приймати необхідні розумні заходи, які дозволяють проводити мирні зібрання</w:t>
      </w:r>
      <w:r w:rsidR="00D83351" w:rsidRPr="000A38E5">
        <w:rPr>
          <w:lang w:val="uk-UA"/>
        </w:rPr>
        <w:t xml:space="preserve"> </w:t>
      </w:r>
      <w:r w:rsidR="00615E92" w:rsidRPr="000A38E5">
        <w:rPr>
          <w:lang w:val="uk-UA"/>
        </w:rPr>
        <w:t>без занепокоєння, що їх учасники можуть зазнати фізичного насилля</w:t>
      </w:r>
      <w:r w:rsidR="00D83351" w:rsidRPr="000A38E5">
        <w:rPr>
          <w:lang w:val="uk-UA"/>
        </w:rPr>
        <w:t xml:space="preserve">. </w:t>
      </w:r>
      <w:r w:rsidR="00615E92" w:rsidRPr="000A38E5">
        <w:rPr>
          <w:lang w:val="uk-UA"/>
        </w:rPr>
        <w:t>Правоохоронні органи також повинні захищати учасників мирного зібрання</w:t>
      </w:r>
      <w:r w:rsidR="00D83351" w:rsidRPr="000A38E5">
        <w:rPr>
          <w:lang w:val="uk-UA"/>
        </w:rPr>
        <w:t xml:space="preserve"> </w:t>
      </w:r>
      <w:r w:rsidR="00615E92" w:rsidRPr="000A38E5">
        <w:rPr>
          <w:lang w:val="uk-UA"/>
        </w:rPr>
        <w:t>від будь-якої особи або групи осіб</w:t>
      </w:r>
      <w:r w:rsidR="00D83351" w:rsidRPr="000A38E5">
        <w:rPr>
          <w:lang w:val="uk-UA"/>
        </w:rPr>
        <w:t xml:space="preserve"> (</w:t>
      </w:r>
      <w:r w:rsidR="00615E92" w:rsidRPr="000A38E5">
        <w:rPr>
          <w:lang w:val="uk-UA"/>
        </w:rPr>
        <w:t>у тому числі агентів-провокаторів та учасників зібрання, яке не погоджується з цим зібранням</w:t>
      </w:r>
      <w:r w:rsidR="00D83351" w:rsidRPr="000A38E5">
        <w:rPr>
          <w:lang w:val="uk-UA"/>
        </w:rPr>
        <w:t>)</w:t>
      </w:r>
      <w:r w:rsidR="00615E92" w:rsidRPr="000A38E5">
        <w:rPr>
          <w:lang w:val="uk-UA"/>
        </w:rPr>
        <w:t>,</w:t>
      </w:r>
      <w:r w:rsidR="00D83351" w:rsidRPr="000A38E5">
        <w:rPr>
          <w:lang w:val="uk-UA"/>
        </w:rPr>
        <w:t xml:space="preserve"> </w:t>
      </w:r>
      <w:r w:rsidR="00615E92" w:rsidRPr="000A38E5">
        <w:rPr>
          <w:lang w:val="uk-UA"/>
        </w:rPr>
        <w:t xml:space="preserve">які намагаються будь-яким засобом зірвати це зібрання або перешкоджати його </w:t>
      </w:r>
      <w:r w:rsidR="00D475FC" w:rsidRPr="000A38E5">
        <w:rPr>
          <w:lang w:val="uk-UA"/>
        </w:rPr>
        <w:t>проведенню. ”</w:t>
      </w:r>
    </w:p>
    <w:p w:rsidR="00D83351" w:rsidRPr="000A38E5" w:rsidRDefault="00D475FC" w:rsidP="00852217">
      <w:pPr>
        <w:pStyle w:val="ECHRTitleCentre3"/>
        <w:rPr>
          <w:bCs/>
          <w:lang w:val="uk-UA"/>
        </w:rPr>
      </w:pPr>
      <w:r w:rsidRPr="000A38E5">
        <w:rPr>
          <w:lang w:val="uk-UA"/>
        </w:rPr>
        <w:t>Розділ</w:t>
      </w:r>
      <w:r w:rsidR="00D83351" w:rsidRPr="00E93710">
        <w:rPr>
          <w:lang w:val="uk-UA"/>
        </w:rPr>
        <w:t xml:space="preserve"> B – </w:t>
      </w:r>
      <w:r w:rsidRPr="000A38E5">
        <w:rPr>
          <w:lang w:val="uk-UA"/>
        </w:rPr>
        <w:t>Пояснювальна записка</w:t>
      </w:r>
      <w:r w:rsidR="007C6EE5" w:rsidRPr="00E93710">
        <w:rPr>
          <w:lang w:val="uk-UA"/>
        </w:rPr>
        <w:br/>
      </w:r>
      <w:r w:rsidRPr="000A38E5">
        <w:rPr>
          <w:bCs/>
          <w:lang w:val="uk-UA"/>
        </w:rPr>
        <w:t>Головні визначення та категорії зібрань</w:t>
      </w:r>
    </w:p>
    <w:p w:rsidR="00D83351" w:rsidRPr="00E93710" w:rsidRDefault="007C6EE5" w:rsidP="00852217">
      <w:pPr>
        <w:pStyle w:val="ECHRParaQuote"/>
        <w:rPr>
          <w:lang w:val="uk-UA" w:bidi="en-US"/>
        </w:rPr>
      </w:pPr>
      <w:r w:rsidRPr="00E93710">
        <w:rPr>
          <w:iCs/>
          <w:lang w:val="uk-UA" w:bidi="en-US"/>
        </w:rPr>
        <w:t>“</w:t>
      </w:r>
      <w:r w:rsidR="00D83351" w:rsidRPr="00E93710">
        <w:rPr>
          <w:iCs/>
          <w:lang w:val="uk-UA" w:bidi="en-US"/>
        </w:rPr>
        <w:t>19.</w:t>
      </w:r>
      <w:r w:rsidR="00334477" w:rsidRPr="000A38E5">
        <w:rPr>
          <w:i/>
          <w:iCs/>
          <w:lang w:val="uk-UA" w:bidi="en-US"/>
        </w:rPr>
        <w:t xml:space="preserve"> </w:t>
      </w:r>
      <w:r w:rsidR="00D475FC" w:rsidRPr="000A38E5">
        <w:rPr>
          <w:lang w:val="uk-UA" w:bidi="en-US"/>
        </w:rPr>
        <w:t xml:space="preserve">Ці </w:t>
      </w:r>
      <w:r w:rsidR="00323208" w:rsidRPr="000A38E5">
        <w:rPr>
          <w:lang w:val="uk-UA" w:bidi="en-US"/>
        </w:rPr>
        <w:t>К</w:t>
      </w:r>
      <w:r w:rsidR="00D475FC" w:rsidRPr="000A38E5">
        <w:rPr>
          <w:lang w:val="uk-UA" w:bidi="en-US"/>
        </w:rPr>
        <w:t xml:space="preserve">ерівні </w:t>
      </w:r>
      <w:r w:rsidR="00323208" w:rsidRPr="000A38E5">
        <w:rPr>
          <w:lang w:val="uk-UA" w:bidi="en-US"/>
        </w:rPr>
        <w:t>п</w:t>
      </w:r>
      <w:r w:rsidR="00D475FC" w:rsidRPr="000A38E5">
        <w:rPr>
          <w:lang w:val="uk-UA" w:bidi="en-US"/>
        </w:rPr>
        <w:t xml:space="preserve">ринципи застосовуються до зібрань, які проводяться у громадських місцях </w:t>
      </w:r>
      <w:r w:rsidR="00D83351" w:rsidRPr="00E93710">
        <w:rPr>
          <w:lang w:val="uk-UA" w:bidi="en-US"/>
        </w:rPr>
        <w:t>(</w:t>
      </w:r>
      <w:r w:rsidR="00D475FC" w:rsidRPr="000A38E5">
        <w:rPr>
          <w:lang w:val="uk-UA" w:bidi="en-US"/>
        </w:rPr>
        <w:t>у тому числі, зокрема, громадських парках</w:t>
      </w:r>
      <w:r w:rsidR="00D83351" w:rsidRPr="00E93710">
        <w:rPr>
          <w:lang w:val="uk-UA" w:bidi="en-US"/>
        </w:rPr>
        <w:t xml:space="preserve">, </w:t>
      </w:r>
      <w:r w:rsidR="00D475FC" w:rsidRPr="000A38E5">
        <w:rPr>
          <w:lang w:val="uk-UA" w:bidi="en-US"/>
        </w:rPr>
        <w:t>площах, вулицях, дорогах</w:t>
      </w:r>
      <w:r w:rsidR="00D83351" w:rsidRPr="00E93710">
        <w:rPr>
          <w:lang w:val="uk-UA" w:bidi="en-US"/>
        </w:rPr>
        <w:t xml:space="preserve">, </w:t>
      </w:r>
      <w:r w:rsidR="00D475FC" w:rsidRPr="000A38E5">
        <w:rPr>
          <w:lang w:val="uk-UA" w:bidi="en-US"/>
        </w:rPr>
        <w:t>проспектах, тротуарах та пішохідних доріжках</w:t>
      </w:r>
      <w:r w:rsidR="00D83351" w:rsidRPr="00E93710">
        <w:rPr>
          <w:lang w:val="uk-UA" w:bidi="en-US"/>
        </w:rPr>
        <w:t>)</w:t>
      </w:r>
      <w:r w:rsidR="00D475FC" w:rsidRPr="00E93710">
        <w:rPr>
          <w:lang w:val="uk-UA" w:bidi="en-US"/>
        </w:rPr>
        <w:t xml:space="preserve">, </w:t>
      </w:r>
      <w:r w:rsidR="00D475FC" w:rsidRPr="000A38E5">
        <w:rPr>
          <w:lang w:val="uk-UA" w:bidi="en-US"/>
        </w:rPr>
        <w:t>рівне право на користування якими є у кожної людини</w:t>
      </w:r>
      <w:r w:rsidR="00D83351" w:rsidRPr="00E93710">
        <w:rPr>
          <w:lang w:val="uk-UA" w:bidi="en-US"/>
        </w:rPr>
        <w:t xml:space="preserve">. </w:t>
      </w:r>
      <w:r w:rsidR="00D475FC" w:rsidRPr="000A38E5">
        <w:rPr>
          <w:lang w:val="uk-UA" w:bidi="en-US"/>
        </w:rPr>
        <w:t>Зокрема, держава завжди повинна сприяти проведенню</w:t>
      </w:r>
      <w:r w:rsidR="00D83351" w:rsidRPr="00E93710">
        <w:rPr>
          <w:lang w:val="uk-UA" w:bidi="en-US"/>
        </w:rPr>
        <w:t xml:space="preserve"> </w:t>
      </w:r>
      <w:r w:rsidR="00D475FC" w:rsidRPr="000A38E5">
        <w:rPr>
          <w:lang w:val="uk-UA" w:bidi="en-US"/>
        </w:rPr>
        <w:t>громадських зібрань у бажаному для їх організаторів місці</w:t>
      </w:r>
      <w:r w:rsidR="00D83351" w:rsidRPr="00E93710">
        <w:rPr>
          <w:lang w:val="uk-UA" w:bidi="en-US"/>
        </w:rPr>
        <w:t xml:space="preserve">, </w:t>
      </w:r>
      <w:r w:rsidR="00D475FC" w:rsidRPr="000A38E5">
        <w:rPr>
          <w:lang w:val="uk-UA" w:bidi="en-US"/>
        </w:rPr>
        <w:t>якщо це громадське місце є зазвичай доступним для людей</w:t>
      </w:r>
      <w:r w:rsidR="00D83351" w:rsidRPr="00E93710">
        <w:rPr>
          <w:lang w:val="uk-UA" w:bidi="en-US"/>
        </w:rPr>
        <w:t>...</w:t>
      </w:r>
    </w:p>
    <w:p w:rsidR="00D83351" w:rsidRPr="00E93710" w:rsidRDefault="00D83351" w:rsidP="00852217">
      <w:pPr>
        <w:pStyle w:val="ECHRParaQuote"/>
        <w:rPr>
          <w:lang w:val="uk-UA" w:bidi="en-US"/>
        </w:rPr>
      </w:pPr>
      <w:r w:rsidRPr="00E93710">
        <w:rPr>
          <w:lang w:val="uk-UA" w:bidi="en-US"/>
        </w:rPr>
        <w:t>...</w:t>
      </w:r>
      <w:r w:rsidR="007C6EE5" w:rsidRPr="00E93710">
        <w:rPr>
          <w:lang w:val="uk-UA" w:bidi="en-US"/>
        </w:rPr>
        <w:t>”</w:t>
      </w:r>
    </w:p>
    <w:p w:rsidR="00D83351" w:rsidRPr="000A38E5" w:rsidRDefault="00852217" w:rsidP="00852217">
      <w:pPr>
        <w:pStyle w:val="ECHRTitleCentre3"/>
        <w:rPr>
          <w:lang w:val="uk-UA"/>
        </w:rPr>
      </w:pPr>
      <w:proofErr w:type="spellStart"/>
      <w:r w:rsidRPr="00E93710">
        <w:rPr>
          <w:lang w:val="uk-UA"/>
        </w:rPr>
        <w:t>‘</w:t>
      </w:r>
      <w:r w:rsidR="00D475FC" w:rsidRPr="000A38E5">
        <w:rPr>
          <w:lang w:val="uk-UA"/>
        </w:rPr>
        <w:t>Мирні</w:t>
      </w:r>
      <w:r w:rsidRPr="00E93710">
        <w:rPr>
          <w:lang w:val="uk-UA"/>
        </w:rPr>
        <w:t>’</w:t>
      </w:r>
      <w:proofErr w:type="spellEnd"/>
      <w:r w:rsidR="00D83351" w:rsidRPr="00E93710">
        <w:rPr>
          <w:lang w:val="uk-UA"/>
        </w:rPr>
        <w:t xml:space="preserve"> </w:t>
      </w:r>
      <w:r w:rsidR="00D475FC" w:rsidRPr="000A38E5">
        <w:rPr>
          <w:lang w:val="uk-UA"/>
        </w:rPr>
        <w:t>та</w:t>
      </w:r>
      <w:r w:rsidR="00D83351" w:rsidRPr="00E93710">
        <w:rPr>
          <w:lang w:val="uk-UA"/>
        </w:rPr>
        <w:t xml:space="preserve"> </w:t>
      </w:r>
      <w:proofErr w:type="spellStart"/>
      <w:r w:rsidRPr="00E93710">
        <w:rPr>
          <w:lang w:val="uk-UA"/>
        </w:rPr>
        <w:t>‘</w:t>
      </w:r>
      <w:r w:rsidR="00D475FC" w:rsidRPr="000A38E5">
        <w:rPr>
          <w:lang w:val="uk-UA"/>
        </w:rPr>
        <w:t>немирні</w:t>
      </w:r>
      <w:r w:rsidRPr="00E93710">
        <w:rPr>
          <w:lang w:val="uk-UA"/>
        </w:rPr>
        <w:t>’</w:t>
      </w:r>
      <w:proofErr w:type="spellEnd"/>
      <w:r w:rsidR="00D83351" w:rsidRPr="00E93710">
        <w:rPr>
          <w:lang w:val="uk-UA"/>
        </w:rPr>
        <w:t xml:space="preserve"> </w:t>
      </w:r>
      <w:r w:rsidR="00D475FC" w:rsidRPr="000A38E5">
        <w:rPr>
          <w:lang w:val="uk-UA"/>
        </w:rPr>
        <w:t>зібрання</w:t>
      </w:r>
    </w:p>
    <w:p w:rsidR="00D83351" w:rsidRPr="00E93710" w:rsidRDefault="007C6EE5" w:rsidP="00852217">
      <w:pPr>
        <w:pStyle w:val="ECHRParaQuote"/>
        <w:rPr>
          <w:lang w:val="uk-UA"/>
        </w:rPr>
      </w:pPr>
      <w:r w:rsidRPr="00E93710">
        <w:rPr>
          <w:lang w:val="uk-UA"/>
        </w:rPr>
        <w:t>“</w:t>
      </w:r>
      <w:r w:rsidR="00121B3C" w:rsidRPr="00E93710">
        <w:rPr>
          <w:lang w:val="uk-UA"/>
        </w:rPr>
        <w:t>25.</w:t>
      </w:r>
      <w:r w:rsidR="00334477" w:rsidRPr="000A38E5">
        <w:rPr>
          <w:lang w:val="uk-UA"/>
        </w:rPr>
        <w:t xml:space="preserve"> </w:t>
      </w:r>
      <w:r w:rsidR="008C0914" w:rsidRPr="000A38E5">
        <w:rPr>
          <w:lang w:val="uk-UA"/>
        </w:rPr>
        <w:t>Мирні зібрання. Лише мирні зібрання захищені в рамках права на свободу зібрання</w:t>
      </w:r>
      <w:r w:rsidR="00D83351" w:rsidRPr="00E93710">
        <w:rPr>
          <w:lang w:val="uk-UA"/>
        </w:rPr>
        <w:t>...</w:t>
      </w:r>
    </w:p>
    <w:p w:rsidR="00D83351" w:rsidRPr="00E93710" w:rsidRDefault="00121B3C" w:rsidP="00852217">
      <w:pPr>
        <w:pStyle w:val="ECHRParaQuote"/>
        <w:rPr>
          <w:lang w:val="uk-UA"/>
        </w:rPr>
      </w:pPr>
      <w:r w:rsidRPr="00E93710">
        <w:rPr>
          <w:lang w:val="uk-UA"/>
        </w:rPr>
        <w:t>26.</w:t>
      </w:r>
      <w:r w:rsidR="00334477" w:rsidRPr="000A38E5">
        <w:rPr>
          <w:lang w:val="uk-UA"/>
        </w:rPr>
        <w:t xml:space="preserve"> </w:t>
      </w:r>
      <w:r w:rsidR="008C0914" w:rsidRPr="000A38E5">
        <w:rPr>
          <w:lang w:val="uk-UA"/>
        </w:rPr>
        <w:t>Термін «мирне» слід поширити і на поведінку,</w:t>
      </w:r>
      <w:r w:rsidR="00D83351" w:rsidRPr="00E93710">
        <w:rPr>
          <w:lang w:val="uk-UA"/>
        </w:rPr>
        <w:t xml:space="preserve"> </w:t>
      </w:r>
      <w:r w:rsidR="008C0914" w:rsidRPr="000A38E5">
        <w:rPr>
          <w:lang w:val="uk-UA"/>
        </w:rPr>
        <w:t>яка може нервувати або ображати осіб</w:t>
      </w:r>
      <w:r w:rsidR="00184BF6" w:rsidRPr="000A38E5">
        <w:rPr>
          <w:lang w:val="uk-UA"/>
        </w:rPr>
        <w:t>,</w:t>
      </w:r>
      <w:r w:rsidR="00D83351" w:rsidRPr="00E93710">
        <w:rPr>
          <w:lang w:val="uk-UA"/>
        </w:rPr>
        <w:t xml:space="preserve"> </w:t>
      </w:r>
      <w:r w:rsidR="00184BF6" w:rsidRPr="000A38E5">
        <w:rPr>
          <w:lang w:val="uk-UA"/>
        </w:rPr>
        <w:t>які не погоджуються з ідеями або заявами, підтриманими цим зібранням</w:t>
      </w:r>
      <w:r w:rsidR="00D83351" w:rsidRPr="00E93710">
        <w:rPr>
          <w:lang w:val="uk-UA"/>
        </w:rPr>
        <w:t xml:space="preserve">, </w:t>
      </w:r>
      <w:r w:rsidR="00184BF6" w:rsidRPr="000A38E5">
        <w:rPr>
          <w:lang w:val="uk-UA"/>
        </w:rPr>
        <w:t>і навіть на поведінку, яка спрямована на навмисне перешкоджання або створення перешкод діяльності третіх осіб</w:t>
      </w:r>
      <w:r w:rsidR="00D83351" w:rsidRPr="00E93710">
        <w:rPr>
          <w:lang w:val="uk-UA"/>
        </w:rPr>
        <w:t xml:space="preserve">. </w:t>
      </w:r>
      <w:r w:rsidR="00184BF6" w:rsidRPr="000A38E5">
        <w:rPr>
          <w:lang w:val="uk-UA"/>
        </w:rPr>
        <w:t>Наприклад, зібрання, пов’язане виключно</w:t>
      </w:r>
      <w:r w:rsidR="00D83351" w:rsidRPr="00E93710">
        <w:rPr>
          <w:lang w:val="uk-UA"/>
        </w:rPr>
        <w:t xml:space="preserve"> </w:t>
      </w:r>
      <w:r w:rsidR="00184BF6" w:rsidRPr="000A38E5">
        <w:rPr>
          <w:lang w:val="uk-UA"/>
        </w:rPr>
        <w:t>з пасивним опором, слід вважати «мирним»</w:t>
      </w:r>
      <w:r w:rsidR="00D83351" w:rsidRPr="00E93710">
        <w:rPr>
          <w:lang w:val="uk-UA"/>
        </w:rPr>
        <w:t>...</w:t>
      </w:r>
    </w:p>
    <w:p w:rsidR="00D83351" w:rsidRPr="00E93710" w:rsidRDefault="00D83351" w:rsidP="00852217">
      <w:pPr>
        <w:pStyle w:val="ECHRParaQuote"/>
        <w:rPr>
          <w:lang w:val="uk-UA"/>
        </w:rPr>
      </w:pPr>
      <w:r w:rsidRPr="00E93710">
        <w:rPr>
          <w:lang w:val="uk-UA"/>
        </w:rPr>
        <w:t>...</w:t>
      </w:r>
    </w:p>
    <w:p w:rsidR="00D83351" w:rsidRPr="00E93710" w:rsidRDefault="00121B3C" w:rsidP="00852217">
      <w:pPr>
        <w:pStyle w:val="ECHRParaQuote"/>
        <w:rPr>
          <w:lang w:val="uk-UA"/>
        </w:rPr>
      </w:pPr>
      <w:r w:rsidRPr="00E93710">
        <w:rPr>
          <w:lang w:val="uk-UA"/>
        </w:rPr>
        <w:t>28.</w:t>
      </w:r>
      <w:r w:rsidR="00334477" w:rsidRPr="000A38E5">
        <w:rPr>
          <w:lang w:val="uk-UA"/>
        </w:rPr>
        <w:t xml:space="preserve"> </w:t>
      </w:r>
      <w:r w:rsidR="003C6C53" w:rsidRPr="000A38E5">
        <w:rPr>
          <w:lang w:val="uk-UA"/>
        </w:rPr>
        <w:t>Якщо зібрання задовольняє вказаному головному критерію мирного характеру зібрань</w:t>
      </w:r>
      <w:r w:rsidR="00D83351" w:rsidRPr="00E93710">
        <w:rPr>
          <w:lang w:val="uk-UA"/>
        </w:rPr>
        <w:t xml:space="preserve">, </w:t>
      </w:r>
      <w:r w:rsidR="003C6C53" w:rsidRPr="000A38E5">
        <w:rPr>
          <w:lang w:val="uk-UA"/>
        </w:rPr>
        <w:t>це приводить до виникнення позитивних обов’язків державних органів влади, пов’язаних з правом на свободу мирних зібрань</w:t>
      </w:r>
      <w:r w:rsidR="00D83351" w:rsidRPr="00E93710">
        <w:rPr>
          <w:lang w:val="uk-UA"/>
        </w:rPr>
        <w:t xml:space="preserve"> ... </w:t>
      </w:r>
      <w:r w:rsidR="003C6C53" w:rsidRPr="000A38E5">
        <w:rPr>
          <w:lang w:val="uk-UA"/>
        </w:rPr>
        <w:t>Слід зазначити, що зібрання, які пройшли цю початкову перевірку</w:t>
      </w:r>
      <w:r w:rsidR="00D83351" w:rsidRPr="00E93710">
        <w:rPr>
          <w:lang w:val="uk-UA"/>
        </w:rPr>
        <w:t xml:space="preserve"> (</w:t>
      </w:r>
      <w:r w:rsidR="003C6C53" w:rsidRPr="000A38E5">
        <w:rPr>
          <w:lang w:val="uk-UA"/>
        </w:rPr>
        <w:t>і тому, за відсутністю доказів зворотного, заслуговують захисту</w:t>
      </w:r>
      <w:r w:rsidR="00D83351" w:rsidRPr="00E93710">
        <w:rPr>
          <w:lang w:val="uk-UA"/>
        </w:rPr>
        <w:t xml:space="preserve">) </w:t>
      </w:r>
      <w:r w:rsidR="003C6C53" w:rsidRPr="000A38E5">
        <w:rPr>
          <w:lang w:val="uk-UA"/>
        </w:rPr>
        <w:t>усе ще можуть бути законним чином обмежені на основі положень</w:t>
      </w:r>
      <w:r w:rsidR="00D83351" w:rsidRPr="00E93710">
        <w:rPr>
          <w:lang w:val="uk-UA"/>
        </w:rPr>
        <w:t xml:space="preserve"> </w:t>
      </w:r>
      <w:r w:rsidR="003C6C53" w:rsidRPr="000A38E5">
        <w:rPr>
          <w:lang w:val="uk-UA"/>
        </w:rPr>
        <w:t>про охорону громадського порядку або на інших законних підставах</w:t>
      </w:r>
      <w:r w:rsidR="00D83351" w:rsidRPr="00E93710">
        <w:rPr>
          <w:lang w:val="uk-UA"/>
        </w:rPr>
        <w:t xml:space="preserve"> ...</w:t>
      </w:r>
    </w:p>
    <w:p w:rsidR="00D83351" w:rsidRPr="00E93710" w:rsidRDefault="00D83351" w:rsidP="00852217">
      <w:pPr>
        <w:pStyle w:val="ECHRParaQuote"/>
        <w:rPr>
          <w:lang w:val="uk-UA"/>
        </w:rPr>
      </w:pPr>
      <w:r w:rsidRPr="00E93710">
        <w:rPr>
          <w:lang w:val="uk-UA"/>
        </w:rPr>
        <w:t>...</w:t>
      </w:r>
      <w:r w:rsidR="007C6EE5" w:rsidRPr="00E93710">
        <w:rPr>
          <w:lang w:val="uk-UA"/>
        </w:rPr>
        <w:t>”</w:t>
      </w:r>
    </w:p>
    <w:p w:rsidR="00D83351" w:rsidRPr="000A38E5" w:rsidRDefault="00001F5D" w:rsidP="00852217">
      <w:pPr>
        <w:pStyle w:val="ECHRTitleCentre3"/>
        <w:rPr>
          <w:lang w:val="uk-UA"/>
        </w:rPr>
      </w:pPr>
      <w:r w:rsidRPr="000A38E5">
        <w:rPr>
          <w:lang w:val="uk-UA"/>
        </w:rPr>
        <w:lastRenderedPageBreak/>
        <w:t>Охорона порядку протягом зібрань</w:t>
      </w:r>
    </w:p>
    <w:p w:rsidR="00D83351" w:rsidRPr="00E93710" w:rsidRDefault="007C6EE5" w:rsidP="00852217">
      <w:pPr>
        <w:pStyle w:val="ECHRParaQuote"/>
        <w:rPr>
          <w:lang w:val="uk-UA"/>
        </w:rPr>
      </w:pPr>
      <w:r w:rsidRPr="00E93710">
        <w:rPr>
          <w:lang w:val="uk-UA"/>
        </w:rPr>
        <w:t>“</w:t>
      </w:r>
      <w:r w:rsidR="00D83351" w:rsidRPr="00E93710">
        <w:rPr>
          <w:lang w:val="uk-UA"/>
        </w:rPr>
        <w:t>...</w:t>
      </w:r>
    </w:p>
    <w:p w:rsidR="00D83351" w:rsidRPr="00E93710" w:rsidRDefault="00121B3C" w:rsidP="00852217">
      <w:pPr>
        <w:pStyle w:val="ECHRParaQuote"/>
        <w:rPr>
          <w:lang w:val="uk-UA"/>
        </w:rPr>
      </w:pPr>
      <w:r w:rsidRPr="00E93710">
        <w:rPr>
          <w:lang w:val="uk-UA"/>
        </w:rPr>
        <w:t>149.</w:t>
      </w:r>
      <w:r w:rsidR="00334477" w:rsidRPr="000A38E5">
        <w:rPr>
          <w:lang w:val="uk-UA"/>
        </w:rPr>
        <w:t xml:space="preserve"> </w:t>
      </w:r>
      <w:r w:rsidR="00A4170A" w:rsidRPr="000A38E5">
        <w:rPr>
          <w:lang w:val="uk-UA"/>
        </w:rPr>
        <w:t>Правоохоронні органи повинні ефективно взаємодіяти з організаторами зібрань</w:t>
      </w:r>
      <w:r w:rsidR="00D83351" w:rsidRPr="00E93710">
        <w:rPr>
          <w:lang w:val="uk-UA"/>
        </w:rPr>
        <w:t xml:space="preserve">: </w:t>
      </w:r>
      <w:r w:rsidR="00A4170A" w:rsidRPr="000A38E5">
        <w:rPr>
          <w:lang w:val="uk-UA"/>
        </w:rPr>
        <w:t>співробітники правоохоронних органів повинні намагатися зрозумілою мовою</w:t>
      </w:r>
      <w:r w:rsidR="00D83351" w:rsidRPr="00E93710">
        <w:rPr>
          <w:lang w:val="uk-UA"/>
        </w:rPr>
        <w:t xml:space="preserve"> </w:t>
      </w:r>
      <w:r w:rsidR="00A4170A" w:rsidRPr="000A38E5">
        <w:rPr>
          <w:lang w:val="uk-UA"/>
        </w:rPr>
        <w:t>інформувати учасників зібрання для зменшення ризику виникнення конфлікту</w:t>
      </w:r>
      <w:r w:rsidR="00D83351" w:rsidRPr="00E93710">
        <w:rPr>
          <w:lang w:val="uk-UA"/>
        </w:rPr>
        <w:t xml:space="preserve"> ... </w:t>
      </w:r>
      <w:r w:rsidR="00A4170A" w:rsidRPr="000A38E5">
        <w:rPr>
          <w:lang w:val="uk-UA"/>
        </w:rPr>
        <w:t>Крім того, необхідно мати спеціальний контактний центр у правоохоронних органах,</w:t>
      </w:r>
      <w:r w:rsidR="00D83351" w:rsidRPr="00E93710">
        <w:rPr>
          <w:lang w:val="uk-UA"/>
        </w:rPr>
        <w:t xml:space="preserve"> </w:t>
      </w:r>
      <w:r w:rsidR="00A4170A" w:rsidRPr="000A38E5">
        <w:rPr>
          <w:lang w:val="uk-UA"/>
        </w:rPr>
        <w:t>до якого учасники акції можуть звернутися до початку</w:t>
      </w:r>
      <w:r w:rsidR="00D83351" w:rsidRPr="00E93710">
        <w:rPr>
          <w:lang w:val="uk-UA"/>
        </w:rPr>
        <w:t xml:space="preserve"> </w:t>
      </w:r>
      <w:r w:rsidR="00A4170A" w:rsidRPr="000A38E5">
        <w:rPr>
          <w:lang w:val="uk-UA"/>
        </w:rPr>
        <w:t>або в ході зібрання</w:t>
      </w:r>
      <w:r w:rsidR="00D83351" w:rsidRPr="00E93710">
        <w:rPr>
          <w:lang w:val="uk-UA"/>
        </w:rPr>
        <w:t xml:space="preserve">. </w:t>
      </w:r>
      <w:r w:rsidR="00A4170A" w:rsidRPr="000A38E5">
        <w:rPr>
          <w:lang w:val="uk-UA"/>
        </w:rPr>
        <w:t xml:space="preserve">Інформація про такий контактний центр повинна бути </w:t>
      </w:r>
      <w:r w:rsidR="00872085" w:rsidRPr="000A38E5">
        <w:rPr>
          <w:lang w:val="uk-UA"/>
        </w:rPr>
        <w:t>д</w:t>
      </w:r>
      <w:r w:rsidR="00A4170A" w:rsidRPr="000A38E5">
        <w:rPr>
          <w:lang w:val="uk-UA"/>
        </w:rPr>
        <w:t>обре відомою</w:t>
      </w:r>
      <w:r w:rsidR="00D83351" w:rsidRPr="00E93710">
        <w:rPr>
          <w:lang w:val="uk-UA"/>
        </w:rPr>
        <w:t xml:space="preserve"> ...</w:t>
      </w:r>
    </w:p>
    <w:p w:rsidR="00D83351" w:rsidRPr="00E93710" w:rsidRDefault="00D83351" w:rsidP="00852217">
      <w:pPr>
        <w:pStyle w:val="ECHRParaQuote"/>
        <w:rPr>
          <w:lang w:val="uk-UA"/>
        </w:rPr>
      </w:pPr>
      <w:bookmarkStart w:id="79" w:name="OSCE_guidelines_time_to_comply"/>
      <w:r w:rsidRPr="00E93710">
        <w:rPr>
          <w:lang w:val="uk-UA"/>
        </w:rPr>
        <w:t>150</w:t>
      </w:r>
      <w:bookmarkEnd w:id="79"/>
      <w:r w:rsidR="00121B3C" w:rsidRPr="00E93710">
        <w:rPr>
          <w:lang w:val="uk-UA"/>
        </w:rPr>
        <w:t>.</w:t>
      </w:r>
      <w:r w:rsidR="00334477" w:rsidRPr="000A38E5">
        <w:rPr>
          <w:lang w:val="uk-UA"/>
        </w:rPr>
        <w:t xml:space="preserve"> </w:t>
      </w:r>
      <w:r w:rsidR="00F21C2F" w:rsidRPr="000A38E5">
        <w:rPr>
          <w:lang w:val="uk-UA"/>
        </w:rPr>
        <w:t>Операція з охорони порядку повинна проходити без «сюрпризів»</w:t>
      </w:r>
      <w:r w:rsidRPr="00E93710">
        <w:rPr>
          <w:lang w:val="uk-UA"/>
        </w:rPr>
        <w:t xml:space="preserve">: </w:t>
      </w:r>
      <w:r w:rsidR="00F21C2F" w:rsidRPr="000A38E5">
        <w:rPr>
          <w:lang w:val="uk-UA"/>
        </w:rPr>
        <w:t>співробітники правоохоронних органів повинні надати учасникам зібрання час</w:t>
      </w:r>
      <w:r w:rsidRPr="00E93710">
        <w:rPr>
          <w:lang w:val="uk-UA"/>
        </w:rPr>
        <w:t xml:space="preserve"> </w:t>
      </w:r>
      <w:r w:rsidR="00F21C2F" w:rsidRPr="000A38E5">
        <w:rPr>
          <w:lang w:val="uk-UA"/>
        </w:rPr>
        <w:t>для індивідуального реагування на наявну ситуацію</w:t>
      </w:r>
      <w:r w:rsidRPr="00E93710">
        <w:rPr>
          <w:lang w:val="uk-UA"/>
        </w:rPr>
        <w:t xml:space="preserve">, </w:t>
      </w:r>
      <w:r w:rsidR="00F21C2F" w:rsidRPr="000A38E5">
        <w:rPr>
          <w:lang w:val="uk-UA"/>
        </w:rPr>
        <w:t>у тому числі на будь-які попередження та вказівки в їх адресу</w:t>
      </w:r>
      <w:r w:rsidRPr="00E93710">
        <w:rPr>
          <w:lang w:val="uk-UA"/>
        </w:rPr>
        <w:t xml:space="preserve"> ...</w:t>
      </w:r>
    </w:p>
    <w:p w:rsidR="00D83351" w:rsidRPr="00E93710" w:rsidRDefault="00D83351" w:rsidP="00852217">
      <w:pPr>
        <w:pStyle w:val="ECHRParaQuote"/>
        <w:rPr>
          <w:lang w:val="uk-UA"/>
        </w:rPr>
      </w:pPr>
      <w:r w:rsidRPr="00E93710">
        <w:rPr>
          <w:lang w:val="uk-UA"/>
        </w:rPr>
        <w:t>...</w:t>
      </w:r>
    </w:p>
    <w:p w:rsidR="00D83351" w:rsidRPr="00E93710" w:rsidRDefault="00121B3C" w:rsidP="00852217">
      <w:pPr>
        <w:pStyle w:val="ECHRParaQuote"/>
        <w:rPr>
          <w:lang w:val="uk-UA"/>
        </w:rPr>
      </w:pPr>
      <w:r w:rsidRPr="00E93710">
        <w:rPr>
          <w:lang w:val="uk-UA"/>
        </w:rPr>
        <w:t>168.</w:t>
      </w:r>
      <w:r w:rsidR="00334477" w:rsidRPr="000A38E5">
        <w:rPr>
          <w:lang w:val="uk-UA"/>
        </w:rPr>
        <w:t xml:space="preserve"> </w:t>
      </w:r>
      <w:r w:rsidR="006242C6" w:rsidRPr="000A38E5">
        <w:rPr>
          <w:lang w:val="uk-UA"/>
        </w:rPr>
        <w:t>Якщо розгін зібрання видається необхідним</w:t>
      </w:r>
      <w:r w:rsidR="00D83351" w:rsidRPr="00E93710">
        <w:rPr>
          <w:lang w:val="uk-UA"/>
        </w:rPr>
        <w:t xml:space="preserve">, </w:t>
      </w:r>
      <w:r w:rsidR="006242C6" w:rsidRPr="000A38E5">
        <w:rPr>
          <w:lang w:val="uk-UA"/>
        </w:rPr>
        <w:t>будь-яке втручання з боку поліції слід попередити чітким, розбірливим та гучним попередженням в адресу</w:t>
      </w:r>
      <w:r w:rsidR="00D83351" w:rsidRPr="00E93710">
        <w:rPr>
          <w:lang w:val="uk-UA"/>
        </w:rPr>
        <w:t xml:space="preserve"> </w:t>
      </w:r>
      <w:r w:rsidR="006242C6" w:rsidRPr="000A38E5">
        <w:rPr>
          <w:lang w:val="uk-UA"/>
        </w:rPr>
        <w:t>організаторів та учасників зібрання</w:t>
      </w:r>
      <w:r w:rsidR="00D83351" w:rsidRPr="00E93710">
        <w:rPr>
          <w:lang w:val="uk-UA"/>
        </w:rPr>
        <w:t xml:space="preserve">. </w:t>
      </w:r>
      <w:r w:rsidR="006242C6" w:rsidRPr="000A38E5">
        <w:rPr>
          <w:lang w:val="uk-UA"/>
        </w:rPr>
        <w:t>Учасникам слід дати достатньо часу для того,</w:t>
      </w:r>
      <w:r w:rsidR="00D83351" w:rsidRPr="00E93710">
        <w:rPr>
          <w:lang w:val="uk-UA"/>
        </w:rPr>
        <w:t xml:space="preserve"> </w:t>
      </w:r>
      <w:r w:rsidR="006242C6" w:rsidRPr="000A38E5">
        <w:rPr>
          <w:lang w:val="uk-UA"/>
        </w:rPr>
        <w:t>щоб вони могли розійтися добровільно</w:t>
      </w:r>
      <w:r w:rsidR="00D83351" w:rsidRPr="00E93710">
        <w:rPr>
          <w:lang w:val="uk-UA"/>
        </w:rPr>
        <w:t xml:space="preserve">. </w:t>
      </w:r>
      <w:r w:rsidR="006242C6" w:rsidRPr="000A38E5">
        <w:rPr>
          <w:lang w:val="uk-UA"/>
        </w:rPr>
        <w:t>Подальше втручання поліції є можливим, тільки якщо учасники не розходяться</w:t>
      </w:r>
      <w:r w:rsidR="00D83351" w:rsidRPr="00E93710">
        <w:rPr>
          <w:lang w:val="uk-UA"/>
        </w:rPr>
        <w:t>.</w:t>
      </w:r>
    </w:p>
    <w:p w:rsidR="00D83351" w:rsidRPr="00E93710" w:rsidRDefault="00D83351" w:rsidP="00852217">
      <w:pPr>
        <w:pStyle w:val="ECHRParaQuote"/>
        <w:rPr>
          <w:lang w:val="uk-UA"/>
        </w:rPr>
      </w:pPr>
      <w:r w:rsidRPr="00E93710">
        <w:rPr>
          <w:lang w:val="uk-UA"/>
        </w:rPr>
        <w:t>...</w:t>
      </w:r>
      <w:r w:rsidR="007C6EE5" w:rsidRPr="00E93710">
        <w:rPr>
          <w:lang w:val="uk-UA"/>
        </w:rPr>
        <w:t>”</w:t>
      </w:r>
    </w:p>
    <w:p w:rsidR="00D83351" w:rsidRPr="000A38E5" w:rsidRDefault="00D07E08" w:rsidP="00852217">
      <w:pPr>
        <w:pStyle w:val="ECHRTitleCentre3"/>
        <w:rPr>
          <w:lang w:val="uk-UA"/>
        </w:rPr>
      </w:pPr>
      <w:r w:rsidRPr="000A38E5">
        <w:rPr>
          <w:lang w:val="uk-UA"/>
        </w:rPr>
        <w:t>Використання сили</w:t>
      </w:r>
    </w:p>
    <w:p w:rsidR="00D83351" w:rsidRPr="00E93710" w:rsidRDefault="007C6EE5" w:rsidP="00852217">
      <w:pPr>
        <w:pStyle w:val="ECHRParaQuote"/>
        <w:rPr>
          <w:lang w:val="uk-UA"/>
        </w:rPr>
      </w:pPr>
      <w:r w:rsidRPr="00E93710">
        <w:rPr>
          <w:lang w:val="uk-UA"/>
        </w:rPr>
        <w:t>“</w:t>
      </w:r>
      <w:r w:rsidR="00D83351" w:rsidRPr="00E93710">
        <w:rPr>
          <w:lang w:val="uk-UA"/>
        </w:rPr>
        <w:t>...</w:t>
      </w:r>
    </w:p>
    <w:p w:rsidR="00D83351" w:rsidRPr="00E93710" w:rsidRDefault="00121B3C" w:rsidP="00852217">
      <w:pPr>
        <w:pStyle w:val="ECHRParaQuote"/>
        <w:rPr>
          <w:lang w:val="uk-UA"/>
        </w:rPr>
      </w:pPr>
      <w:r w:rsidRPr="00E93710">
        <w:rPr>
          <w:lang w:val="uk-UA"/>
        </w:rPr>
        <w:t>179.</w:t>
      </w:r>
      <w:r w:rsidR="00334477" w:rsidRPr="000A38E5">
        <w:rPr>
          <w:lang w:val="uk-UA"/>
        </w:rPr>
        <w:t xml:space="preserve"> </w:t>
      </w:r>
      <w:r w:rsidR="00006F37" w:rsidRPr="000A38E5">
        <w:rPr>
          <w:lang w:val="uk-UA"/>
        </w:rPr>
        <w:t>Співробітники правоохоронних органів повинн</w:t>
      </w:r>
      <w:r w:rsidR="00D4778D" w:rsidRPr="000A38E5">
        <w:rPr>
          <w:lang w:val="uk-UA"/>
        </w:rPr>
        <w:t>і</w:t>
      </w:r>
      <w:r w:rsidR="00006F37" w:rsidRPr="000A38E5">
        <w:rPr>
          <w:lang w:val="uk-UA"/>
        </w:rPr>
        <w:t xml:space="preserve"> нести відповідальність</w:t>
      </w:r>
      <w:r w:rsidR="00D83351" w:rsidRPr="00E93710">
        <w:rPr>
          <w:lang w:val="uk-UA"/>
        </w:rPr>
        <w:t xml:space="preserve"> </w:t>
      </w:r>
      <w:r w:rsidR="00D4778D" w:rsidRPr="000A38E5">
        <w:rPr>
          <w:lang w:val="uk-UA"/>
        </w:rPr>
        <w:t>за будь-яке невиконання своїх позитивних обов’язків щодо захисту</w:t>
      </w:r>
      <w:r w:rsidR="00D83351" w:rsidRPr="00E93710">
        <w:rPr>
          <w:lang w:val="uk-UA"/>
        </w:rPr>
        <w:t xml:space="preserve"> </w:t>
      </w:r>
      <w:r w:rsidR="00D4778D" w:rsidRPr="000A38E5">
        <w:rPr>
          <w:lang w:val="uk-UA"/>
        </w:rPr>
        <w:t>мирних зібрань та сприянню їх проведення</w:t>
      </w:r>
      <w:r w:rsidR="00D83351" w:rsidRPr="00E93710">
        <w:rPr>
          <w:lang w:val="uk-UA"/>
        </w:rPr>
        <w:t xml:space="preserve">. </w:t>
      </w:r>
      <w:r w:rsidR="00D4778D" w:rsidRPr="000A38E5">
        <w:rPr>
          <w:lang w:val="uk-UA"/>
        </w:rPr>
        <w:t>Крім того, відповідальність повинна також поширюватися на приватні агентства</w:t>
      </w:r>
      <w:r w:rsidR="00D83351" w:rsidRPr="00E93710">
        <w:rPr>
          <w:lang w:val="uk-UA"/>
        </w:rPr>
        <w:t xml:space="preserve"> </w:t>
      </w:r>
      <w:r w:rsidR="00D4778D" w:rsidRPr="000A38E5">
        <w:rPr>
          <w:lang w:val="uk-UA"/>
        </w:rPr>
        <w:t>та окремих осіб, які діють від імені держави</w:t>
      </w:r>
      <w:r w:rsidR="00D83351" w:rsidRPr="00E93710">
        <w:rPr>
          <w:lang w:val="uk-UA"/>
        </w:rPr>
        <w:t>...</w:t>
      </w:r>
    </w:p>
    <w:p w:rsidR="00D83351" w:rsidRPr="00E93710" w:rsidRDefault="00D83351" w:rsidP="00852217">
      <w:pPr>
        <w:pStyle w:val="ECHRParaQuote"/>
        <w:rPr>
          <w:lang w:val="uk-UA"/>
        </w:rPr>
      </w:pPr>
      <w:r w:rsidRPr="00E93710">
        <w:rPr>
          <w:lang w:val="uk-UA"/>
        </w:rPr>
        <w:t>...</w:t>
      </w:r>
    </w:p>
    <w:p w:rsidR="00D83351" w:rsidRPr="00E93710" w:rsidRDefault="00121B3C" w:rsidP="00852217">
      <w:pPr>
        <w:pStyle w:val="ECHRParaQuote"/>
        <w:rPr>
          <w:lang w:val="uk-UA"/>
        </w:rPr>
      </w:pPr>
      <w:r w:rsidRPr="00E93710">
        <w:rPr>
          <w:lang w:val="uk-UA"/>
        </w:rPr>
        <w:t>182.</w:t>
      </w:r>
      <w:r w:rsidR="00334477" w:rsidRPr="000A38E5">
        <w:rPr>
          <w:lang w:val="uk-UA"/>
        </w:rPr>
        <w:t xml:space="preserve"> </w:t>
      </w:r>
      <w:r w:rsidR="00083890" w:rsidRPr="000A38E5">
        <w:rPr>
          <w:lang w:val="uk-UA"/>
        </w:rPr>
        <w:t>У випадку застосування сили з порушенням закону</w:t>
      </w:r>
      <w:r w:rsidR="00D83351" w:rsidRPr="00E93710">
        <w:rPr>
          <w:lang w:val="uk-UA"/>
        </w:rPr>
        <w:t xml:space="preserve"> </w:t>
      </w:r>
      <w:r w:rsidR="00083890" w:rsidRPr="000A38E5">
        <w:rPr>
          <w:lang w:val="uk-UA"/>
        </w:rPr>
        <w:t>або з надмірним застосуванням сили</w:t>
      </w:r>
      <w:r w:rsidR="00D83351" w:rsidRPr="00E93710">
        <w:rPr>
          <w:lang w:val="uk-UA"/>
        </w:rPr>
        <w:t xml:space="preserve">, </w:t>
      </w:r>
      <w:r w:rsidR="00083890" w:rsidRPr="000A38E5">
        <w:rPr>
          <w:lang w:val="uk-UA"/>
        </w:rPr>
        <w:t>відповідальні співробітники правоохоронних органів повинні нести цивільну та/або</w:t>
      </w:r>
      <w:r w:rsidR="00EA7B3F" w:rsidRPr="000A38E5">
        <w:rPr>
          <w:lang w:val="uk-UA"/>
        </w:rPr>
        <w:t xml:space="preserve"> кримінальну відповідальність</w:t>
      </w:r>
      <w:r w:rsidR="00D83351" w:rsidRPr="00E93710">
        <w:rPr>
          <w:lang w:val="uk-UA"/>
        </w:rPr>
        <w:t xml:space="preserve">. </w:t>
      </w:r>
      <w:r w:rsidR="00EA7B3F" w:rsidRPr="000A38E5">
        <w:rPr>
          <w:lang w:val="uk-UA"/>
        </w:rPr>
        <w:t>Співробітники поліції також повинні нести відповідальність за бездіяльність</w:t>
      </w:r>
      <w:r w:rsidR="00D83351" w:rsidRPr="00E93710">
        <w:rPr>
          <w:lang w:val="uk-UA"/>
        </w:rPr>
        <w:t xml:space="preserve"> </w:t>
      </w:r>
      <w:r w:rsidR="00EA7B3F" w:rsidRPr="000A38E5">
        <w:rPr>
          <w:lang w:val="uk-UA"/>
        </w:rPr>
        <w:t>у випадку неприйняття заходів для запобігання надмірному застосуванню сили іншими співробітниками поліції</w:t>
      </w:r>
      <w:r w:rsidR="00D83351" w:rsidRPr="00E93710">
        <w:rPr>
          <w:lang w:val="uk-UA"/>
        </w:rPr>
        <w:t>.</w:t>
      </w:r>
    </w:p>
    <w:p w:rsidR="00D83351" w:rsidRPr="00E93710" w:rsidRDefault="00D83351" w:rsidP="00852217">
      <w:pPr>
        <w:pStyle w:val="ECHRParaQuote"/>
        <w:rPr>
          <w:lang w:val="uk-UA"/>
        </w:rPr>
      </w:pPr>
      <w:r w:rsidRPr="00E93710">
        <w:rPr>
          <w:lang w:val="uk-UA"/>
        </w:rPr>
        <w:t>...”</w:t>
      </w:r>
    </w:p>
    <w:p w:rsidR="00D83351" w:rsidRPr="000A38E5" w:rsidRDefault="00D83351" w:rsidP="00852217">
      <w:pPr>
        <w:pStyle w:val="ECHRHeading2"/>
        <w:rPr>
          <w:lang w:val="uk-UA"/>
        </w:rPr>
      </w:pPr>
      <w:r w:rsidRPr="00E93710">
        <w:rPr>
          <w:lang w:val="uk-UA"/>
        </w:rPr>
        <w:t>B.</w:t>
      </w:r>
      <w:r w:rsidR="002B6D77" w:rsidRPr="00E93710">
        <w:rPr>
          <w:lang w:val="uk-UA"/>
        </w:rPr>
        <w:t> Спеціальні</w:t>
      </w:r>
      <w:r w:rsidR="00181EC9" w:rsidRPr="000A38E5">
        <w:rPr>
          <w:lang w:val="uk-UA"/>
        </w:rPr>
        <w:t xml:space="preserve"> доповідачі ООН</w:t>
      </w:r>
    </w:p>
    <w:bookmarkStart w:id="80" w:name="SR_joint_report"/>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114</w:t>
      </w:r>
      <w:r w:rsidRPr="00E93710">
        <w:rPr>
          <w:lang w:val="uk-UA"/>
        </w:rPr>
        <w:fldChar w:fldCharType="end"/>
      </w:r>
      <w:bookmarkEnd w:id="80"/>
      <w:r w:rsidR="00D83351" w:rsidRPr="00E93710">
        <w:rPr>
          <w:lang w:val="uk-UA"/>
        </w:rPr>
        <w:t>.</w:t>
      </w:r>
      <w:r w:rsidR="00334477" w:rsidRPr="000A38E5">
        <w:rPr>
          <w:lang w:val="uk-UA"/>
        </w:rPr>
        <w:t xml:space="preserve"> </w:t>
      </w:r>
      <w:r w:rsidR="00181EC9" w:rsidRPr="000A38E5">
        <w:rPr>
          <w:lang w:val="uk-UA"/>
        </w:rPr>
        <w:t>У своїй спільній доповіді з контролю за зібраннями</w:t>
      </w:r>
      <w:r w:rsidR="00D83351" w:rsidRPr="00E93710">
        <w:rPr>
          <w:lang w:val="uk-UA"/>
        </w:rPr>
        <w:t xml:space="preserve">, </w:t>
      </w:r>
      <w:r w:rsidR="00181EC9" w:rsidRPr="000A38E5">
        <w:rPr>
          <w:lang w:val="uk-UA"/>
        </w:rPr>
        <w:t>виданій у</w:t>
      </w:r>
      <w:r w:rsidR="00D83351" w:rsidRPr="00E93710">
        <w:rPr>
          <w:lang w:val="uk-UA"/>
        </w:rPr>
        <w:t xml:space="preserve"> 2016</w:t>
      </w:r>
      <w:r w:rsidR="00181EC9" w:rsidRPr="000A38E5">
        <w:rPr>
          <w:lang w:val="uk-UA"/>
        </w:rPr>
        <w:t xml:space="preserve"> р.</w:t>
      </w:r>
      <w:r w:rsidR="00D83351" w:rsidRPr="00E93710">
        <w:rPr>
          <w:lang w:val="uk-UA"/>
        </w:rPr>
        <w:t xml:space="preserve"> (A/HRC/31/66), </w:t>
      </w:r>
      <w:r w:rsidR="00181EC9" w:rsidRPr="000A38E5">
        <w:rPr>
          <w:lang w:val="uk-UA"/>
        </w:rPr>
        <w:t>Спеціальний доповідач ООН з права на свободу мирних зібрань</w:t>
      </w:r>
      <w:r w:rsidR="00D83351" w:rsidRPr="00E93710">
        <w:rPr>
          <w:lang w:val="uk-UA"/>
        </w:rPr>
        <w:t xml:space="preserve"> </w:t>
      </w:r>
      <w:r w:rsidR="00181EC9" w:rsidRPr="000A38E5">
        <w:rPr>
          <w:lang w:val="uk-UA"/>
        </w:rPr>
        <w:t>та об’єднань</w:t>
      </w:r>
      <w:r w:rsidR="00D83351" w:rsidRPr="00E93710">
        <w:rPr>
          <w:lang w:val="uk-UA"/>
        </w:rPr>
        <w:t xml:space="preserve"> </w:t>
      </w:r>
      <w:r w:rsidR="00181EC9" w:rsidRPr="000A38E5">
        <w:rPr>
          <w:lang w:val="uk-UA"/>
        </w:rPr>
        <w:t>а також позасудових, загальних або довільних покарань, зазначив</w:t>
      </w:r>
      <w:r w:rsidR="00D83351" w:rsidRPr="00E93710">
        <w:rPr>
          <w:lang w:val="uk-UA"/>
        </w:rPr>
        <w:t>:</w:t>
      </w:r>
    </w:p>
    <w:p w:rsidR="00D83351" w:rsidRPr="00E93710" w:rsidRDefault="00121B3C" w:rsidP="00852217">
      <w:pPr>
        <w:pStyle w:val="ECHRParaQuote"/>
        <w:rPr>
          <w:lang w:val="uk-UA"/>
        </w:rPr>
      </w:pPr>
      <w:r w:rsidRPr="00E93710">
        <w:rPr>
          <w:lang w:val="uk-UA"/>
        </w:rPr>
        <w:t>“38.</w:t>
      </w:r>
      <w:r w:rsidR="00334477" w:rsidRPr="000A38E5">
        <w:rPr>
          <w:lang w:val="uk-UA"/>
        </w:rPr>
        <w:t xml:space="preserve"> </w:t>
      </w:r>
      <w:r w:rsidR="00761828" w:rsidRPr="000A38E5">
        <w:rPr>
          <w:lang w:val="uk-UA"/>
        </w:rPr>
        <w:t>Належне сприяння зібранням також виграє від ефективного спілкування</w:t>
      </w:r>
      <w:r w:rsidR="00D83351" w:rsidRPr="00E93710">
        <w:rPr>
          <w:lang w:val="uk-UA"/>
        </w:rPr>
        <w:t xml:space="preserve"> </w:t>
      </w:r>
      <w:r w:rsidR="00761828" w:rsidRPr="000A38E5">
        <w:rPr>
          <w:lang w:val="uk-UA"/>
        </w:rPr>
        <w:t>та співпраці серед усіх залучених сторін</w:t>
      </w:r>
      <w:r w:rsidR="00D83351" w:rsidRPr="00E93710">
        <w:rPr>
          <w:lang w:val="uk-UA"/>
        </w:rPr>
        <w:t xml:space="preserve"> ... </w:t>
      </w:r>
      <w:r w:rsidR="00761828" w:rsidRPr="000A38E5">
        <w:rPr>
          <w:lang w:val="uk-UA"/>
        </w:rPr>
        <w:t>Відкритий діалог між органами влади (у томі числі тими, які відповідають</w:t>
      </w:r>
      <w:r w:rsidR="00D83351" w:rsidRPr="00E93710">
        <w:rPr>
          <w:lang w:val="uk-UA"/>
        </w:rPr>
        <w:t xml:space="preserve"> </w:t>
      </w:r>
      <w:r w:rsidR="00761828" w:rsidRPr="000A38E5">
        <w:rPr>
          <w:lang w:val="uk-UA"/>
        </w:rPr>
        <w:t>за отримання повідомлень та правоохоронними органами</w:t>
      </w:r>
      <w:r w:rsidR="00D83351" w:rsidRPr="00E93710">
        <w:rPr>
          <w:lang w:val="uk-UA"/>
        </w:rPr>
        <w:t xml:space="preserve">) </w:t>
      </w:r>
      <w:r w:rsidR="00761828" w:rsidRPr="000A38E5">
        <w:rPr>
          <w:lang w:val="uk-UA"/>
        </w:rPr>
        <w:t>та організаторами зібрань, якщо їх можна ідентифікувати</w:t>
      </w:r>
      <w:r w:rsidR="0041333A" w:rsidRPr="000A38E5">
        <w:rPr>
          <w:lang w:val="uk-UA"/>
        </w:rPr>
        <w:t>,</w:t>
      </w:r>
      <w:r w:rsidR="00D83351" w:rsidRPr="00E93710">
        <w:rPr>
          <w:lang w:val="uk-UA"/>
        </w:rPr>
        <w:t xml:space="preserve"> </w:t>
      </w:r>
      <w:r w:rsidR="0041333A" w:rsidRPr="000A38E5">
        <w:rPr>
          <w:lang w:val="uk-UA"/>
        </w:rPr>
        <w:t>до, протягом та після зібрання, дозволяє скористатися підходом на основі захисту та полегшення</w:t>
      </w:r>
      <w:r w:rsidR="00D83351" w:rsidRPr="00E93710">
        <w:rPr>
          <w:lang w:val="uk-UA"/>
        </w:rPr>
        <w:t xml:space="preserve">, </w:t>
      </w:r>
      <w:r w:rsidR="0041333A" w:rsidRPr="000A38E5">
        <w:rPr>
          <w:lang w:val="uk-UA"/>
        </w:rPr>
        <w:t>допомагає зменшити тиск</w:t>
      </w:r>
      <w:r w:rsidR="00D83351" w:rsidRPr="00E93710">
        <w:rPr>
          <w:lang w:val="uk-UA"/>
        </w:rPr>
        <w:t xml:space="preserve"> </w:t>
      </w:r>
      <w:r w:rsidR="0041333A" w:rsidRPr="000A38E5">
        <w:rPr>
          <w:lang w:val="uk-UA"/>
        </w:rPr>
        <w:t>та запобігає ескалації конфлікту</w:t>
      </w:r>
      <w:r w:rsidR="00D83351" w:rsidRPr="00E93710">
        <w:rPr>
          <w:lang w:val="uk-UA"/>
        </w:rPr>
        <w:t xml:space="preserve">. </w:t>
      </w:r>
      <w:r w:rsidR="0041333A" w:rsidRPr="000A38E5">
        <w:rPr>
          <w:lang w:val="uk-UA"/>
        </w:rPr>
        <w:t>Правоохоронні органи та посадові особи повинні здійснити усі розумні заходи</w:t>
      </w:r>
      <w:r w:rsidR="00D83351" w:rsidRPr="00E93710">
        <w:rPr>
          <w:lang w:val="uk-UA"/>
        </w:rPr>
        <w:t xml:space="preserve"> </w:t>
      </w:r>
      <w:r w:rsidR="0041333A" w:rsidRPr="000A38E5">
        <w:rPr>
          <w:lang w:val="uk-UA"/>
        </w:rPr>
        <w:t>для спілкування з організаторами та/або учасниками зібрання</w:t>
      </w:r>
      <w:r w:rsidR="00D83351" w:rsidRPr="00E93710">
        <w:rPr>
          <w:lang w:val="uk-UA"/>
        </w:rPr>
        <w:t xml:space="preserve"> </w:t>
      </w:r>
      <w:r w:rsidR="0041333A" w:rsidRPr="000A38E5">
        <w:rPr>
          <w:lang w:val="uk-UA"/>
        </w:rPr>
        <w:t>стосовно охорони порядку та будь-яких засобів безпеки</w:t>
      </w:r>
      <w:r w:rsidR="00D83351" w:rsidRPr="00E93710">
        <w:rPr>
          <w:lang w:val="uk-UA"/>
        </w:rPr>
        <w:t xml:space="preserve">. </w:t>
      </w:r>
      <w:r w:rsidR="0041333A" w:rsidRPr="000A38E5">
        <w:rPr>
          <w:lang w:val="uk-UA"/>
        </w:rPr>
        <w:t>Спілкування не повинно обмежуватися вербальним спілкуванням,</w:t>
      </w:r>
      <w:r w:rsidR="00D83351" w:rsidRPr="00E93710">
        <w:rPr>
          <w:lang w:val="uk-UA"/>
        </w:rPr>
        <w:t xml:space="preserve"> </w:t>
      </w:r>
      <w:r w:rsidR="0041333A" w:rsidRPr="000A38E5">
        <w:rPr>
          <w:lang w:val="uk-UA"/>
        </w:rPr>
        <w:t>правоохоронні органи повинні вивчати вплив</w:t>
      </w:r>
      <w:r w:rsidR="00D83351" w:rsidRPr="00E93710">
        <w:rPr>
          <w:lang w:val="uk-UA"/>
        </w:rPr>
        <w:t xml:space="preserve"> </w:t>
      </w:r>
      <w:r w:rsidR="0041333A" w:rsidRPr="000A38E5">
        <w:rPr>
          <w:lang w:val="uk-UA"/>
        </w:rPr>
        <w:t>будь-якого непрямого спілкування, яке організатори та учасники зібрання можуть зрозуміти,</w:t>
      </w:r>
      <w:r w:rsidR="00D83351" w:rsidRPr="00E93710">
        <w:rPr>
          <w:lang w:val="uk-UA"/>
        </w:rPr>
        <w:t xml:space="preserve"> </w:t>
      </w:r>
      <w:r w:rsidR="0041333A" w:rsidRPr="000A38E5">
        <w:rPr>
          <w:lang w:val="uk-UA"/>
        </w:rPr>
        <w:t>як залякування</w:t>
      </w:r>
      <w:r w:rsidR="00D83351" w:rsidRPr="00E93710">
        <w:rPr>
          <w:lang w:val="uk-UA"/>
        </w:rPr>
        <w:t xml:space="preserve">, </w:t>
      </w:r>
      <w:r w:rsidR="002D7B58" w:rsidRPr="000A38E5">
        <w:rPr>
          <w:lang w:val="uk-UA"/>
        </w:rPr>
        <w:t>наприклад, присутності та використання певного обладнання та мові тіл посадових осіб</w:t>
      </w:r>
      <w:r w:rsidR="00D83351" w:rsidRPr="00E93710">
        <w:rPr>
          <w:lang w:val="uk-UA"/>
        </w:rPr>
        <w:t>.</w:t>
      </w:r>
    </w:p>
    <w:p w:rsidR="00D83351" w:rsidRPr="00E93710" w:rsidRDefault="00D83351" w:rsidP="00852217">
      <w:pPr>
        <w:pStyle w:val="ECHRParaQuote"/>
        <w:rPr>
          <w:lang w:val="uk-UA"/>
        </w:rPr>
      </w:pPr>
      <w:r w:rsidRPr="00E93710">
        <w:rPr>
          <w:lang w:val="uk-UA"/>
        </w:rPr>
        <w:t>...</w:t>
      </w:r>
    </w:p>
    <w:p w:rsidR="00D83351" w:rsidRPr="00E93710" w:rsidRDefault="00D83351" w:rsidP="00852217">
      <w:pPr>
        <w:pStyle w:val="ECHRParaQuote"/>
        <w:rPr>
          <w:lang w:val="uk-UA"/>
        </w:rPr>
      </w:pPr>
      <w:bookmarkStart w:id="81" w:name="SR_joint_report_authority_to_disperse"/>
      <w:r w:rsidRPr="00E93710">
        <w:rPr>
          <w:lang w:val="uk-UA"/>
        </w:rPr>
        <w:t>63</w:t>
      </w:r>
      <w:bookmarkEnd w:id="81"/>
      <w:r w:rsidR="00121B3C" w:rsidRPr="00E93710">
        <w:rPr>
          <w:lang w:val="uk-UA"/>
        </w:rPr>
        <w:t>.</w:t>
      </w:r>
      <w:r w:rsidR="00334477" w:rsidRPr="000A38E5">
        <w:rPr>
          <w:lang w:val="uk-UA"/>
        </w:rPr>
        <w:t xml:space="preserve"> </w:t>
      </w:r>
      <w:r w:rsidR="005A4709" w:rsidRPr="000A38E5">
        <w:rPr>
          <w:lang w:val="uk-UA"/>
        </w:rPr>
        <w:t>Лише урядові органи влади та високопосадові особи з достатньою</w:t>
      </w:r>
      <w:r w:rsidRPr="00E93710">
        <w:rPr>
          <w:lang w:val="uk-UA"/>
        </w:rPr>
        <w:t xml:space="preserve"> </w:t>
      </w:r>
      <w:r w:rsidR="005A4709" w:rsidRPr="000A38E5">
        <w:rPr>
          <w:lang w:val="uk-UA"/>
        </w:rPr>
        <w:t>та точною інформацією про ситуацію</w:t>
      </w:r>
      <w:r w:rsidRPr="00E93710">
        <w:rPr>
          <w:lang w:val="uk-UA"/>
        </w:rPr>
        <w:t xml:space="preserve"> </w:t>
      </w:r>
      <w:r w:rsidR="005A4709" w:rsidRPr="000A38E5">
        <w:rPr>
          <w:lang w:val="uk-UA"/>
        </w:rPr>
        <w:t>повинні мати уповноваження наказувати здійснення розгону</w:t>
      </w:r>
      <w:r w:rsidRPr="00E93710">
        <w:rPr>
          <w:lang w:val="uk-UA"/>
        </w:rPr>
        <w:t xml:space="preserve">. </w:t>
      </w:r>
      <w:r w:rsidR="005A4709" w:rsidRPr="000A38E5">
        <w:rPr>
          <w:lang w:val="uk-UA"/>
        </w:rPr>
        <w:t>Якщо розгін вважається необхідним</w:t>
      </w:r>
      <w:r w:rsidRPr="00E93710">
        <w:rPr>
          <w:lang w:val="uk-UA"/>
        </w:rPr>
        <w:t xml:space="preserve">, </w:t>
      </w:r>
      <w:r w:rsidR="005A4709" w:rsidRPr="000A38E5">
        <w:rPr>
          <w:lang w:val="uk-UA"/>
        </w:rPr>
        <w:t>учасники зібрання повинні бути ясно та чітко проінформовані</w:t>
      </w:r>
      <w:r w:rsidRPr="00E93710">
        <w:rPr>
          <w:lang w:val="uk-UA"/>
        </w:rPr>
        <w:t xml:space="preserve">, </w:t>
      </w:r>
      <w:r w:rsidR="005A4709" w:rsidRPr="000A38E5">
        <w:rPr>
          <w:lang w:val="uk-UA"/>
        </w:rPr>
        <w:t>і повинні мати достатньо часу для того, щоб розійтися добровільно</w:t>
      </w:r>
      <w:r w:rsidRPr="00E93710">
        <w:rPr>
          <w:lang w:val="uk-UA"/>
        </w:rPr>
        <w:t xml:space="preserve">. </w:t>
      </w:r>
      <w:r w:rsidR="005A4709" w:rsidRPr="000A38E5">
        <w:rPr>
          <w:lang w:val="uk-UA"/>
        </w:rPr>
        <w:t>Співробітники можуть здійснювати подальше втручання, лише якщо учасники зібрання відмовляться розійтися</w:t>
      </w:r>
      <w:r w:rsidRPr="00E93710">
        <w:rPr>
          <w:lang w:val="uk-UA"/>
        </w:rPr>
        <w:t>.</w:t>
      </w:r>
    </w:p>
    <w:p w:rsidR="00D83351" w:rsidRPr="00E93710" w:rsidRDefault="00D83351" w:rsidP="00852217">
      <w:pPr>
        <w:pStyle w:val="ECHRParaQuote"/>
        <w:rPr>
          <w:lang w:val="uk-UA"/>
        </w:rPr>
      </w:pPr>
      <w:r w:rsidRPr="00E93710">
        <w:rPr>
          <w:lang w:val="uk-UA"/>
        </w:rPr>
        <w:t>...</w:t>
      </w:r>
    </w:p>
    <w:p w:rsidR="00D83351" w:rsidRPr="00E93710" w:rsidRDefault="00121B3C" w:rsidP="00852217">
      <w:pPr>
        <w:pStyle w:val="ECHRParaQuote"/>
        <w:rPr>
          <w:lang w:val="uk-UA"/>
        </w:rPr>
      </w:pPr>
      <w:r w:rsidRPr="00E93710">
        <w:rPr>
          <w:lang w:val="uk-UA"/>
        </w:rPr>
        <w:lastRenderedPageBreak/>
        <w:t>65.</w:t>
      </w:r>
      <w:r w:rsidR="00334477" w:rsidRPr="000A38E5">
        <w:rPr>
          <w:lang w:val="uk-UA"/>
        </w:rPr>
        <w:t xml:space="preserve"> </w:t>
      </w:r>
      <w:r w:rsidR="00985BCF" w:rsidRPr="000A38E5">
        <w:rPr>
          <w:lang w:val="uk-UA"/>
        </w:rPr>
        <w:t>Повинна бути встановлена чітка та прозора командна структура</w:t>
      </w:r>
      <w:r w:rsidR="00D83351" w:rsidRPr="00E93710">
        <w:rPr>
          <w:lang w:val="uk-UA"/>
        </w:rPr>
        <w:t xml:space="preserve"> </w:t>
      </w:r>
      <w:r w:rsidR="00985BCF" w:rsidRPr="000A38E5">
        <w:rPr>
          <w:lang w:val="uk-UA"/>
        </w:rPr>
        <w:t>для мінімізації ризику насилля або використання сили</w:t>
      </w:r>
      <w:r w:rsidR="00D83351" w:rsidRPr="00E93710">
        <w:rPr>
          <w:lang w:val="uk-UA"/>
        </w:rPr>
        <w:t xml:space="preserve">, </w:t>
      </w:r>
      <w:r w:rsidR="00985BCF" w:rsidRPr="000A38E5">
        <w:rPr>
          <w:lang w:val="uk-UA"/>
        </w:rPr>
        <w:t>а також для забезпечення відповідальності за незаконні дії або бездіяльність співробітників правоохоронних органів</w:t>
      </w:r>
      <w:r w:rsidR="00D83351" w:rsidRPr="00E93710">
        <w:rPr>
          <w:lang w:val="uk-UA"/>
        </w:rPr>
        <w:t xml:space="preserve">. </w:t>
      </w:r>
      <w:r w:rsidR="00650BBC" w:rsidRPr="000A38E5">
        <w:rPr>
          <w:lang w:val="uk-UA"/>
        </w:rPr>
        <w:t>Необхідно належ</w:t>
      </w:r>
      <w:r w:rsidR="00F86A5E" w:rsidRPr="000A38E5">
        <w:rPr>
          <w:lang w:val="uk-UA"/>
        </w:rPr>
        <w:t>но документувати рішення, прийняті відповідальними співробітниками на усіх рівнях</w:t>
      </w:r>
      <w:r w:rsidR="00D83351" w:rsidRPr="00E93710">
        <w:rPr>
          <w:lang w:val="uk-UA"/>
        </w:rPr>
        <w:t xml:space="preserve">. </w:t>
      </w:r>
      <w:r w:rsidR="00650BBC" w:rsidRPr="000A38E5">
        <w:rPr>
          <w:lang w:val="uk-UA"/>
        </w:rPr>
        <w:t>Правоохоронці повинні бути чітко та індивідуально ідентифіковані</w:t>
      </w:r>
      <w:r w:rsidR="00D83351" w:rsidRPr="00E93710">
        <w:rPr>
          <w:lang w:val="uk-UA"/>
        </w:rPr>
        <w:t xml:space="preserve">, </w:t>
      </w:r>
      <w:r w:rsidR="00650BBC" w:rsidRPr="000A38E5">
        <w:rPr>
          <w:lang w:val="uk-UA"/>
        </w:rPr>
        <w:t>наприклад, шляхом демонстрації таблички з ім’ям або номером</w:t>
      </w:r>
      <w:r w:rsidR="00D83351" w:rsidRPr="00E93710">
        <w:rPr>
          <w:lang w:val="uk-UA"/>
        </w:rPr>
        <w:t xml:space="preserve"> ...</w:t>
      </w:r>
    </w:p>
    <w:p w:rsidR="00D83351" w:rsidRPr="00E93710" w:rsidRDefault="00D83351" w:rsidP="00852217">
      <w:pPr>
        <w:pStyle w:val="ECHRParaQuote"/>
        <w:rPr>
          <w:lang w:val="uk-UA"/>
        </w:rPr>
      </w:pPr>
      <w:r w:rsidRPr="00E93710">
        <w:rPr>
          <w:lang w:val="uk-UA"/>
        </w:rPr>
        <w:t>...</w:t>
      </w:r>
    </w:p>
    <w:p w:rsidR="00D83351" w:rsidRPr="00E93710" w:rsidRDefault="00121B3C" w:rsidP="00852217">
      <w:pPr>
        <w:pStyle w:val="ECHRParaQuote"/>
        <w:rPr>
          <w:lang w:val="uk-UA"/>
        </w:rPr>
      </w:pPr>
      <w:r w:rsidRPr="00E93710">
        <w:rPr>
          <w:lang w:val="uk-UA"/>
        </w:rPr>
        <w:t>85.</w:t>
      </w:r>
      <w:r w:rsidR="00334477" w:rsidRPr="000A38E5">
        <w:rPr>
          <w:lang w:val="uk-UA"/>
        </w:rPr>
        <w:t xml:space="preserve"> </w:t>
      </w:r>
      <w:r w:rsidR="002429B8" w:rsidRPr="000A38E5">
        <w:rPr>
          <w:lang w:val="uk-UA"/>
        </w:rPr>
        <w:t>Підприємці також відіграють значну роль</w:t>
      </w:r>
      <w:r w:rsidR="00D83351" w:rsidRPr="00E93710">
        <w:rPr>
          <w:lang w:val="uk-UA"/>
        </w:rPr>
        <w:t xml:space="preserve"> </w:t>
      </w:r>
      <w:r w:rsidR="002429B8" w:rsidRPr="000A38E5">
        <w:rPr>
          <w:lang w:val="uk-UA"/>
        </w:rPr>
        <w:t>в охороні порядку зібрань</w:t>
      </w:r>
      <w:r w:rsidR="00D83351" w:rsidRPr="00E93710">
        <w:rPr>
          <w:lang w:val="uk-UA"/>
        </w:rPr>
        <w:t xml:space="preserve">. </w:t>
      </w:r>
      <w:r w:rsidR="002429B8" w:rsidRPr="000A38E5">
        <w:rPr>
          <w:lang w:val="uk-UA"/>
        </w:rPr>
        <w:t>Наприклад, цивільні приватні охоронні служби</w:t>
      </w:r>
      <w:r w:rsidR="00D83351" w:rsidRPr="00E93710">
        <w:rPr>
          <w:lang w:val="uk-UA"/>
        </w:rPr>
        <w:t xml:space="preserve"> </w:t>
      </w:r>
      <w:r w:rsidR="002429B8" w:rsidRPr="000A38E5">
        <w:rPr>
          <w:lang w:val="uk-UA"/>
        </w:rPr>
        <w:t>можуть виконувати роль охорони порядку під час захисту приватного майна</w:t>
      </w:r>
      <w:r w:rsidR="00D83351" w:rsidRPr="00E93710">
        <w:rPr>
          <w:lang w:val="uk-UA"/>
        </w:rPr>
        <w:t xml:space="preserve"> </w:t>
      </w:r>
      <w:r w:rsidR="00376B36" w:rsidRPr="000A38E5">
        <w:rPr>
          <w:lang w:val="uk-UA"/>
        </w:rPr>
        <w:t>або власності протягом зібрання</w:t>
      </w:r>
      <w:r w:rsidR="00D83351" w:rsidRPr="00E93710">
        <w:rPr>
          <w:lang w:val="uk-UA"/>
        </w:rPr>
        <w:t xml:space="preserve">, </w:t>
      </w:r>
      <w:r w:rsidR="00376B36" w:rsidRPr="000A38E5">
        <w:rPr>
          <w:lang w:val="uk-UA"/>
        </w:rPr>
        <w:t>і приватні компанії часто відіграють роль у спостереженні</w:t>
      </w:r>
      <w:r w:rsidR="00D83351" w:rsidRPr="00E93710">
        <w:rPr>
          <w:lang w:val="uk-UA"/>
        </w:rPr>
        <w:t xml:space="preserve"> ... </w:t>
      </w:r>
      <w:r w:rsidR="00376B36" w:rsidRPr="000A38E5">
        <w:rPr>
          <w:lang w:val="uk-UA"/>
        </w:rPr>
        <w:t>Юридичні особи повинні здійснювати певну обачність в області прав людини</w:t>
      </w:r>
      <w:r w:rsidR="00D83351" w:rsidRPr="00E93710">
        <w:rPr>
          <w:lang w:val="uk-UA"/>
        </w:rPr>
        <w:t xml:space="preserve">, </w:t>
      </w:r>
      <w:r w:rsidR="00376B36" w:rsidRPr="000A38E5">
        <w:rPr>
          <w:lang w:val="uk-UA"/>
        </w:rPr>
        <w:t>і якщо потенційний вплив на зібрання та пов’язані права</w:t>
      </w:r>
      <w:r w:rsidR="00D83351" w:rsidRPr="00E93710">
        <w:rPr>
          <w:lang w:val="uk-UA"/>
        </w:rPr>
        <w:t xml:space="preserve"> </w:t>
      </w:r>
      <w:r w:rsidR="00376B36" w:rsidRPr="000A38E5">
        <w:rPr>
          <w:lang w:val="uk-UA"/>
        </w:rPr>
        <w:t xml:space="preserve">можна </w:t>
      </w:r>
      <w:r w:rsidR="00F24E9F" w:rsidRPr="000A38E5">
        <w:rPr>
          <w:lang w:val="uk-UA"/>
        </w:rPr>
        <w:t>ідентифікувати</w:t>
      </w:r>
      <w:r w:rsidR="00376B36" w:rsidRPr="000A38E5">
        <w:rPr>
          <w:lang w:val="uk-UA"/>
        </w:rPr>
        <w:t xml:space="preserve"> – пом’якшити</w:t>
      </w:r>
      <w:r w:rsidR="00D83351" w:rsidRPr="00E93710">
        <w:rPr>
          <w:lang w:val="uk-UA"/>
        </w:rPr>
        <w:t xml:space="preserve"> </w:t>
      </w:r>
      <w:r w:rsidR="00376B36" w:rsidRPr="000A38E5">
        <w:rPr>
          <w:lang w:val="uk-UA"/>
        </w:rPr>
        <w:t>ризики</w:t>
      </w:r>
      <w:r w:rsidR="00D83351" w:rsidRPr="00E93710">
        <w:rPr>
          <w:lang w:val="uk-UA"/>
        </w:rPr>
        <w:t xml:space="preserve">. </w:t>
      </w:r>
      <w:r w:rsidR="006E73C9" w:rsidRPr="000A38E5">
        <w:rPr>
          <w:lang w:val="uk-UA"/>
        </w:rPr>
        <w:t>Цивільні приватні охоронні підприємства</w:t>
      </w:r>
      <w:r w:rsidR="00D83351" w:rsidRPr="00E93710">
        <w:rPr>
          <w:lang w:val="uk-UA"/>
        </w:rPr>
        <w:t xml:space="preserve"> </w:t>
      </w:r>
      <w:r w:rsidR="006E73C9" w:rsidRPr="000A38E5">
        <w:rPr>
          <w:lang w:val="uk-UA"/>
        </w:rPr>
        <w:t>не повинні здійснювати функції охорони порядку</w:t>
      </w:r>
      <w:r w:rsidR="00D83351" w:rsidRPr="00E93710">
        <w:rPr>
          <w:lang w:val="uk-UA"/>
        </w:rPr>
        <w:t xml:space="preserve"> </w:t>
      </w:r>
      <w:r w:rsidR="006E73C9" w:rsidRPr="000A38E5">
        <w:rPr>
          <w:lang w:val="uk-UA"/>
        </w:rPr>
        <w:t>стосовно зібрань</w:t>
      </w:r>
      <w:r w:rsidR="00D83351" w:rsidRPr="00E93710">
        <w:rPr>
          <w:lang w:val="uk-UA"/>
        </w:rPr>
        <w:t xml:space="preserve">. </w:t>
      </w:r>
      <w:r w:rsidR="006F37BE" w:rsidRPr="000A38E5">
        <w:rPr>
          <w:lang w:val="uk-UA"/>
        </w:rPr>
        <w:t>Однак, якщо це відбувається, такі служби повинні поважати та захищати права людини</w:t>
      </w:r>
      <w:r w:rsidR="00D83351" w:rsidRPr="00E93710">
        <w:rPr>
          <w:lang w:val="uk-UA"/>
        </w:rPr>
        <w:t xml:space="preserve"> </w:t>
      </w:r>
      <w:r w:rsidR="006F37BE" w:rsidRPr="000A38E5">
        <w:rPr>
          <w:lang w:val="uk-UA"/>
        </w:rPr>
        <w:t xml:space="preserve">і повинні відповідати найвищим стандартам </w:t>
      </w:r>
      <w:proofErr w:type="spellStart"/>
      <w:r w:rsidR="006F37BE" w:rsidRPr="000A38E5">
        <w:rPr>
          <w:lang w:val="uk-UA"/>
        </w:rPr>
        <w:t>поведінки</w:t>
      </w:r>
      <w:r w:rsidR="00D83351" w:rsidRPr="00E93710">
        <w:rPr>
          <w:lang w:val="uk-UA"/>
        </w:rPr>
        <w:t>.”</w:t>
      </w:r>
      <w:proofErr w:type="spellEnd"/>
    </w:p>
    <w:bookmarkStart w:id="82" w:name="SR_report"/>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115</w:t>
      </w:r>
      <w:r w:rsidRPr="00E93710">
        <w:rPr>
          <w:lang w:val="uk-UA"/>
        </w:rPr>
        <w:fldChar w:fldCharType="end"/>
      </w:r>
      <w:bookmarkEnd w:id="82"/>
      <w:r w:rsidR="00D83351" w:rsidRPr="00E93710">
        <w:rPr>
          <w:lang w:val="uk-UA"/>
        </w:rPr>
        <w:t>.</w:t>
      </w:r>
      <w:r w:rsidR="00334477" w:rsidRPr="000A38E5">
        <w:rPr>
          <w:lang w:val="uk-UA"/>
        </w:rPr>
        <w:t xml:space="preserve"> </w:t>
      </w:r>
      <w:r w:rsidR="006076A6" w:rsidRPr="000A38E5">
        <w:rPr>
          <w:lang w:val="uk-UA"/>
        </w:rPr>
        <w:t>У своїй доповіді з права на життя та використання сили</w:t>
      </w:r>
      <w:r w:rsidR="00D83351" w:rsidRPr="00E93710">
        <w:rPr>
          <w:bCs/>
          <w:lang w:val="uk-UA"/>
        </w:rPr>
        <w:t xml:space="preserve"> </w:t>
      </w:r>
      <w:r w:rsidR="006076A6" w:rsidRPr="000A38E5">
        <w:rPr>
          <w:bCs/>
          <w:lang w:val="uk-UA"/>
        </w:rPr>
        <w:t>приватними охоронними підприємствами</w:t>
      </w:r>
      <w:r w:rsidR="00D83351" w:rsidRPr="00E93710">
        <w:rPr>
          <w:bCs/>
          <w:lang w:val="uk-UA"/>
        </w:rPr>
        <w:t xml:space="preserve"> </w:t>
      </w:r>
      <w:r w:rsidR="006076A6" w:rsidRPr="000A38E5">
        <w:rPr>
          <w:bCs/>
          <w:lang w:val="uk-UA"/>
        </w:rPr>
        <w:t>у правоохоронному контексті</w:t>
      </w:r>
      <w:r w:rsidR="00D83351" w:rsidRPr="00E93710">
        <w:rPr>
          <w:bCs/>
          <w:lang w:val="uk-UA"/>
        </w:rPr>
        <w:t xml:space="preserve">, </w:t>
      </w:r>
      <w:r w:rsidR="006076A6" w:rsidRPr="000A38E5">
        <w:rPr>
          <w:bCs/>
          <w:lang w:val="uk-UA"/>
        </w:rPr>
        <w:t>виданій у</w:t>
      </w:r>
      <w:r w:rsidR="00D83351" w:rsidRPr="00E93710">
        <w:rPr>
          <w:bCs/>
          <w:lang w:val="uk-UA"/>
        </w:rPr>
        <w:t xml:space="preserve"> 2016</w:t>
      </w:r>
      <w:r w:rsidR="006076A6" w:rsidRPr="000A38E5">
        <w:rPr>
          <w:bCs/>
          <w:lang w:val="uk-UA"/>
        </w:rPr>
        <w:t xml:space="preserve"> р.</w:t>
      </w:r>
      <w:r w:rsidR="00D83351" w:rsidRPr="00E93710">
        <w:rPr>
          <w:bCs/>
          <w:lang w:val="uk-UA"/>
        </w:rPr>
        <w:t xml:space="preserve"> (A/HRC/32/39), </w:t>
      </w:r>
      <w:r w:rsidR="004A23B7" w:rsidRPr="000A38E5">
        <w:rPr>
          <w:lang w:val="uk-UA"/>
        </w:rPr>
        <w:t>Спеціальний доповідач ООН з позасудових, загальних або довільних покарань</w:t>
      </w:r>
      <w:r w:rsidR="004A23B7" w:rsidRPr="00E93710">
        <w:rPr>
          <w:lang w:val="uk-UA"/>
        </w:rPr>
        <w:t xml:space="preserve"> </w:t>
      </w:r>
      <w:r w:rsidR="004A23B7" w:rsidRPr="000A38E5">
        <w:rPr>
          <w:lang w:val="uk-UA"/>
        </w:rPr>
        <w:t>зазначив</w:t>
      </w:r>
      <w:r w:rsidR="00D83351" w:rsidRPr="00E93710">
        <w:rPr>
          <w:lang w:val="uk-UA"/>
        </w:rPr>
        <w:t>:</w:t>
      </w:r>
    </w:p>
    <w:p w:rsidR="00D83351" w:rsidRPr="00E93710" w:rsidRDefault="00121B3C" w:rsidP="00852217">
      <w:pPr>
        <w:pStyle w:val="ECHRParaQuote"/>
        <w:rPr>
          <w:lang w:val="uk-UA"/>
        </w:rPr>
      </w:pPr>
      <w:r w:rsidRPr="00E93710">
        <w:rPr>
          <w:lang w:val="uk-UA"/>
        </w:rPr>
        <w:t>“76.</w:t>
      </w:r>
      <w:r w:rsidR="00334477" w:rsidRPr="000A38E5">
        <w:rPr>
          <w:lang w:val="uk-UA"/>
        </w:rPr>
        <w:t xml:space="preserve"> </w:t>
      </w:r>
      <w:r w:rsidR="00637035" w:rsidRPr="000A38E5">
        <w:rPr>
          <w:lang w:val="uk-UA"/>
        </w:rPr>
        <w:t>Як зазначено вище, коли держави передають частину своєї відповідальності</w:t>
      </w:r>
      <w:r w:rsidR="00D83351" w:rsidRPr="00E93710">
        <w:rPr>
          <w:lang w:val="uk-UA"/>
        </w:rPr>
        <w:t xml:space="preserve"> </w:t>
      </w:r>
      <w:r w:rsidR="00637035" w:rsidRPr="000A38E5">
        <w:rPr>
          <w:lang w:val="uk-UA"/>
        </w:rPr>
        <w:t>за забезпечення безпеки</w:t>
      </w:r>
      <w:r w:rsidR="00D83351" w:rsidRPr="00E93710">
        <w:rPr>
          <w:lang w:val="uk-UA"/>
        </w:rPr>
        <w:t xml:space="preserve"> </w:t>
      </w:r>
      <w:r w:rsidR="00637035" w:rsidRPr="000A38E5">
        <w:rPr>
          <w:lang w:val="uk-UA"/>
        </w:rPr>
        <w:t>приватним особам</w:t>
      </w:r>
      <w:r w:rsidR="00D83351" w:rsidRPr="00E93710">
        <w:rPr>
          <w:lang w:val="uk-UA"/>
        </w:rPr>
        <w:t xml:space="preserve">, </w:t>
      </w:r>
      <w:r w:rsidR="00D614B6" w:rsidRPr="000A38E5">
        <w:rPr>
          <w:lang w:val="uk-UA"/>
        </w:rPr>
        <w:t>зрозуміло, що ці дії відносяться до відповідної держави</w:t>
      </w:r>
      <w:r w:rsidR="00D83351" w:rsidRPr="00E93710">
        <w:rPr>
          <w:lang w:val="uk-UA"/>
        </w:rPr>
        <w:t xml:space="preserve">, </w:t>
      </w:r>
      <w:r w:rsidR="00D614B6" w:rsidRPr="000A38E5">
        <w:rPr>
          <w:lang w:val="uk-UA"/>
        </w:rPr>
        <w:t>і що до приватних охоронних підприємств, діючих у такому контексті, застосовуються щонайменш ті ж обмеження, як і до співробітників державних правоохоронних органів</w:t>
      </w:r>
      <w:r w:rsidR="00D83351" w:rsidRPr="00E93710">
        <w:rPr>
          <w:lang w:val="uk-UA"/>
        </w:rPr>
        <w:t xml:space="preserve">. </w:t>
      </w:r>
      <w:r w:rsidR="00B053EA" w:rsidRPr="000A38E5">
        <w:rPr>
          <w:lang w:val="uk-UA"/>
        </w:rPr>
        <w:t>У наступних розділах Спеціальний доповідач розгляне ситуації,</w:t>
      </w:r>
      <w:r w:rsidR="00D83351" w:rsidRPr="00E93710">
        <w:rPr>
          <w:lang w:val="uk-UA"/>
        </w:rPr>
        <w:t xml:space="preserve"> </w:t>
      </w:r>
      <w:r w:rsidR="00B053EA" w:rsidRPr="000A38E5">
        <w:rPr>
          <w:lang w:val="uk-UA"/>
        </w:rPr>
        <w:t>в яких стандарти є менш авторитетними</w:t>
      </w:r>
      <w:r w:rsidR="00D83351" w:rsidRPr="00E93710">
        <w:rPr>
          <w:lang w:val="uk-UA"/>
        </w:rPr>
        <w:t xml:space="preserve">, </w:t>
      </w:r>
      <w:r w:rsidR="00B053EA" w:rsidRPr="000A38E5">
        <w:rPr>
          <w:lang w:val="uk-UA"/>
        </w:rPr>
        <w:t>але, на його думку, повинні залишатися нормативно ідентичними</w:t>
      </w:r>
      <w:r w:rsidR="00D83351" w:rsidRPr="00E93710">
        <w:rPr>
          <w:lang w:val="uk-UA"/>
        </w:rPr>
        <w:t xml:space="preserve">, </w:t>
      </w:r>
      <w:r w:rsidR="00B053EA" w:rsidRPr="000A38E5">
        <w:rPr>
          <w:lang w:val="uk-UA"/>
        </w:rPr>
        <w:t>навіть якщо будуть відрізнятися на практиці</w:t>
      </w:r>
      <w:r w:rsidR="00D83351" w:rsidRPr="00E93710">
        <w:rPr>
          <w:lang w:val="uk-UA"/>
        </w:rPr>
        <w:t>.</w:t>
      </w:r>
    </w:p>
    <w:p w:rsidR="00D83351" w:rsidRPr="00E93710" w:rsidRDefault="00D83351" w:rsidP="00852217">
      <w:pPr>
        <w:pStyle w:val="ECHRParaQuote"/>
        <w:rPr>
          <w:lang w:val="uk-UA"/>
        </w:rPr>
      </w:pPr>
      <w:r w:rsidRPr="00E93710">
        <w:rPr>
          <w:lang w:val="uk-UA"/>
        </w:rPr>
        <w:t>...</w:t>
      </w:r>
    </w:p>
    <w:p w:rsidR="00D83351" w:rsidRPr="00E93710" w:rsidRDefault="00BF2D3C" w:rsidP="00852217">
      <w:pPr>
        <w:pStyle w:val="ECHRParaQuote"/>
        <w:rPr>
          <w:lang w:val="uk-UA"/>
        </w:rPr>
      </w:pPr>
      <w:r w:rsidRPr="00E93710">
        <w:rPr>
          <w:lang w:val="uk-UA"/>
        </w:rPr>
        <w:t>84.</w:t>
      </w:r>
      <w:r w:rsidR="00334477" w:rsidRPr="000A38E5">
        <w:rPr>
          <w:lang w:val="uk-UA"/>
        </w:rPr>
        <w:t xml:space="preserve"> </w:t>
      </w:r>
      <w:r w:rsidR="002D741E" w:rsidRPr="000A38E5">
        <w:rPr>
          <w:lang w:val="uk-UA"/>
        </w:rPr>
        <w:t>Відповідальність за планування доречної оперативної відповіді</w:t>
      </w:r>
      <w:r w:rsidR="00D83351" w:rsidRPr="00E93710">
        <w:rPr>
          <w:lang w:val="uk-UA"/>
        </w:rPr>
        <w:t xml:space="preserve"> </w:t>
      </w:r>
      <w:r w:rsidR="009770B0" w:rsidRPr="000A38E5">
        <w:rPr>
          <w:lang w:val="uk-UA"/>
        </w:rPr>
        <w:t>на виникаючу ситуацію</w:t>
      </w:r>
      <w:r w:rsidR="00D83351" w:rsidRPr="00E93710">
        <w:rPr>
          <w:lang w:val="uk-UA"/>
        </w:rPr>
        <w:t xml:space="preserve"> </w:t>
      </w:r>
      <w:r w:rsidR="009770B0" w:rsidRPr="000A38E5">
        <w:rPr>
          <w:lang w:val="uk-UA"/>
        </w:rPr>
        <w:t>стосується приватних охоронних підприємств так само, як і державних правоохоронних органів</w:t>
      </w:r>
      <w:r w:rsidR="00D83351" w:rsidRPr="00E93710">
        <w:rPr>
          <w:lang w:val="uk-UA"/>
        </w:rPr>
        <w:t xml:space="preserve">. </w:t>
      </w:r>
      <w:r w:rsidR="001D5DDE" w:rsidRPr="000A38E5">
        <w:rPr>
          <w:lang w:val="uk-UA"/>
        </w:rPr>
        <w:t>Однак, у випадку приватних охоронних підприємств існує</w:t>
      </w:r>
      <w:r w:rsidR="00D83351" w:rsidRPr="00E93710">
        <w:rPr>
          <w:lang w:val="uk-UA"/>
        </w:rPr>
        <w:t xml:space="preserve"> </w:t>
      </w:r>
      <w:r w:rsidR="001D5DDE" w:rsidRPr="000A38E5">
        <w:rPr>
          <w:lang w:val="uk-UA"/>
        </w:rPr>
        <w:t>додатковий потенційний запобіжний крок</w:t>
      </w:r>
      <w:r w:rsidR="00D83351" w:rsidRPr="00E93710">
        <w:rPr>
          <w:lang w:val="uk-UA"/>
        </w:rPr>
        <w:t xml:space="preserve">, </w:t>
      </w:r>
      <w:r w:rsidR="007F1998" w:rsidRPr="000A38E5">
        <w:rPr>
          <w:lang w:val="uk-UA"/>
        </w:rPr>
        <w:t>а саме, можливість викликати співробітників державних правоохоронних органів</w:t>
      </w:r>
      <w:r w:rsidR="00D83351" w:rsidRPr="00E93710">
        <w:rPr>
          <w:lang w:val="uk-UA"/>
        </w:rPr>
        <w:t xml:space="preserve">. </w:t>
      </w:r>
      <w:r w:rsidR="007F1998" w:rsidRPr="000A38E5">
        <w:rPr>
          <w:lang w:val="uk-UA"/>
        </w:rPr>
        <w:t>За обставин, коли державні охоронні підприємства</w:t>
      </w:r>
      <w:r w:rsidR="00D83351" w:rsidRPr="00E93710">
        <w:rPr>
          <w:lang w:val="uk-UA"/>
        </w:rPr>
        <w:t xml:space="preserve"> </w:t>
      </w:r>
      <w:r w:rsidR="00F5519E" w:rsidRPr="000A38E5">
        <w:rPr>
          <w:lang w:val="uk-UA"/>
        </w:rPr>
        <w:t>використовують силу, відмовившись від можливості викликати державну поліцію</w:t>
      </w:r>
      <w:r w:rsidR="00D83351" w:rsidRPr="00E93710">
        <w:rPr>
          <w:lang w:val="uk-UA"/>
        </w:rPr>
        <w:t xml:space="preserve">, </w:t>
      </w:r>
      <w:r w:rsidR="00F5519E" w:rsidRPr="000A38E5">
        <w:rPr>
          <w:lang w:val="uk-UA"/>
        </w:rPr>
        <w:t>їх повне виконання умов обережності буде поставлено під сумнів</w:t>
      </w:r>
      <w:r w:rsidR="00D83351" w:rsidRPr="00E93710">
        <w:rPr>
          <w:lang w:val="uk-UA"/>
        </w:rPr>
        <w:t xml:space="preserve">. </w:t>
      </w:r>
      <w:r w:rsidR="00F5519E" w:rsidRPr="000A38E5">
        <w:rPr>
          <w:lang w:val="uk-UA"/>
        </w:rPr>
        <w:t>За обставин, коли надійшла допомога з боку органів влади</w:t>
      </w:r>
      <w:r w:rsidR="00D83351" w:rsidRPr="00E93710">
        <w:rPr>
          <w:lang w:val="uk-UA"/>
        </w:rPr>
        <w:t xml:space="preserve">, </w:t>
      </w:r>
      <w:r w:rsidR="00F5519E" w:rsidRPr="000A38E5">
        <w:rPr>
          <w:lang w:val="uk-UA"/>
        </w:rPr>
        <w:t>використання сили приватними охоронними підприємствами більше не буде виправданим</w:t>
      </w:r>
      <w:r w:rsidR="00D83351" w:rsidRPr="00E93710">
        <w:rPr>
          <w:lang w:val="uk-UA"/>
        </w:rPr>
        <w:t xml:space="preserve"> </w:t>
      </w:r>
      <w:r w:rsidR="00F5519E" w:rsidRPr="000A38E5">
        <w:rPr>
          <w:lang w:val="uk-UA"/>
        </w:rPr>
        <w:t>відповідно до принцип</w:t>
      </w:r>
      <w:r w:rsidR="00160ED1" w:rsidRPr="000A38E5">
        <w:rPr>
          <w:lang w:val="uk-UA"/>
        </w:rPr>
        <w:t>у</w:t>
      </w:r>
      <w:r w:rsidR="00F5519E" w:rsidRPr="000A38E5">
        <w:rPr>
          <w:lang w:val="uk-UA"/>
        </w:rPr>
        <w:t xml:space="preserve"> самозахисту або захисту інших осіб</w:t>
      </w:r>
      <w:r w:rsidR="00D83351" w:rsidRPr="00E93710">
        <w:rPr>
          <w:lang w:val="uk-UA"/>
        </w:rPr>
        <w:t>.</w:t>
      </w:r>
    </w:p>
    <w:p w:rsidR="00D83351" w:rsidRPr="00E93710" w:rsidRDefault="00D83351" w:rsidP="00852217">
      <w:pPr>
        <w:pStyle w:val="ECHRParaQuote"/>
        <w:rPr>
          <w:lang w:val="uk-UA"/>
        </w:rPr>
      </w:pPr>
      <w:r w:rsidRPr="00E93710">
        <w:rPr>
          <w:lang w:val="uk-UA"/>
        </w:rPr>
        <w:t>...</w:t>
      </w:r>
    </w:p>
    <w:p w:rsidR="00D83351" w:rsidRPr="00E93710" w:rsidRDefault="00BF2D3C" w:rsidP="00852217">
      <w:pPr>
        <w:pStyle w:val="ECHRParaQuote"/>
        <w:rPr>
          <w:lang w:val="uk-UA"/>
        </w:rPr>
      </w:pPr>
      <w:r w:rsidRPr="00E93710">
        <w:rPr>
          <w:lang w:val="uk-UA"/>
        </w:rPr>
        <w:t>103.</w:t>
      </w:r>
      <w:r w:rsidR="00334477" w:rsidRPr="000A38E5">
        <w:rPr>
          <w:lang w:val="uk-UA"/>
        </w:rPr>
        <w:t xml:space="preserve"> </w:t>
      </w:r>
      <w:r w:rsidR="00D738AA" w:rsidRPr="000A38E5">
        <w:rPr>
          <w:lang w:val="uk-UA"/>
        </w:rPr>
        <w:t>У корпоративному секторі існують декілька контекстів,</w:t>
      </w:r>
      <w:r w:rsidR="00D83351" w:rsidRPr="00E93710">
        <w:rPr>
          <w:lang w:val="uk-UA"/>
        </w:rPr>
        <w:t xml:space="preserve"> </w:t>
      </w:r>
      <w:r w:rsidR="00D738AA" w:rsidRPr="000A38E5">
        <w:rPr>
          <w:lang w:val="uk-UA"/>
        </w:rPr>
        <w:t>де поєднання приватної та громадської частини може бути проблематичним</w:t>
      </w:r>
      <w:r w:rsidR="00D83351" w:rsidRPr="00E93710">
        <w:rPr>
          <w:lang w:val="uk-UA"/>
        </w:rPr>
        <w:t xml:space="preserve">, </w:t>
      </w:r>
      <w:r w:rsidR="00D738AA" w:rsidRPr="000A38E5">
        <w:rPr>
          <w:lang w:val="uk-UA"/>
        </w:rPr>
        <w:t>такі, як масові трудові протести або спори</w:t>
      </w:r>
      <w:r w:rsidR="00D83351" w:rsidRPr="00E93710">
        <w:rPr>
          <w:lang w:val="uk-UA"/>
        </w:rPr>
        <w:t xml:space="preserve">, </w:t>
      </w:r>
      <w:r w:rsidR="00D738AA" w:rsidRPr="000A38E5">
        <w:rPr>
          <w:lang w:val="uk-UA"/>
        </w:rPr>
        <w:t>або інші масові зібрання, які відбуваються на приватній території або біля неї</w:t>
      </w:r>
      <w:r w:rsidR="00D83351" w:rsidRPr="00E93710">
        <w:rPr>
          <w:lang w:val="uk-UA"/>
        </w:rPr>
        <w:t xml:space="preserve">, </w:t>
      </w:r>
      <w:r w:rsidR="00E46BEF" w:rsidRPr="000A38E5">
        <w:rPr>
          <w:lang w:val="uk-UA"/>
        </w:rPr>
        <w:t>і відповідна корпорація може вирішити скористатися послугами приватного охоронного підприємства</w:t>
      </w:r>
      <w:r w:rsidR="00D83351" w:rsidRPr="00E93710">
        <w:rPr>
          <w:lang w:val="uk-UA"/>
        </w:rPr>
        <w:t xml:space="preserve"> </w:t>
      </w:r>
      <w:r w:rsidR="00E46BEF" w:rsidRPr="000A38E5">
        <w:rPr>
          <w:lang w:val="uk-UA"/>
        </w:rPr>
        <w:t>для забезпечення порядку</w:t>
      </w:r>
      <w:r w:rsidR="00D83351" w:rsidRPr="00E93710">
        <w:rPr>
          <w:lang w:val="uk-UA"/>
        </w:rPr>
        <w:t xml:space="preserve">. </w:t>
      </w:r>
      <w:r w:rsidR="00E46BEF" w:rsidRPr="000A38E5">
        <w:rPr>
          <w:lang w:val="uk-UA"/>
        </w:rPr>
        <w:t>Як зазначено вище, у контексті зібрань</w:t>
      </w:r>
      <w:r w:rsidR="00D83351" w:rsidRPr="00E93710">
        <w:rPr>
          <w:lang w:val="uk-UA"/>
        </w:rPr>
        <w:t xml:space="preserve"> </w:t>
      </w:r>
      <w:r w:rsidR="00E46BEF" w:rsidRPr="000A38E5">
        <w:rPr>
          <w:lang w:val="uk-UA"/>
        </w:rPr>
        <w:t>або іншої діяльності, яка відбувається на межі між приватним та громадським сектором</w:t>
      </w:r>
      <w:r w:rsidR="00D83351" w:rsidRPr="00E93710">
        <w:rPr>
          <w:lang w:val="uk-UA"/>
        </w:rPr>
        <w:t xml:space="preserve">, </w:t>
      </w:r>
      <w:r w:rsidR="00E46BEF" w:rsidRPr="000A38E5">
        <w:rPr>
          <w:lang w:val="uk-UA"/>
        </w:rPr>
        <w:t>фізично або концептуально</w:t>
      </w:r>
      <w:r w:rsidR="00D83351" w:rsidRPr="00E93710">
        <w:rPr>
          <w:lang w:val="uk-UA"/>
        </w:rPr>
        <w:t xml:space="preserve">, </w:t>
      </w:r>
      <w:r w:rsidR="00E46BEF" w:rsidRPr="000A38E5">
        <w:rPr>
          <w:lang w:val="uk-UA"/>
        </w:rPr>
        <w:t>важливо прийняти до уваги, що приватні охоронні підприємства</w:t>
      </w:r>
      <w:r w:rsidR="00D83351" w:rsidRPr="00E93710">
        <w:rPr>
          <w:lang w:val="uk-UA"/>
        </w:rPr>
        <w:t xml:space="preserve"> </w:t>
      </w:r>
      <w:r w:rsidR="00A64A93" w:rsidRPr="000A38E5">
        <w:rPr>
          <w:lang w:val="uk-UA"/>
        </w:rPr>
        <w:t>мають мандат та пріоритети, які відрізняються від того, чим наділена поліція</w:t>
      </w:r>
      <w:r w:rsidR="00D83351" w:rsidRPr="00E93710">
        <w:rPr>
          <w:lang w:val="uk-UA"/>
        </w:rPr>
        <w:t xml:space="preserve">. </w:t>
      </w:r>
      <w:r w:rsidR="00A64A93" w:rsidRPr="000A38E5">
        <w:rPr>
          <w:lang w:val="uk-UA"/>
        </w:rPr>
        <w:t>Таким чином, поліцію слід викликати при виникненні будь-яких невизначеностей між приватними та громадськими інтересами</w:t>
      </w:r>
      <w:r w:rsidR="00D83351" w:rsidRPr="00E93710">
        <w:rPr>
          <w:lang w:val="uk-UA"/>
        </w:rPr>
        <w:t xml:space="preserve">, </w:t>
      </w:r>
      <w:r w:rsidR="00A64A93" w:rsidRPr="000A38E5">
        <w:rPr>
          <w:lang w:val="uk-UA"/>
        </w:rPr>
        <w:t>особливо стосовно використання сили у таких контекстах</w:t>
      </w:r>
      <w:r w:rsidR="00D83351" w:rsidRPr="00E93710">
        <w:rPr>
          <w:lang w:val="uk-UA"/>
        </w:rPr>
        <w:t>.</w:t>
      </w:r>
    </w:p>
    <w:p w:rsidR="00D83351" w:rsidRPr="00E93710" w:rsidRDefault="00D83351" w:rsidP="00852217">
      <w:pPr>
        <w:pStyle w:val="ECHRParaQuote"/>
        <w:rPr>
          <w:lang w:val="uk-UA"/>
        </w:rPr>
      </w:pPr>
      <w:r w:rsidRPr="00E93710">
        <w:rPr>
          <w:lang w:val="uk-UA"/>
        </w:rPr>
        <w:t>...</w:t>
      </w:r>
    </w:p>
    <w:p w:rsidR="00D83351" w:rsidRPr="00E93710" w:rsidRDefault="00BF2D3C" w:rsidP="00852217">
      <w:pPr>
        <w:pStyle w:val="ECHRParaQuote"/>
        <w:rPr>
          <w:lang w:val="uk-UA"/>
        </w:rPr>
      </w:pPr>
      <w:r w:rsidRPr="00E93710">
        <w:rPr>
          <w:lang w:val="uk-UA"/>
        </w:rPr>
        <w:t>120.</w:t>
      </w:r>
      <w:r w:rsidR="00334477" w:rsidRPr="000A38E5">
        <w:rPr>
          <w:lang w:val="uk-UA"/>
        </w:rPr>
        <w:t xml:space="preserve"> </w:t>
      </w:r>
      <w:r w:rsidR="002B2E61" w:rsidRPr="000A38E5">
        <w:rPr>
          <w:bCs/>
          <w:lang w:val="uk-UA"/>
        </w:rPr>
        <w:t>Якщо держави прямо замовляють охоронні послуги у приватного охоронного підприємства</w:t>
      </w:r>
      <w:r w:rsidR="00D83351" w:rsidRPr="00E93710">
        <w:rPr>
          <w:bCs/>
          <w:lang w:val="uk-UA"/>
        </w:rPr>
        <w:t xml:space="preserve">, </w:t>
      </w:r>
      <w:r w:rsidR="002B2E61" w:rsidRPr="000A38E5">
        <w:rPr>
          <w:bCs/>
          <w:lang w:val="uk-UA"/>
        </w:rPr>
        <w:t>стандарти та рівень відповідальності держави за дії її агентів</w:t>
      </w:r>
      <w:r w:rsidR="00D83351" w:rsidRPr="00E93710">
        <w:rPr>
          <w:bCs/>
          <w:lang w:val="uk-UA"/>
        </w:rPr>
        <w:t xml:space="preserve"> </w:t>
      </w:r>
      <w:r w:rsidR="002B2E61" w:rsidRPr="000A38E5">
        <w:rPr>
          <w:bCs/>
          <w:lang w:val="uk-UA"/>
        </w:rPr>
        <w:t>повинні залишатися без змін</w:t>
      </w:r>
      <w:r w:rsidR="00D83351" w:rsidRPr="00E93710">
        <w:rPr>
          <w:bCs/>
          <w:lang w:val="uk-UA"/>
        </w:rPr>
        <w:t xml:space="preserve">. </w:t>
      </w:r>
      <w:r w:rsidR="009A234A" w:rsidRPr="000A38E5">
        <w:rPr>
          <w:bCs/>
          <w:lang w:val="uk-UA"/>
        </w:rPr>
        <w:t>Якщо приватні корпорації або приватні особи користуються послугами приватних охоронних підприємців</w:t>
      </w:r>
      <w:r w:rsidR="00D83351" w:rsidRPr="00E93710">
        <w:rPr>
          <w:bCs/>
          <w:lang w:val="uk-UA"/>
        </w:rPr>
        <w:t xml:space="preserve">, </w:t>
      </w:r>
      <w:r w:rsidR="009A234A" w:rsidRPr="000A38E5">
        <w:rPr>
          <w:bCs/>
          <w:lang w:val="uk-UA"/>
        </w:rPr>
        <w:t>або якщо корпорації забезпечують власний захист</w:t>
      </w:r>
      <w:r w:rsidR="00D83351" w:rsidRPr="00E93710">
        <w:rPr>
          <w:bCs/>
          <w:lang w:val="uk-UA"/>
        </w:rPr>
        <w:t xml:space="preserve">, </w:t>
      </w:r>
      <w:r w:rsidR="009A234A" w:rsidRPr="000A38E5">
        <w:rPr>
          <w:bCs/>
          <w:lang w:val="uk-UA"/>
        </w:rPr>
        <w:t>стандарти залишаються тими ж</w:t>
      </w:r>
      <w:r w:rsidR="00D83351" w:rsidRPr="00E93710">
        <w:rPr>
          <w:bCs/>
          <w:lang w:val="uk-UA"/>
        </w:rPr>
        <w:t xml:space="preserve">, </w:t>
      </w:r>
      <w:r w:rsidR="009A234A" w:rsidRPr="000A38E5">
        <w:rPr>
          <w:bCs/>
          <w:lang w:val="uk-UA"/>
        </w:rPr>
        <w:t>що повинно прояснити національне законодавство</w:t>
      </w:r>
      <w:r w:rsidR="00D83351" w:rsidRPr="00E93710">
        <w:rPr>
          <w:bCs/>
          <w:lang w:val="uk-UA"/>
        </w:rPr>
        <w:t xml:space="preserve">. </w:t>
      </w:r>
      <w:r w:rsidR="009A234A" w:rsidRPr="000A38E5">
        <w:rPr>
          <w:bCs/>
          <w:lang w:val="uk-UA"/>
        </w:rPr>
        <w:t>Держави повинні накладати на приватні охоронні підприємства та їх працівників обов’язок</w:t>
      </w:r>
      <w:r w:rsidR="00D83351" w:rsidRPr="00E93710">
        <w:rPr>
          <w:bCs/>
          <w:lang w:val="uk-UA"/>
        </w:rPr>
        <w:t xml:space="preserve"> </w:t>
      </w:r>
      <w:r w:rsidR="009A234A" w:rsidRPr="000A38E5">
        <w:rPr>
          <w:bCs/>
          <w:lang w:val="uk-UA"/>
        </w:rPr>
        <w:t>обачності стосовно прийняття на роботу</w:t>
      </w:r>
      <w:r w:rsidR="00D83351" w:rsidRPr="00E93710">
        <w:rPr>
          <w:bCs/>
          <w:lang w:val="uk-UA"/>
        </w:rPr>
        <w:t xml:space="preserve">, </w:t>
      </w:r>
      <w:r w:rsidR="009A234A" w:rsidRPr="000A38E5">
        <w:rPr>
          <w:bCs/>
          <w:lang w:val="uk-UA"/>
        </w:rPr>
        <w:t>навчання, обладнання</w:t>
      </w:r>
      <w:r w:rsidR="00D83351" w:rsidRPr="00E93710">
        <w:rPr>
          <w:bCs/>
          <w:lang w:val="uk-UA"/>
        </w:rPr>
        <w:t xml:space="preserve">, </w:t>
      </w:r>
      <w:r w:rsidR="009A234A" w:rsidRPr="000A38E5">
        <w:rPr>
          <w:bCs/>
          <w:lang w:val="uk-UA"/>
        </w:rPr>
        <w:t>планування, контролю та звітності</w:t>
      </w:r>
      <w:r w:rsidR="007A51C0" w:rsidRPr="000A38E5">
        <w:rPr>
          <w:bCs/>
          <w:lang w:val="uk-UA"/>
        </w:rPr>
        <w:t>.</w:t>
      </w:r>
      <w:r w:rsidR="00D83351" w:rsidRPr="00E93710">
        <w:rPr>
          <w:bCs/>
          <w:lang w:val="uk-UA"/>
        </w:rPr>
        <w:t xml:space="preserve"> </w:t>
      </w:r>
      <w:r w:rsidR="009A234A" w:rsidRPr="000A38E5">
        <w:rPr>
          <w:bCs/>
          <w:lang w:val="uk-UA"/>
        </w:rPr>
        <w:t>Крім того, за обставин, які, на їх думку, можуть призвести до використання сили</w:t>
      </w:r>
      <w:r w:rsidR="00D83351" w:rsidRPr="00E93710">
        <w:rPr>
          <w:bCs/>
          <w:lang w:val="uk-UA"/>
        </w:rPr>
        <w:t xml:space="preserve">, </w:t>
      </w:r>
      <w:r w:rsidR="009A234A" w:rsidRPr="000A38E5">
        <w:rPr>
          <w:bCs/>
          <w:lang w:val="uk-UA"/>
        </w:rPr>
        <w:t>працівники приватних охоронних підприємств</w:t>
      </w:r>
      <w:r w:rsidR="00D83351" w:rsidRPr="00E93710">
        <w:rPr>
          <w:bCs/>
          <w:lang w:val="uk-UA"/>
        </w:rPr>
        <w:t xml:space="preserve"> </w:t>
      </w:r>
      <w:r w:rsidR="009A234A" w:rsidRPr="000A38E5">
        <w:rPr>
          <w:bCs/>
          <w:lang w:val="uk-UA"/>
        </w:rPr>
        <w:t xml:space="preserve">повинні інформувати державні правоохоронні органи та діяти за їх </w:t>
      </w:r>
      <w:proofErr w:type="spellStart"/>
      <w:r w:rsidR="009A234A" w:rsidRPr="000A38E5">
        <w:rPr>
          <w:bCs/>
          <w:lang w:val="uk-UA"/>
        </w:rPr>
        <w:t>вказівками</w:t>
      </w:r>
      <w:r w:rsidR="00D83351" w:rsidRPr="00E93710">
        <w:rPr>
          <w:bCs/>
          <w:lang w:val="uk-UA"/>
        </w:rPr>
        <w:t>.</w:t>
      </w:r>
      <w:r w:rsidR="00D83351" w:rsidRPr="00E93710">
        <w:rPr>
          <w:lang w:val="uk-UA"/>
        </w:rPr>
        <w:t>”</w:t>
      </w:r>
      <w:proofErr w:type="spellEnd"/>
    </w:p>
    <w:p w:rsidR="00D83351" w:rsidRPr="000A38E5" w:rsidRDefault="00D83351" w:rsidP="00852217">
      <w:pPr>
        <w:pStyle w:val="ECHRHeading2"/>
        <w:rPr>
          <w:lang w:val="uk-UA"/>
        </w:rPr>
      </w:pPr>
      <w:r w:rsidRPr="00E93710">
        <w:rPr>
          <w:lang w:val="uk-UA"/>
        </w:rPr>
        <w:lastRenderedPageBreak/>
        <w:t>C.</w:t>
      </w:r>
      <w:r w:rsidR="002D32FD" w:rsidRPr="00E93710">
        <w:rPr>
          <w:lang w:val="uk-UA"/>
        </w:rPr>
        <w:t> Міжнародний</w:t>
      </w:r>
      <w:r w:rsidR="000A3C10" w:rsidRPr="000A38E5">
        <w:rPr>
          <w:lang w:val="uk-UA"/>
        </w:rPr>
        <w:t xml:space="preserve"> кодекс поведінки приватних охоронних компаній</w:t>
      </w:r>
    </w:p>
    <w:bookmarkStart w:id="83" w:name="international_code_of_conduct"/>
    <w:p w:rsidR="00D83351" w:rsidRPr="00E93710"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116</w:t>
      </w:r>
      <w:r w:rsidRPr="00E93710">
        <w:rPr>
          <w:lang w:val="uk-UA"/>
        </w:rPr>
        <w:fldChar w:fldCharType="end"/>
      </w:r>
      <w:bookmarkEnd w:id="83"/>
      <w:r w:rsidR="00D83351" w:rsidRPr="00E93710">
        <w:rPr>
          <w:lang w:val="uk-UA"/>
        </w:rPr>
        <w:t>.</w:t>
      </w:r>
      <w:r w:rsidR="00334477" w:rsidRPr="000A38E5">
        <w:rPr>
          <w:lang w:val="uk-UA"/>
        </w:rPr>
        <w:t xml:space="preserve"> </w:t>
      </w:r>
      <w:r w:rsidR="00600ECE" w:rsidRPr="000A38E5">
        <w:rPr>
          <w:lang w:val="uk-UA"/>
        </w:rPr>
        <w:t>Міжнародний кодекс поведінки приватних охоронних компаній від 9 листопада</w:t>
      </w:r>
      <w:r w:rsidR="00D83351" w:rsidRPr="00E93710">
        <w:rPr>
          <w:lang w:val="uk-UA"/>
        </w:rPr>
        <w:t xml:space="preserve"> 2010 </w:t>
      </w:r>
      <w:r w:rsidR="00600ECE" w:rsidRPr="000A38E5">
        <w:rPr>
          <w:lang w:val="uk-UA"/>
        </w:rPr>
        <w:t xml:space="preserve">р. </w:t>
      </w:r>
      <w:r w:rsidR="002B3EF8" w:rsidRPr="000A38E5">
        <w:rPr>
          <w:lang w:val="uk-UA"/>
        </w:rPr>
        <w:t>був складений в якості частини багатосторонньої ініціативи</w:t>
      </w:r>
      <w:r w:rsidR="00D83351" w:rsidRPr="00E93710">
        <w:rPr>
          <w:lang w:val="uk-UA"/>
        </w:rPr>
        <w:t xml:space="preserve"> </w:t>
      </w:r>
      <w:r w:rsidR="002B3EF8" w:rsidRPr="000A38E5">
        <w:rPr>
          <w:lang w:val="uk-UA"/>
        </w:rPr>
        <w:t>у міжнародному секторі приватної охорони</w:t>
      </w:r>
      <w:r w:rsidR="00D83351" w:rsidRPr="00E93710">
        <w:rPr>
          <w:lang w:val="uk-UA"/>
        </w:rPr>
        <w:t xml:space="preserve">, </w:t>
      </w:r>
      <w:r w:rsidR="00316E96" w:rsidRPr="000A38E5">
        <w:rPr>
          <w:lang w:val="uk-UA"/>
        </w:rPr>
        <w:t>й був підписаний багатьма охоронними компаніями</w:t>
      </w:r>
      <w:r w:rsidR="00D83351" w:rsidRPr="00E93710">
        <w:rPr>
          <w:lang w:val="uk-UA"/>
        </w:rPr>
        <w:t xml:space="preserve">. </w:t>
      </w:r>
      <w:r w:rsidR="00316E96" w:rsidRPr="000A38E5">
        <w:rPr>
          <w:lang w:val="uk-UA"/>
        </w:rPr>
        <w:t>Він містить, зокрема, наступний обов’язок</w:t>
      </w:r>
      <w:r w:rsidR="00D83351" w:rsidRPr="00E93710">
        <w:rPr>
          <w:lang w:val="uk-UA"/>
        </w:rPr>
        <w:t>:</w:t>
      </w:r>
    </w:p>
    <w:p w:rsidR="00D83351" w:rsidRPr="00E93710" w:rsidRDefault="00BF2D3C" w:rsidP="00852217">
      <w:pPr>
        <w:pStyle w:val="ECHRParaQuote"/>
        <w:rPr>
          <w:lang w:val="uk-UA"/>
        </w:rPr>
      </w:pPr>
      <w:r w:rsidRPr="00E93710">
        <w:rPr>
          <w:lang w:val="uk-UA"/>
        </w:rPr>
        <w:t>“43.</w:t>
      </w:r>
      <w:r w:rsidR="00334477" w:rsidRPr="000A38E5">
        <w:rPr>
          <w:lang w:val="uk-UA"/>
        </w:rPr>
        <w:t xml:space="preserve"> </w:t>
      </w:r>
      <w:r w:rsidR="00142A05" w:rsidRPr="000A38E5">
        <w:rPr>
          <w:lang w:val="uk-UA"/>
        </w:rPr>
        <w:t>У той мірі, в якій це відповідає розумним вимогам в області безпеки та безпеки громадського населення, компанії, які підписали Кодекс, їх працівники та клієнти</w:t>
      </w:r>
      <w:r w:rsidR="00D83351" w:rsidRPr="00E93710">
        <w:rPr>
          <w:lang w:val="uk-UA"/>
        </w:rPr>
        <w:t>:</w:t>
      </w:r>
    </w:p>
    <w:p w:rsidR="00D83351" w:rsidRPr="00E93710" w:rsidRDefault="00BF2D3C" w:rsidP="00852217">
      <w:pPr>
        <w:pStyle w:val="ECHRParaQuote"/>
        <w:rPr>
          <w:lang w:val="uk-UA"/>
        </w:rPr>
      </w:pPr>
      <w:r w:rsidRPr="00E93710">
        <w:rPr>
          <w:lang w:val="uk-UA"/>
        </w:rPr>
        <w:t>a)</w:t>
      </w:r>
      <w:r w:rsidR="00334477" w:rsidRPr="000A38E5">
        <w:rPr>
          <w:lang w:val="uk-UA"/>
        </w:rPr>
        <w:t xml:space="preserve"> </w:t>
      </w:r>
      <w:r w:rsidR="00712B0F" w:rsidRPr="000A38E5">
        <w:rPr>
          <w:lang w:val="uk-UA"/>
        </w:rPr>
        <w:t>вимагають, щоб кожний працівник мав особисті ідентифікаційні відзнаки при виконанні обов’язків за контрактом</w:t>
      </w:r>
      <w:r w:rsidR="00D83351" w:rsidRPr="00E93710">
        <w:rPr>
          <w:lang w:val="uk-UA"/>
        </w:rPr>
        <w:t xml:space="preserve"> ...”</w:t>
      </w:r>
    </w:p>
    <w:p w:rsidR="00D83351" w:rsidRPr="000A38E5" w:rsidRDefault="00D83351" w:rsidP="00852217">
      <w:pPr>
        <w:pStyle w:val="ECHRHeading2"/>
        <w:rPr>
          <w:lang w:val="uk-UA"/>
        </w:rPr>
      </w:pPr>
      <w:r w:rsidRPr="00E93710">
        <w:rPr>
          <w:lang w:val="uk-UA"/>
        </w:rPr>
        <w:t>D.</w:t>
      </w:r>
      <w:r w:rsidR="00334477" w:rsidRPr="000A38E5">
        <w:rPr>
          <w:lang w:val="uk-UA"/>
        </w:rPr>
        <w:t xml:space="preserve"> </w:t>
      </w:r>
      <w:r w:rsidR="000B5246" w:rsidRPr="000A38E5">
        <w:rPr>
          <w:lang w:val="uk-UA"/>
        </w:rPr>
        <w:t xml:space="preserve">Втручання </w:t>
      </w:r>
      <w:proofErr w:type="spellStart"/>
      <w:r w:rsidRPr="00E93710">
        <w:rPr>
          <w:lang w:val="uk-UA"/>
        </w:rPr>
        <w:t>Amnesty</w:t>
      </w:r>
      <w:proofErr w:type="spellEnd"/>
      <w:r w:rsidRPr="00E93710">
        <w:rPr>
          <w:lang w:val="uk-UA"/>
        </w:rPr>
        <w:t xml:space="preserve"> </w:t>
      </w:r>
      <w:proofErr w:type="spellStart"/>
      <w:r w:rsidRPr="00E93710">
        <w:rPr>
          <w:lang w:val="uk-UA"/>
        </w:rPr>
        <w:t>International</w:t>
      </w:r>
      <w:proofErr w:type="spellEnd"/>
    </w:p>
    <w:bookmarkStart w:id="84" w:name="Amnesty_letter"/>
    <w:p w:rsidR="00D83351" w:rsidRPr="000A38E5" w:rsidRDefault="004E7608" w:rsidP="00852217">
      <w:pPr>
        <w:pStyle w:val="ECHRPara"/>
        <w:rPr>
          <w:lang w:val="uk-UA"/>
        </w:rPr>
      </w:pPr>
      <w:r w:rsidRPr="00E93710">
        <w:rPr>
          <w:lang w:val="uk-UA"/>
        </w:rPr>
        <w:fldChar w:fldCharType="begin"/>
      </w:r>
      <w:r w:rsidR="00D83351" w:rsidRPr="000A38E5">
        <w:rPr>
          <w:lang w:val="uk-UA"/>
        </w:rPr>
        <w:instrText xml:space="preserve"> </w:instrText>
      </w:r>
      <w:r w:rsidR="00D83351" w:rsidRPr="00E93710">
        <w:rPr>
          <w:lang w:val="uk-UA"/>
        </w:rPr>
        <w:instrText>SEQ</w:instrText>
      </w:r>
      <w:r w:rsidR="00D83351" w:rsidRPr="000A38E5">
        <w:rPr>
          <w:lang w:val="uk-UA"/>
        </w:rPr>
        <w:instrText xml:space="preserve"> </w:instrText>
      </w:r>
      <w:r w:rsidR="00D83351" w:rsidRPr="00E93710">
        <w:rPr>
          <w:lang w:val="uk-UA"/>
        </w:rPr>
        <w:instrText>level</w:instrText>
      </w:r>
      <w:r w:rsidR="00D83351" w:rsidRPr="000A38E5">
        <w:rPr>
          <w:lang w:val="uk-UA"/>
        </w:rPr>
        <w:instrText>0 \*</w:instrText>
      </w:r>
      <w:r w:rsidR="00D83351" w:rsidRPr="00E93710">
        <w:rPr>
          <w:lang w:val="uk-UA"/>
        </w:rPr>
        <w:instrText>arabic</w:instrText>
      </w:r>
      <w:r w:rsidR="00D83351" w:rsidRPr="000A38E5">
        <w:rPr>
          <w:lang w:val="uk-UA"/>
        </w:rPr>
        <w:instrText xml:space="preserve"> </w:instrText>
      </w:r>
      <w:r w:rsidRPr="00E93710">
        <w:rPr>
          <w:lang w:val="uk-UA"/>
        </w:rPr>
        <w:fldChar w:fldCharType="separate"/>
      </w:r>
      <w:r w:rsidR="0075299E" w:rsidRPr="00E93710">
        <w:rPr>
          <w:noProof/>
          <w:lang w:val="uk-UA"/>
        </w:rPr>
        <w:t>117</w:t>
      </w:r>
      <w:r w:rsidRPr="00E93710">
        <w:rPr>
          <w:lang w:val="uk-UA"/>
        </w:rPr>
        <w:fldChar w:fldCharType="end"/>
      </w:r>
      <w:bookmarkEnd w:id="84"/>
      <w:r w:rsidR="00D83351" w:rsidRPr="000A38E5">
        <w:rPr>
          <w:lang w:val="uk-UA"/>
        </w:rPr>
        <w:t>.</w:t>
      </w:r>
      <w:r w:rsidR="00334477" w:rsidRPr="000A38E5">
        <w:rPr>
          <w:lang w:val="uk-UA"/>
        </w:rPr>
        <w:t xml:space="preserve"> </w:t>
      </w:r>
      <w:r w:rsidR="005E799F" w:rsidRPr="000A38E5">
        <w:rPr>
          <w:lang w:val="uk-UA"/>
        </w:rPr>
        <w:t>17 червня</w:t>
      </w:r>
      <w:r w:rsidR="00D83351" w:rsidRPr="000A38E5">
        <w:rPr>
          <w:lang w:val="uk-UA"/>
        </w:rPr>
        <w:t xml:space="preserve"> 2010 </w:t>
      </w:r>
      <w:r w:rsidR="005E799F" w:rsidRPr="000A38E5">
        <w:rPr>
          <w:lang w:val="uk-UA"/>
        </w:rPr>
        <w:t xml:space="preserve">р. директор </w:t>
      </w:r>
      <w:proofErr w:type="spellStart"/>
      <w:r w:rsidR="00D83351" w:rsidRPr="00E93710">
        <w:rPr>
          <w:lang w:val="uk-UA"/>
        </w:rPr>
        <w:t>Amnesty</w:t>
      </w:r>
      <w:proofErr w:type="spellEnd"/>
      <w:r w:rsidR="00D83351" w:rsidRPr="000A38E5">
        <w:rPr>
          <w:lang w:val="uk-UA"/>
        </w:rPr>
        <w:t xml:space="preserve"> </w:t>
      </w:r>
      <w:proofErr w:type="spellStart"/>
      <w:r w:rsidR="00D83351" w:rsidRPr="00E93710">
        <w:rPr>
          <w:lang w:val="uk-UA"/>
        </w:rPr>
        <w:t>International</w:t>
      </w:r>
      <w:proofErr w:type="spellEnd"/>
      <w:r w:rsidR="00D83351" w:rsidRPr="000A38E5">
        <w:rPr>
          <w:lang w:val="uk-UA"/>
        </w:rPr>
        <w:t xml:space="preserve"> </w:t>
      </w:r>
      <w:r w:rsidR="005E799F" w:rsidRPr="000A38E5">
        <w:rPr>
          <w:lang w:val="uk-UA"/>
        </w:rPr>
        <w:t>стосовно Європи та центральної Азії</w:t>
      </w:r>
      <w:r w:rsidR="00D83351" w:rsidRPr="000A38E5">
        <w:rPr>
          <w:lang w:val="uk-UA"/>
        </w:rPr>
        <w:t xml:space="preserve"> </w:t>
      </w:r>
      <w:r w:rsidR="005E799F" w:rsidRPr="000A38E5">
        <w:rPr>
          <w:lang w:val="uk-UA"/>
        </w:rPr>
        <w:t>написав Генеральному прокурору України лист з описом</w:t>
      </w:r>
      <w:r w:rsidR="00D83351" w:rsidRPr="000A38E5">
        <w:rPr>
          <w:lang w:val="uk-UA"/>
        </w:rPr>
        <w:t xml:space="preserve"> </w:t>
      </w:r>
      <w:r w:rsidR="00CC1B7F" w:rsidRPr="000A38E5">
        <w:rPr>
          <w:lang w:val="uk-UA"/>
        </w:rPr>
        <w:t>фонової інформації до подій у парку ім. Горького</w:t>
      </w:r>
      <w:r w:rsidR="00D83351" w:rsidRPr="000A38E5">
        <w:rPr>
          <w:lang w:val="uk-UA"/>
        </w:rPr>
        <w:t xml:space="preserve"> </w:t>
      </w:r>
      <w:r w:rsidR="00CC1B7F" w:rsidRPr="000A38E5">
        <w:rPr>
          <w:lang w:val="uk-UA"/>
        </w:rPr>
        <w:t>та закликав Генерального прокурора здійснити ряд заходів</w:t>
      </w:r>
      <w:r w:rsidR="00D83351" w:rsidRPr="000A38E5">
        <w:rPr>
          <w:lang w:val="uk-UA"/>
        </w:rPr>
        <w:t xml:space="preserve"> </w:t>
      </w:r>
      <w:r w:rsidR="00CC1B7F" w:rsidRPr="000A38E5">
        <w:rPr>
          <w:lang w:val="uk-UA"/>
        </w:rPr>
        <w:t>для захисту протестуючих у парку ім. Горького</w:t>
      </w:r>
      <w:r w:rsidR="00D83351" w:rsidRPr="000A38E5">
        <w:rPr>
          <w:lang w:val="uk-UA"/>
        </w:rPr>
        <w:t xml:space="preserve">. </w:t>
      </w:r>
      <w:r w:rsidR="00CC1B7F" w:rsidRPr="000A38E5">
        <w:rPr>
          <w:lang w:val="uk-UA"/>
        </w:rPr>
        <w:t>Лист містив наступні уривки</w:t>
      </w:r>
      <w:r w:rsidR="00D83351" w:rsidRPr="000A38E5">
        <w:rPr>
          <w:lang w:val="uk-UA"/>
        </w:rPr>
        <w:t>:</w:t>
      </w:r>
    </w:p>
    <w:p w:rsidR="00D83351" w:rsidRPr="00E93710" w:rsidRDefault="00D83351" w:rsidP="00852217">
      <w:pPr>
        <w:pStyle w:val="ECHRParaQuote"/>
        <w:rPr>
          <w:lang w:val="uk-UA"/>
        </w:rPr>
      </w:pPr>
      <w:proofErr w:type="spellStart"/>
      <w:r w:rsidRPr="000A38E5">
        <w:rPr>
          <w:lang w:val="uk-UA"/>
        </w:rPr>
        <w:t>“</w:t>
      </w:r>
      <w:r w:rsidR="001A47FC" w:rsidRPr="000A38E5">
        <w:rPr>
          <w:lang w:val="uk-UA"/>
        </w:rPr>
        <w:t>Відповідно</w:t>
      </w:r>
      <w:proofErr w:type="spellEnd"/>
      <w:r w:rsidR="001A47FC" w:rsidRPr="000A38E5">
        <w:rPr>
          <w:lang w:val="uk-UA"/>
        </w:rPr>
        <w:t xml:space="preserve"> до інформації, отриманої</w:t>
      </w:r>
      <w:r w:rsidRPr="000A38E5">
        <w:rPr>
          <w:lang w:val="uk-UA"/>
        </w:rPr>
        <w:t xml:space="preserve"> </w:t>
      </w:r>
      <w:proofErr w:type="spellStart"/>
      <w:r w:rsidRPr="00E93710">
        <w:rPr>
          <w:lang w:val="uk-UA"/>
        </w:rPr>
        <w:t>Amnesty</w:t>
      </w:r>
      <w:proofErr w:type="spellEnd"/>
      <w:r w:rsidRPr="000A38E5">
        <w:rPr>
          <w:lang w:val="uk-UA"/>
        </w:rPr>
        <w:t xml:space="preserve"> </w:t>
      </w:r>
      <w:proofErr w:type="spellStart"/>
      <w:r w:rsidRPr="00E93710">
        <w:rPr>
          <w:lang w:val="uk-UA"/>
        </w:rPr>
        <w:t>International</w:t>
      </w:r>
      <w:proofErr w:type="spellEnd"/>
      <w:r w:rsidRPr="000A38E5">
        <w:rPr>
          <w:lang w:val="uk-UA"/>
        </w:rPr>
        <w:t xml:space="preserve">, </w:t>
      </w:r>
      <w:r w:rsidR="001A47FC" w:rsidRPr="000A38E5">
        <w:rPr>
          <w:lang w:val="uk-UA"/>
        </w:rPr>
        <w:t>приблизно біля 6 години ранку 28 травня</w:t>
      </w:r>
      <w:r w:rsidRPr="000A38E5">
        <w:rPr>
          <w:lang w:val="uk-UA"/>
        </w:rPr>
        <w:t xml:space="preserve"> </w:t>
      </w:r>
      <w:r w:rsidR="001A47FC" w:rsidRPr="000A38E5">
        <w:rPr>
          <w:lang w:val="uk-UA"/>
        </w:rPr>
        <w:t>велика кількість охоронців з «Муніципальної Охорони»</w:t>
      </w:r>
      <w:r w:rsidRPr="000A38E5">
        <w:rPr>
          <w:lang w:val="uk-UA"/>
        </w:rPr>
        <w:t xml:space="preserve"> </w:t>
      </w:r>
      <w:r w:rsidR="001A47FC" w:rsidRPr="000A38E5">
        <w:rPr>
          <w:lang w:val="uk-UA"/>
        </w:rPr>
        <w:t>почала розривати людський ланцюг,</w:t>
      </w:r>
      <w:r w:rsidRPr="000A38E5">
        <w:rPr>
          <w:lang w:val="uk-UA"/>
        </w:rPr>
        <w:t xml:space="preserve"> </w:t>
      </w:r>
      <w:r w:rsidR="001A47FC" w:rsidRPr="000A38E5">
        <w:rPr>
          <w:lang w:val="uk-UA"/>
        </w:rPr>
        <w:t>який був сформований демонстрантами</w:t>
      </w:r>
      <w:r w:rsidRPr="000A38E5">
        <w:rPr>
          <w:lang w:val="uk-UA"/>
        </w:rPr>
        <w:t xml:space="preserve">. </w:t>
      </w:r>
      <w:r w:rsidR="001A47FC" w:rsidRPr="000A38E5">
        <w:rPr>
          <w:lang w:val="uk-UA"/>
        </w:rPr>
        <w:t>Через декілька хвилин до них приєдналися міліціонери</w:t>
      </w:r>
      <w:r w:rsidRPr="000A38E5">
        <w:rPr>
          <w:lang w:val="uk-UA"/>
        </w:rPr>
        <w:t xml:space="preserve">, </w:t>
      </w:r>
      <w:r w:rsidR="001A47FC" w:rsidRPr="000A38E5">
        <w:rPr>
          <w:lang w:val="uk-UA"/>
        </w:rPr>
        <w:t>які після цього затримали</w:t>
      </w:r>
      <w:r w:rsidRPr="000A38E5">
        <w:rPr>
          <w:lang w:val="uk-UA"/>
        </w:rPr>
        <w:t xml:space="preserve"> 10-12 </w:t>
      </w:r>
      <w:r w:rsidR="001A47FC" w:rsidRPr="000A38E5">
        <w:rPr>
          <w:lang w:val="uk-UA"/>
        </w:rPr>
        <w:t>осіб та відправили їх до Дзержинського районного відділення міліції</w:t>
      </w:r>
      <w:r w:rsidRPr="000A38E5">
        <w:rPr>
          <w:lang w:val="uk-UA"/>
        </w:rPr>
        <w:t xml:space="preserve"> ... </w:t>
      </w:r>
      <w:r w:rsidR="00B94B8C" w:rsidRPr="000A38E5">
        <w:rPr>
          <w:lang w:val="uk-UA"/>
        </w:rPr>
        <w:t xml:space="preserve">Андрій </w:t>
      </w:r>
      <w:proofErr w:type="spellStart"/>
      <w:r w:rsidR="00B94B8C" w:rsidRPr="000A38E5">
        <w:rPr>
          <w:lang w:val="uk-UA"/>
        </w:rPr>
        <w:t>Єварницький</w:t>
      </w:r>
      <w:proofErr w:type="spellEnd"/>
      <w:r w:rsidR="00B94B8C" w:rsidRPr="000A38E5">
        <w:rPr>
          <w:lang w:val="uk-UA"/>
        </w:rPr>
        <w:t xml:space="preserve"> та Денис </w:t>
      </w:r>
      <w:proofErr w:type="spellStart"/>
      <w:r w:rsidR="00B94B8C" w:rsidRPr="000A38E5">
        <w:rPr>
          <w:lang w:val="uk-UA"/>
        </w:rPr>
        <w:t>Чернега</w:t>
      </w:r>
      <w:proofErr w:type="spellEnd"/>
      <w:r w:rsidRPr="00E93710">
        <w:rPr>
          <w:lang w:val="uk-UA"/>
        </w:rPr>
        <w:t xml:space="preserve"> </w:t>
      </w:r>
      <w:r w:rsidR="00BC1273" w:rsidRPr="000A38E5">
        <w:rPr>
          <w:lang w:val="uk-UA"/>
        </w:rPr>
        <w:t>були обвинувачені та згодом засуджені до затримання строком на 15 діб 9 червня</w:t>
      </w:r>
      <w:r w:rsidRPr="00E93710">
        <w:rPr>
          <w:lang w:val="uk-UA"/>
        </w:rPr>
        <w:t xml:space="preserve"> ... </w:t>
      </w:r>
      <w:r w:rsidR="00BC1273" w:rsidRPr="000A38E5">
        <w:rPr>
          <w:lang w:val="uk-UA"/>
        </w:rPr>
        <w:t>Свідки стверджують, що протягом цих подій міліціонери не висловлювали ніяких вимог</w:t>
      </w:r>
      <w:r w:rsidRPr="00E93710">
        <w:rPr>
          <w:lang w:val="uk-UA"/>
        </w:rPr>
        <w:t xml:space="preserve"> </w:t>
      </w:r>
      <w:r w:rsidR="00BC1273" w:rsidRPr="000A38E5">
        <w:rPr>
          <w:lang w:val="uk-UA"/>
        </w:rPr>
        <w:t>по відношенню до демонстрантів, які могли б привести до цих обвинувачень</w:t>
      </w:r>
      <w:r w:rsidRPr="00E93710">
        <w:rPr>
          <w:lang w:val="uk-UA"/>
        </w:rPr>
        <w:t>.</w:t>
      </w:r>
    </w:p>
    <w:p w:rsidR="00D83351" w:rsidRPr="00E93710" w:rsidRDefault="00D83351" w:rsidP="00852217">
      <w:pPr>
        <w:pStyle w:val="ECHRParaQuote"/>
        <w:rPr>
          <w:lang w:val="uk-UA"/>
        </w:rPr>
      </w:pPr>
      <w:r w:rsidRPr="00E93710">
        <w:rPr>
          <w:lang w:val="uk-UA"/>
        </w:rPr>
        <w:t>...</w:t>
      </w:r>
    </w:p>
    <w:p w:rsidR="00D83351" w:rsidRPr="00E93710" w:rsidRDefault="00874639" w:rsidP="00852217">
      <w:pPr>
        <w:pStyle w:val="ECHRParaQuote"/>
        <w:rPr>
          <w:lang w:val="uk-UA"/>
        </w:rPr>
      </w:pPr>
      <w:r w:rsidRPr="000A38E5">
        <w:rPr>
          <w:lang w:val="uk-UA"/>
        </w:rPr>
        <w:t>З інформації, доступної</w:t>
      </w:r>
      <w:r w:rsidR="00D83351" w:rsidRPr="00E93710">
        <w:rPr>
          <w:lang w:val="uk-UA"/>
        </w:rPr>
        <w:t xml:space="preserve"> </w:t>
      </w:r>
      <w:proofErr w:type="spellStart"/>
      <w:r w:rsidR="00D83351" w:rsidRPr="00E93710">
        <w:rPr>
          <w:lang w:val="uk-UA"/>
        </w:rPr>
        <w:t>Amnesty</w:t>
      </w:r>
      <w:proofErr w:type="spellEnd"/>
      <w:r w:rsidR="00D83351" w:rsidRPr="00E93710">
        <w:rPr>
          <w:lang w:val="uk-UA"/>
        </w:rPr>
        <w:t xml:space="preserve"> </w:t>
      </w:r>
      <w:proofErr w:type="spellStart"/>
      <w:r w:rsidR="00D83351" w:rsidRPr="00E93710">
        <w:rPr>
          <w:lang w:val="uk-UA"/>
        </w:rPr>
        <w:t>International</w:t>
      </w:r>
      <w:proofErr w:type="spellEnd"/>
      <w:r w:rsidRPr="000A38E5">
        <w:rPr>
          <w:lang w:val="uk-UA"/>
        </w:rPr>
        <w:t>,</w:t>
      </w:r>
      <w:r w:rsidR="00D83351" w:rsidRPr="00E93710">
        <w:rPr>
          <w:lang w:val="uk-UA"/>
        </w:rPr>
        <w:t xml:space="preserve"> </w:t>
      </w:r>
      <w:r w:rsidR="001D5631" w:rsidRPr="000A38E5">
        <w:rPr>
          <w:lang w:val="uk-UA"/>
        </w:rPr>
        <w:t xml:space="preserve">видається, що Андрій </w:t>
      </w:r>
      <w:proofErr w:type="spellStart"/>
      <w:r w:rsidR="001D5631" w:rsidRPr="000A38E5">
        <w:rPr>
          <w:lang w:val="uk-UA"/>
        </w:rPr>
        <w:t>Єварницький</w:t>
      </w:r>
      <w:proofErr w:type="spellEnd"/>
      <w:r w:rsidR="001D5631" w:rsidRPr="000A38E5">
        <w:rPr>
          <w:lang w:val="uk-UA"/>
        </w:rPr>
        <w:t xml:space="preserve"> та Денис </w:t>
      </w:r>
      <w:proofErr w:type="spellStart"/>
      <w:r w:rsidR="001D5631" w:rsidRPr="000A38E5">
        <w:rPr>
          <w:lang w:val="uk-UA"/>
        </w:rPr>
        <w:t>Чернега</w:t>
      </w:r>
      <w:proofErr w:type="spellEnd"/>
      <w:r w:rsidR="00D83351" w:rsidRPr="00E93710">
        <w:rPr>
          <w:lang w:val="uk-UA"/>
        </w:rPr>
        <w:t xml:space="preserve"> </w:t>
      </w:r>
      <w:r w:rsidR="001D5631" w:rsidRPr="000A38E5">
        <w:rPr>
          <w:lang w:val="uk-UA"/>
        </w:rPr>
        <w:t>були засуджені до покарання, яке дорівнює позбавленню волі</w:t>
      </w:r>
      <w:r w:rsidR="00D83351" w:rsidRPr="00E93710">
        <w:rPr>
          <w:lang w:val="uk-UA"/>
        </w:rPr>
        <w:t xml:space="preserve"> </w:t>
      </w:r>
      <w:r w:rsidR="001D5631" w:rsidRPr="000A38E5">
        <w:rPr>
          <w:lang w:val="uk-UA"/>
        </w:rPr>
        <w:t>за мирне здійснення свого права на свободу зібрання та висловлення</w:t>
      </w:r>
      <w:r w:rsidR="00D83351" w:rsidRPr="00E93710">
        <w:rPr>
          <w:lang w:val="uk-UA"/>
        </w:rPr>
        <w:t xml:space="preserve">, </w:t>
      </w:r>
      <w:r w:rsidR="001D5631" w:rsidRPr="000A38E5">
        <w:rPr>
          <w:lang w:val="uk-UA"/>
        </w:rPr>
        <w:t xml:space="preserve">і через це організація вважає їх в’язнями </w:t>
      </w:r>
      <w:proofErr w:type="spellStart"/>
      <w:r w:rsidR="001D5631" w:rsidRPr="000A38E5">
        <w:rPr>
          <w:lang w:val="uk-UA"/>
        </w:rPr>
        <w:t>совісті</w:t>
      </w:r>
      <w:r w:rsidR="00D83351" w:rsidRPr="00E93710">
        <w:rPr>
          <w:lang w:val="uk-UA"/>
        </w:rPr>
        <w:t>.”</w:t>
      </w:r>
      <w:proofErr w:type="spellEnd"/>
    </w:p>
    <w:p w:rsidR="00D4256A" w:rsidRPr="000A38E5" w:rsidRDefault="00D4256A" w:rsidP="00D4256A">
      <w:pPr>
        <w:pStyle w:val="ECHRHeading1"/>
        <w:rPr>
          <w:lang w:val="uk-UA"/>
        </w:rPr>
      </w:pPr>
      <w:r w:rsidRPr="000A38E5">
        <w:t>III</w:t>
      </w:r>
      <w:r w:rsidRPr="00E93710">
        <w:rPr>
          <w:lang w:val="uk-UA"/>
        </w:rPr>
        <w:t xml:space="preserve">. </w:t>
      </w:r>
      <w:r w:rsidRPr="000A38E5">
        <w:rPr>
          <w:lang w:val="uk-UA"/>
        </w:rPr>
        <w:t>ВІДПОВІДНІ МІЖНАРОДНІ МАТЕРІАЛИ</w:t>
      </w:r>
    </w:p>
    <w:p w:rsidR="00D4256A" w:rsidRPr="000A38E5" w:rsidRDefault="00D4256A" w:rsidP="00D4256A">
      <w:pPr>
        <w:pStyle w:val="ECHRHeading2"/>
        <w:rPr>
          <w:lang w:val="uk-UA"/>
        </w:rPr>
      </w:pPr>
      <w:r w:rsidRPr="000A38E5">
        <w:t>A</w:t>
      </w:r>
      <w:r w:rsidRPr="00E93710">
        <w:rPr>
          <w:lang w:val="uk-UA"/>
        </w:rPr>
        <w:t>.</w:t>
      </w:r>
      <w:r w:rsidRPr="000A38E5">
        <w:t> </w:t>
      </w:r>
      <w:r w:rsidRPr="00E93710">
        <w:rPr>
          <w:lang w:val="uk-UA"/>
        </w:rPr>
        <w:t>Керівні</w:t>
      </w:r>
      <w:r w:rsidRPr="000A38E5">
        <w:rPr>
          <w:lang w:val="uk-UA"/>
        </w:rPr>
        <w:t xml:space="preserve"> принципи щодо свободи мирних зібрань</w:t>
      </w:r>
    </w:p>
    <w:p w:rsidR="00D4256A" w:rsidRPr="000A38E5" w:rsidRDefault="004E7608" w:rsidP="00D4256A">
      <w:pPr>
        <w:pStyle w:val="ECHRPara"/>
        <w:rPr>
          <w:lang w:val="uk-UA"/>
        </w:rPr>
      </w:pPr>
      <w:r w:rsidRPr="000A38E5">
        <w:fldChar w:fldCharType="begin"/>
      </w:r>
      <w:r w:rsidR="00D4256A" w:rsidRPr="000A38E5">
        <w:rPr>
          <w:lang w:val="uk-UA"/>
        </w:rPr>
        <w:instrText xml:space="preserve"> </w:instrText>
      </w:r>
      <w:r w:rsidR="00D4256A" w:rsidRPr="000A38E5">
        <w:instrText>SEQ</w:instrText>
      </w:r>
      <w:r w:rsidR="00D4256A" w:rsidRPr="000A38E5">
        <w:rPr>
          <w:lang w:val="uk-UA"/>
        </w:rPr>
        <w:instrText xml:space="preserve"> </w:instrText>
      </w:r>
      <w:r w:rsidR="00D4256A" w:rsidRPr="000A38E5">
        <w:instrText>level</w:instrText>
      </w:r>
      <w:r w:rsidR="00D4256A" w:rsidRPr="000A38E5">
        <w:rPr>
          <w:lang w:val="uk-UA"/>
        </w:rPr>
        <w:instrText>0 \*</w:instrText>
      </w:r>
      <w:r w:rsidR="00D4256A" w:rsidRPr="000A38E5">
        <w:instrText>arabic</w:instrText>
      </w:r>
      <w:r w:rsidR="00D4256A" w:rsidRPr="000A38E5">
        <w:rPr>
          <w:lang w:val="uk-UA"/>
        </w:rPr>
        <w:instrText xml:space="preserve"> </w:instrText>
      </w:r>
      <w:r w:rsidRPr="000A38E5">
        <w:fldChar w:fldCharType="separate"/>
      </w:r>
      <w:r w:rsidR="00D4256A" w:rsidRPr="000A38E5">
        <w:rPr>
          <w:noProof/>
          <w:lang w:val="uk-UA"/>
        </w:rPr>
        <w:t>113</w:t>
      </w:r>
      <w:r w:rsidRPr="000A38E5">
        <w:fldChar w:fldCharType="end"/>
      </w:r>
      <w:r w:rsidR="00D4256A" w:rsidRPr="000A38E5">
        <w:rPr>
          <w:lang w:val="uk-UA"/>
        </w:rPr>
        <w:t>.</w:t>
      </w:r>
      <w:r w:rsidR="00D4256A" w:rsidRPr="00E93710">
        <w:rPr>
          <w:lang w:val="uk-UA"/>
        </w:rPr>
        <w:t xml:space="preserve"> </w:t>
      </w:r>
      <w:r w:rsidR="00D4256A" w:rsidRPr="000A38E5">
        <w:rPr>
          <w:lang w:val="uk-UA"/>
        </w:rPr>
        <w:t>Керівні принципи щодо свободи мирних зібрань, розроблені Управлінням з питань демократії та прав людини Організації з безпеки та співробітництва в Європі та Венеціанською комісією, та прийняті Венеціанською комісією на її 83-му Пленарному засіданні (4 червня 2010 р.) передбачають, у відповідній частині:</w:t>
      </w:r>
    </w:p>
    <w:p w:rsidR="00D4256A" w:rsidRPr="000A38E5" w:rsidRDefault="00D4256A" w:rsidP="00D4256A">
      <w:pPr>
        <w:pStyle w:val="ECHRTitleCentre3"/>
        <w:rPr>
          <w:lang w:val="uk-UA"/>
        </w:rPr>
      </w:pPr>
      <w:r w:rsidRPr="000A38E5">
        <w:rPr>
          <w:lang w:val="uk-UA"/>
        </w:rPr>
        <w:t>Розділ</w:t>
      </w:r>
      <w:r w:rsidRPr="000A38E5">
        <w:rPr>
          <w:lang w:val="ru-RU"/>
        </w:rPr>
        <w:t xml:space="preserve"> </w:t>
      </w:r>
      <w:r w:rsidRPr="000A38E5">
        <w:t>A</w:t>
      </w:r>
      <w:r w:rsidRPr="000A38E5">
        <w:rPr>
          <w:lang w:val="ru-RU"/>
        </w:rPr>
        <w:t xml:space="preserve"> – </w:t>
      </w:r>
      <w:r w:rsidRPr="000A38E5">
        <w:rPr>
          <w:lang w:val="uk-UA"/>
        </w:rPr>
        <w:t>Керівні принципи щодо права на свободу мирних зібрань</w:t>
      </w:r>
      <w:r w:rsidRPr="000A38E5">
        <w:rPr>
          <w:lang w:val="ru-RU"/>
        </w:rPr>
        <w:br/>
        <w:t xml:space="preserve">1. </w:t>
      </w:r>
      <w:r w:rsidRPr="000A38E5">
        <w:rPr>
          <w:lang w:val="uk-UA"/>
        </w:rPr>
        <w:t>Право на свободу мирних зібрань</w:t>
      </w:r>
    </w:p>
    <w:p w:rsidR="00D4256A" w:rsidRPr="000A38E5" w:rsidRDefault="00D4256A" w:rsidP="00D4256A">
      <w:pPr>
        <w:pStyle w:val="ECHRParaQuote"/>
        <w:rPr>
          <w:lang w:val="ru-RU"/>
        </w:rPr>
      </w:pPr>
      <w:r w:rsidRPr="000A38E5">
        <w:rPr>
          <w:lang w:val="ru-RU"/>
        </w:rPr>
        <w:t>“...</w:t>
      </w:r>
    </w:p>
    <w:p w:rsidR="00D4256A" w:rsidRPr="000A38E5" w:rsidRDefault="00D4256A" w:rsidP="00D4256A">
      <w:pPr>
        <w:pStyle w:val="ECHRParaQuote"/>
        <w:rPr>
          <w:lang w:val="ru-RU"/>
        </w:rPr>
      </w:pPr>
      <w:r w:rsidRPr="000A38E5">
        <w:rPr>
          <w:bCs/>
          <w:lang w:val="ru-RU"/>
        </w:rPr>
        <w:t>1.2</w:t>
      </w:r>
      <w:r w:rsidRPr="00E93710">
        <w:rPr>
          <w:bCs/>
          <w:lang w:val="ru-RU"/>
        </w:rPr>
        <w:t xml:space="preserve"> </w:t>
      </w:r>
      <w:r w:rsidRPr="000A38E5">
        <w:rPr>
          <w:bCs/>
          <w:lang w:val="uk-UA"/>
        </w:rPr>
        <w:t>Визначення терміна «зібрання»</w:t>
      </w:r>
      <w:r w:rsidRPr="000A38E5">
        <w:rPr>
          <w:bCs/>
          <w:lang w:val="ru-RU"/>
        </w:rPr>
        <w:t xml:space="preserve">. </w:t>
      </w:r>
      <w:r w:rsidRPr="000A38E5">
        <w:rPr>
          <w:lang w:val="uk-UA"/>
        </w:rPr>
        <w:t>Для цілей цих Керівних принципів</w:t>
      </w:r>
      <w:r w:rsidRPr="000A38E5">
        <w:rPr>
          <w:lang w:val="ru-RU"/>
        </w:rPr>
        <w:t xml:space="preserve">, </w:t>
      </w:r>
      <w:r w:rsidRPr="000A38E5">
        <w:rPr>
          <w:lang w:val="uk-UA"/>
        </w:rPr>
        <w:t>термін «зібрання» означає навмисну та тимчасову присутність</w:t>
      </w:r>
      <w:r w:rsidRPr="000A38E5">
        <w:rPr>
          <w:lang w:val="ru-RU"/>
        </w:rPr>
        <w:t xml:space="preserve"> </w:t>
      </w:r>
      <w:r w:rsidRPr="000A38E5">
        <w:rPr>
          <w:lang w:val="uk-UA"/>
        </w:rPr>
        <w:t>у громадському місці групи осіб з метою висловлення спільних інтересів</w:t>
      </w:r>
      <w:r w:rsidRPr="000A38E5">
        <w:rPr>
          <w:lang w:val="ru-RU"/>
        </w:rPr>
        <w:t xml:space="preserve">. </w:t>
      </w:r>
      <w:r w:rsidRPr="000A38E5">
        <w:rPr>
          <w:lang w:val="uk-UA"/>
        </w:rPr>
        <w:t>Це висловлення означає, що хоча окремі категорії зібрань</w:t>
      </w:r>
      <w:r w:rsidRPr="000A38E5">
        <w:rPr>
          <w:lang w:val="ru-RU"/>
        </w:rPr>
        <w:t xml:space="preserve"> </w:t>
      </w:r>
      <w:r w:rsidRPr="000A38E5">
        <w:rPr>
          <w:lang w:val="uk-UA"/>
        </w:rPr>
        <w:t>можуть потребувати особливих видів регулювання</w:t>
      </w:r>
      <w:r w:rsidRPr="000A38E5">
        <w:rPr>
          <w:lang w:val="ru-RU"/>
        </w:rPr>
        <w:t xml:space="preserve">, </w:t>
      </w:r>
      <w:r w:rsidRPr="000A38E5">
        <w:rPr>
          <w:lang w:val="uk-UA"/>
        </w:rPr>
        <w:t>захисту заслуговують усі види мирних зібрань</w:t>
      </w:r>
      <w:r w:rsidRPr="000A38E5">
        <w:t> </w:t>
      </w:r>
      <w:r w:rsidRPr="000A38E5">
        <w:rPr>
          <w:lang w:val="ru-RU"/>
        </w:rPr>
        <w:t xml:space="preserve">– </w:t>
      </w:r>
      <w:r w:rsidRPr="000A38E5">
        <w:rPr>
          <w:lang w:val="uk-UA"/>
        </w:rPr>
        <w:t>як статичні так і рухомі,</w:t>
      </w:r>
      <w:r w:rsidRPr="000A38E5">
        <w:rPr>
          <w:lang w:val="ru-RU"/>
        </w:rPr>
        <w:t xml:space="preserve"> </w:t>
      </w:r>
      <w:r w:rsidRPr="000A38E5">
        <w:rPr>
          <w:lang w:val="uk-UA"/>
        </w:rPr>
        <w:t>а також ті, які проходять на території державних</w:t>
      </w:r>
      <w:r w:rsidRPr="000A38E5">
        <w:rPr>
          <w:lang w:val="ru-RU"/>
        </w:rPr>
        <w:t xml:space="preserve"> </w:t>
      </w:r>
      <w:r w:rsidRPr="000A38E5">
        <w:rPr>
          <w:lang w:val="uk-UA"/>
        </w:rPr>
        <w:t>або приватних об’єктів, або у приміщеннях</w:t>
      </w:r>
      <w:r w:rsidRPr="000A38E5">
        <w:rPr>
          <w:lang w:val="ru-RU"/>
        </w:rPr>
        <w:t>.</w:t>
      </w:r>
    </w:p>
    <w:p w:rsidR="00D4256A" w:rsidRPr="000A38E5" w:rsidRDefault="00D4256A" w:rsidP="00D4256A">
      <w:pPr>
        <w:pStyle w:val="ECHRParaQuote"/>
        <w:rPr>
          <w:lang w:val="ru-RU"/>
        </w:rPr>
      </w:pPr>
      <w:r w:rsidRPr="000A38E5">
        <w:rPr>
          <w:lang w:val="ru-RU"/>
        </w:rPr>
        <w:t>...”</w:t>
      </w:r>
    </w:p>
    <w:p w:rsidR="00D4256A" w:rsidRPr="000A38E5" w:rsidRDefault="00D4256A" w:rsidP="00D4256A">
      <w:pPr>
        <w:pStyle w:val="ECHRTitleCentre3"/>
        <w:rPr>
          <w:lang w:val="uk-UA"/>
        </w:rPr>
      </w:pPr>
      <w:r w:rsidRPr="000A38E5">
        <w:rPr>
          <w:lang w:val="ru-RU"/>
        </w:rPr>
        <w:t xml:space="preserve">5. </w:t>
      </w:r>
      <w:r w:rsidRPr="000A38E5">
        <w:rPr>
          <w:lang w:val="uk-UA"/>
        </w:rPr>
        <w:t>Застосування законодавства про свободу мирних зібрань</w:t>
      </w:r>
    </w:p>
    <w:p w:rsidR="00D4256A" w:rsidRPr="000A38E5" w:rsidRDefault="00D4256A" w:rsidP="00D4256A">
      <w:pPr>
        <w:pStyle w:val="ECHRParaQuote"/>
        <w:rPr>
          <w:lang w:val="uk-UA"/>
        </w:rPr>
      </w:pPr>
      <w:r w:rsidRPr="000A38E5">
        <w:rPr>
          <w:lang w:val="ru-RU"/>
        </w:rPr>
        <w:t>“5.3</w:t>
      </w:r>
      <w:r w:rsidRPr="00E93710">
        <w:rPr>
          <w:lang w:val="ru-RU"/>
        </w:rPr>
        <w:t xml:space="preserve"> </w:t>
      </w:r>
      <w:r w:rsidRPr="000A38E5">
        <w:rPr>
          <w:lang w:val="uk-UA"/>
        </w:rPr>
        <w:t>Підхід до охорони порядку протягом зібрань з позицій прав людини</w:t>
      </w:r>
    </w:p>
    <w:p w:rsidR="00D4256A" w:rsidRPr="000A38E5" w:rsidRDefault="00D4256A" w:rsidP="00D4256A">
      <w:pPr>
        <w:pStyle w:val="ECHRParaQuote"/>
        <w:rPr>
          <w:lang w:val="uk-UA"/>
        </w:rPr>
      </w:pPr>
      <w:r w:rsidRPr="000A38E5">
        <w:rPr>
          <w:lang w:val="uk-UA"/>
        </w:rPr>
        <w:lastRenderedPageBreak/>
        <w:t>Дії з охорони порядку при проведенні зібрань повинні відповідати принципам прав людини – законності, необхідності, пропорційності та недискримінації – і в ході цих дій повинні виконуватися певні норми в галузі прав людини. Зокрема, держава має позитивний обов’язок приймати необхідні розумні заходи, які дозволяють проводити мирні зібрання без занепокоєння, що їх учасники можуть зазнати фізичного насилля. Правоохоронні органи також повинні захищати учасників мирного зібрання від будь-якої особи або групи осіб (у тому числі агентів-провокаторів та учасників зібрання, яке не погоджується з цим зібранням), які намагаються будь-яким засобом зірвати це зібрання або перешкоджати його проведенню. ”</w:t>
      </w:r>
    </w:p>
    <w:p w:rsidR="00D4256A" w:rsidRPr="000A38E5" w:rsidRDefault="00D4256A" w:rsidP="00D4256A">
      <w:pPr>
        <w:pStyle w:val="ECHRTitleCentre3"/>
        <w:rPr>
          <w:bCs/>
          <w:lang w:val="uk-UA"/>
        </w:rPr>
      </w:pPr>
      <w:r w:rsidRPr="000A38E5">
        <w:rPr>
          <w:lang w:val="uk-UA"/>
        </w:rPr>
        <w:t>Розділ</w:t>
      </w:r>
      <w:r w:rsidRPr="000A38E5">
        <w:rPr>
          <w:lang w:val="ru-RU"/>
        </w:rPr>
        <w:t xml:space="preserve"> </w:t>
      </w:r>
      <w:r w:rsidRPr="000A38E5">
        <w:t>B</w:t>
      </w:r>
      <w:r w:rsidRPr="000A38E5">
        <w:rPr>
          <w:lang w:val="ru-RU"/>
        </w:rPr>
        <w:t xml:space="preserve"> – </w:t>
      </w:r>
      <w:r w:rsidRPr="000A38E5">
        <w:rPr>
          <w:lang w:val="uk-UA"/>
        </w:rPr>
        <w:t>Пояснювальна записка</w:t>
      </w:r>
      <w:r w:rsidRPr="000A38E5">
        <w:rPr>
          <w:lang w:val="ru-RU"/>
        </w:rPr>
        <w:br/>
      </w:r>
      <w:r w:rsidRPr="000A38E5">
        <w:rPr>
          <w:bCs/>
          <w:lang w:val="uk-UA"/>
        </w:rPr>
        <w:t>Головні визначення та категорії зібрань</w:t>
      </w:r>
    </w:p>
    <w:p w:rsidR="00D4256A" w:rsidRPr="000A38E5" w:rsidRDefault="00D4256A" w:rsidP="00D4256A">
      <w:pPr>
        <w:pStyle w:val="ECHRParaQuote"/>
        <w:rPr>
          <w:lang w:val="ru-RU" w:bidi="en-US"/>
        </w:rPr>
      </w:pPr>
      <w:r w:rsidRPr="000A38E5">
        <w:rPr>
          <w:iCs/>
          <w:lang w:val="ru-RU" w:bidi="en-US"/>
        </w:rPr>
        <w:t>“19.</w:t>
      </w:r>
      <w:r w:rsidRPr="00E93710">
        <w:rPr>
          <w:i/>
          <w:iCs/>
          <w:lang w:val="ru-RU" w:bidi="en-US"/>
        </w:rPr>
        <w:t xml:space="preserve"> </w:t>
      </w:r>
      <w:r w:rsidRPr="000A38E5">
        <w:rPr>
          <w:lang w:val="uk-UA" w:bidi="en-US"/>
        </w:rPr>
        <w:t xml:space="preserve">Ці Керівні принципи застосовуються до зібрань, які проводяться у громадських місцях </w:t>
      </w:r>
      <w:r w:rsidRPr="000A38E5">
        <w:rPr>
          <w:lang w:val="ru-RU" w:bidi="en-US"/>
        </w:rPr>
        <w:t>(</w:t>
      </w:r>
      <w:r w:rsidRPr="000A38E5">
        <w:rPr>
          <w:lang w:val="uk-UA" w:bidi="en-US"/>
        </w:rPr>
        <w:t>у тому числі, зокрема, громадських парках</w:t>
      </w:r>
      <w:r w:rsidRPr="000A38E5">
        <w:rPr>
          <w:lang w:val="ru-RU" w:bidi="en-US"/>
        </w:rPr>
        <w:t xml:space="preserve">, </w:t>
      </w:r>
      <w:r w:rsidRPr="000A38E5">
        <w:rPr>
          <w:lang w:val="uk-UA" w:bidi="en-US"/>
        </w:rPr>
        <w:t>площах, вулицях, дорогах</w:t>
      </w:r>
      <w:r w:rsidRPr="000A38E5">
        <w:rPr>
          <w:lang w:val="ru-RU" w:bidi="en-US"/>
        </w:rPr>
        <w:t xml:space="preserve">, </w:t>
      </w:r>
      <w:r w:rsidRPr="000A38E5">
        <w:rPr>
          <w:lang w:val="uk-UA" w:bidi="en-US"/>
        </w:rPr>
        <w:t>проспектах, тротуарах та пішохідних доріжках</w:t>
      </w:r>
      <w:r w:rsidRPr="000A38E5">
        <w:rPr>
          <w:lang w:val="ru-RU" w:bidi="en-US"/>
        </w:rPr>
        <w:t xml:space="preserve">), </w:t>
      </w:r>
      <w:r w:rsidRPr="000A38E5">
        <w:rPr>
          <w:lang w:val="uk-UA" w:bidi="en-US"/>
        </w:rPr>
        <w:t>рівне право на користування якими є у кожної людини</w:t>
      </w:r>
      <w:r w:rsidRPr="000A38E5">
        <w:rPr>
          <w:lang w:val="ru-RU" w:bidi="en-US"/>
        </w:rPr>
        <w:t xml:space="preserve">. </w:t>
      </w:r>
      <w:r w:rsidRPr="000A38E5">
        <w:rPr>
          <w:lang w:val="uk-UA" w:bidi="en-US"/>
        </w:rPr>
        <w:t>Зокрема, держава завжди повинна сприяти проведенню</w:t>
      </w:r>
      <w:r w:rsidRPr="000A38E5">
        <w:rPr>
          <w:lang w:val="ru-RU" w:bidi="en-US"/>
        </w:rPr>
        <w:t xml:space="preserve"> </w:t>
      </w:r>
      <w:r w:rsidRPr="000A38E5">
        <w:rPr>
          <w:lang w:val="uk-UA" w:bidi="en-US"/>
        </w:rPr>
        <w:t>громадських зібрань у бажаному для їх організаторів місці</w:t>
      </w:r>
      <w:r w:rsidRPr="000A38E5">
        <w:rPr>
          <w:lang w:val="ru-RU" w:bidi="en-US"/>
        </w:rPr>
        <w:t xml:space="preserve">, </w:t>
      </w:r>
      <w:r w:rsidRPr="000A38E5">
        <w:rPr>
          <w:lang w:val="uk-UA" w:bidi="en-US"/>
        </w:rPr>
        <w:t>якщо це громадське місце є зазвичай доступним для людей</w:t>
      </w:r>
      <w:r w:rsidRPr="000A38E5">
        <w:rPr>
          <w:lang w:val="ru-RU" w:bidi="en-US"/>
        </w:rPr>
        <w:t>...</w:t>
      </w:r>
    </w:p>
    <w:p w:rsidR="00D4256A" w:rsidRPr="000A38E5" w:rsidRDefault="00D4256A" w:rsidP="00D4256A">
      <w:pPr>
        <w:pStyle w:val="ECHRParaQuote"/>
        <w:rPr>
          <w:lang w:val="ru-RU" w:bidi="en-US"/>
        </w:rPr>
      </w:pPr>
      <w:r w:rsidRPr="000A38E5">
        <w:rPr>
          <w:lang w:val="ru-RU" w:bidi="en-US"/>
        </w:rPr>
        <w:t>...”</w:t>
      </w:r>
    </w:p>
    <w:p w:rsidR="00D4256A" w:rsidRPr="000A38E5" w:rsidRDefault="00D4256A" w:rsidP="00D4256A">
      <w:pPr>
        <w:pStyle w:val="ECHRTitleCentre3"/>
        <w:rPr>
          <w:lang w:val="uk-UA"/>
        </w:rPr>
      </w:pPr>
      <w:r w:rsidRPr="000A38E5">
        <w:rPr>
          <w:lang w:val="ru-RU"/>
        </w:rPr>
        <w:t>‘</w:t>
      </w:r>
      <w:r w:rsidRPr="000A38E5">
        <w:rPr>
          <w:lang w:val="uk-UA"/>
        </w:rPr>
        <w:t>Мирні</w:t>
      </w:r>
      <w:r w:rsidRPr="000A38E5">
        <w:rPr>
          <w:lang w:val="ru-RU"/>
        </w:rPr>
        <w:t xml:space="preserve">’ </w:t>
      </w:r>
      <w:r w:rsidRPr="000A38E5">
        <w:rPr>
          <w:lang w:val="uk-UA"/>
        </w:rPr>
        <w:t>та</w:t>
      </w:r>
      <w:r w:rsidRPr="000A38E5">
        <w:rPr>
          <w:lang w:val="ru-RU"/>
        </w:rPr>
        <w:t xml:space="preserve"> ‘</w:t>
      </w:r>
      <w:r w:rsidRPr="000A38E5">
        <w:rPr>
          <w:lang w:val="uk-UA"/>
        </w:rPr>
        <w:t>немирні</w:t>
      </w:r>
      <w:r w:rsidRPr="000A38E5">
        <w:rPr>
          <w:lang w:val="ru-RU"/>
        </w:rPr>
        <w:t xml:space="preserve">’ </w:t>
      </w:r>
      <w:r w:rsidRPr="000A38E5">
        <w:rPr>
          <w:lang w:val="uk-UA"/>
        </w:rPr>
        <w:t>зібрання</w:t>
      </w:r>
    </w:p>
    <w:p w:rsidR="00D4256A" w:rsidRPr="000A38E5" w:rsidRDefault="00D4256A" w:rsidP="00D4256A">
      <w:pPr>
        <w:pStyle w:val="ECHRParaQuote"/>
        <w:rPr>
          <w:lang w:val="ru-RU"/>
        </w:rPr>
      </w:pPr>
      <w:r w:rsidRPr="000A38E5">
        <w:rPr>
          <w:lang w:val="ru-RU"/>
        </w:rPr>
        <w:t>“25.</w:t>
      </w:r>
      <w:r w:rsidRPr="00E93710">
        <w:rPr>
          <w:lang w:val="ru-RU"/>
        </w:rPr>
        <w:t xml:space="preserve"> </w:t>
      </w:r>
      <w:r w:rsidRPr="000A38E5">
        <w:rPr>
          <w:lang w:val="uk-UA"/>
        </w:rPr>
        <w:t>Мирні зібрання. Лише мирні зібрання захищені в рамках права на свободу зібрання</w:t>
      </w:r>
      <w:r w:rsidRPr="000A38E5">
        <w:rPr>
          <w:lang w:val="ru-RU"/>
        </w:rPr>
        <w:t>...</w:t>
      </w:r>
    </w:p>
    <w:p w:rsidR="00D4256A" w:rsidRPr="000A38E5" w:rsidRDefault="00D4256A" w:rsidP="00D4256A">
      <w:pPr>
        <w:pStyle w:val="ECHRParaQuote"/>
        <w:rPr>
          <w:lang w:val="ru-RU"/>
        </w:rPr>
      </w:pPr>
      <w:r w:rsidRPr="000A38E5">
        <w:rPr>
          <w:lang w:val="ru-RU"/>
        </w:rPr>
        <w:t>26.</w:t>
      </w:r>
      <w:r w:rsidRPr="00E93710">
        <w:rPr>
          <w:lang w:val="ru-RU"/>
        </w:rPr>
        <w:t xml:space="preserve"> </w:t>
      </w:r>
      <w:r w:rsidRPr="000A38E5">
        <w:rPr>
          <w:lang w:val="uk-UA"/>
        </w:rPr>
        <w:t>Термін «мирне» слід поширити і на поведінку,</w:t>
      </w:r>
      <w:r w:rsidRPr="000A38E5">
        <w:rPr>
          <w:lang w:val="ru-RU"/>
        </w:rPr>
        <w:t xml:space="preserve"> </w:t>
      </w:r>
      <w:r w:rsidRPr="000A38E5">
        <w:rPr>
          <w:lang w:val="uk-UA"/>
        </w:rPr>
        <w:t>яка може нервувати або ображати осіб,</w:t>
      </w:r>
      <w:r w:rsidRPr="000A38E5">
        <w:rPr>
          <w:lang w:val="ru-RU"/>
        </w:rPr>
        <w:t xml:space="preserve"> </w:t>
      </w:r>
      <w:r w:rsidRPr="000A38E5">
        <w:rPr>
          <w:lang w:val="uk-UA"/>
        </w:rPr>
        <w:t>які не погоджуються з ідеями або заявами, підтриманими цим зібранням</w:t>
      </w:r>
      <w:r w:rsidRPr="000A38E5">
        <w:rPr>
          <w:lang w:val="ru-RU"/>
        </w:rPr>
        <w:t xml:space="preserve">, </w:t>
      </w:r>
      <w:r w:rsidRPr="000A38E5">
        <w:rPr>
          <w:lang w:val="uk-UA"/>
        </w:rPr>
        <w:t>і навіть на поведінку, яка спрямована на навмисне перешкоджання або створення перешкод діяльності третіх осіб</w:t>
      </w:r>
      <w:r w:rsidRPr="000A38E5">
        <w:rPr>
          <w:lang w:val="ru-RU"/>
        </w:rPr>
        <w:t xml:space="preserve">. </w:t>
      </w:r>
      <w:r w:rsidRPr="000A38E5">
        <w:rPr>
          <w:lang w:val="uk-UA"/>
        </w:rPr>
        <w:t>Наприклад, зібрання, пов’язане виключно</w:t>
      </w:r>
      <w:r w:rsidRPr="000A38E5">
        <w:rPr>
          <w:lang w:val="ru-RU"/>
        </w:rPr>
        <w:t xml:space="preserve"> </w:t>
      </w:r>
      <w:r w:rsidRPr="000A38E5">
        <w:rPr>
          <w:lang w:val="uk-UA"/>
        </w:rPr>
        <w:t>з пасивним опором, слід вважати «мирним»</w:t>
      </w:r>
      <w:r w:rsidRPr="000A38E5">
        <w:rPr>
          <w:lang w:val="ru-RU"/>
        </w:rPr>
        <w:t>...</w:t>
      </w:r>
    </w:p>
    <w:p w:rsidR="00D4256A" w:rsidRPr="000A38E5" w:rsidRDefault="00D4256A" w:rsidP="00D4256A">
      <w:pPr>
        <w:pStyle w:val="ECHRParaQuote"/>
        <w:rPr>
          <w:lang w:val="ru-RU"/>
        </w:rPr>
      </w:pPr>
      <w:r w:rsidRPr="000A38E5">
        <w:rPr>
          <w:lang w:val="ru-RU"/>
        </w:rPr>
        <w:t>...</w:t>
      </w:r>
    </w:p>
    <w:p w:rsidR="00D4256A" w:rsidRPr="000A38E5" w:rsidRDefault="00D4256A" w:rsidP="00D4256A">
      <w:pPr>
        <w:pStyle w:val="ECHRParaQuote"/>
        <w:rPr>
          <w:lang w:val="ru-RU"/>
        </w:rPr>
      </w:pPr>
      <w:r w:rsidRPr="000A38E5">
        <w:rPr>
          <w:lang w:val="ru-RU"/>
        </w:rPr>
        <w:t>28.</w:t>
      </w:r>
      <w:r w:rsidRPr="00E93710">
        <w:rPr>
          <w:lang w:val="ru-RU"/>
        </w:rPr>
        <w:t xml:space="preserve"> </w:t>
      </w:r>
      <w:r w:rsidRPr="000A38E5">
        <w:rPr>
          <w:lang w:val="uk-UA"/>
        </w:rPr>
        <w:t>Якщо зібрання задовольняє вказаному головному критерію мирного характеру зібрань</w:t>
      </w:r>
      <w:r w:rsidRPr="000A38E5">
        <w:rPr>
          <w:lang w:val="ru-RU"/>
        </w:rPr>
        <w:t xml:space="preserve">, </w:t>
      </w:r>
      <w:r w:rsidRPr="000A38E5">
        <w:rPr>
          <w:lang w:val="uk-UA"/>
        </w:rPr>
        <w:t>це приводить до виникнення позитивних обов’язків державних органів влади, пов’язаних з правом на свободу мирних зібрань</w:t>
      </w:r>
      <w:r w:rsidRPr="000A38E5">
        <w:rPr>
          <w:lang w:val="ru-RU"/>
        </w:rPr>
        <w:t xml:space="preserve"> ... </w:t>
      </w:r>
      <w:r w:rsidRPr="000A38E5">
        <w:rPr>
          <w:lang w:val="uk-UA"/>
        </w:rPr>
        <w:t>Слід зазначити, що зібрання, які пройшли цю початкову перевірку</w:t>
      </w:r>
      <w:r w:rsidRPr="000A38E5">
        <w:rPr>
          <w:lang w:val="ru-RU"/>
        </w:rPr>
        <w:t xml:space="preserve"> (</w:t>
      </w:r>
      <w:r w:rsidRPr="000A38E5">
        <w:rPr>
          <w:lang w:val="uk-UA"/>
        </w:rPr>
        <w:t>і тому, за відсутністю доказів зворотного, заслуговують захисту</w:t>
      </w:r>
      <w:r w:rsidRPr="000A38E5">
        <w:rPr>
          <w:lang w:val="ru-RU"/>
        </w:rPr>
        <w:t xml:space="preserve">) </w:t>
      </w:r>
      <w:r w:rsidRPr="000A38E5">
        <w:rPr>
          <w:lang w:val="uk-UA"/>
        </w:rPr>
        <w:t>усе ще можуть бути законним чином обмежені на основі положень</w:t>
      </w:r>
      <w:r w:rsidRPr="000A38E5">
        <w:rPr>
          <w:lang w:val="ru-RU"/>
        </w:rPr>
        <w:t xml:space="preserve"> </w:t>
      </w:r>
      <w:r w:rsidRPr="000A38E5">
        <w:rPr>
          <w:lang w:val="uk-UA"/>
        </w:rPr>
        <w:t>про охорону громадського порядку або на інших законних підставах</w:t>
      </w:r>
      <w:r w:rsidRPr="000A38E5">
        <w:rPr>
          <w:lang w:val="ru-RU"/>
        </w:rPr>
        <w:t xml:space="preserve"> ...</w:t>
      </w:r>
    </w:p>
    <w:p w:rsidR="00D4256A" w:rsidRPr="000A38E5" w:rsidRDefault="00D4256A" w:rsidP="00D4256A">
      <w:pPr>
        <w:pStyle w:val="ECHRParaQuote"/>
        <w:rPr>
          <w:lang w:val="ru-RU"/>
        </w:rPr>
      </w:pPr>
      <w:r w:rsidRPr="000A38E5">
        <w:rPr>
          <w:lang w:val="ru-RU"/>
        </w:rPr>
        <w:t>...”</w:t>
      </w:r>
    </w:p>
    <w:p w:rsidR="00D4256A" w:rsidRPr="000A38E5" w:rsidRDefault="00D4256A" w:rsidP="00D4256A">
      <w:pPr>
        <w:pStyle w:val="ECHRTitleCentre3"/>
        <w:rPr>
          <w:lang w:val="uk-UA"/>
        </w:rPr>
      </w:pPr>
      <w:r w:rsidRPr="000A38E5">
        <w:rPr>
          <w:lang w:val="uk-UA"/>
        </w:rPr>
        <w:t>Охорона порядку протягом зібрань</w:t>
      </w:r>
    </w:p>
    <w:p w:rsidR="00D4256A" w:rsidRPr="000A38E5" w:rsidRDefault="00D4256A" w:rsidP="00D4256A">
      <w:pPr>
        <w:pStyle w:val="ECHRParaQuote"/>
        <w:rPr>
          <w:lang w:val="ru-RU"/>
        </w:rPr>
      </w:pPr>
      <w:r w:rsidRPr="000A38E5">
        <w:rPr>
          <w:lang w:val="ru-RU"/>
        </w:rPr>
        <w:t>“...</w:t>
      </w:r>
    </w:p>
    <w:p w:rsidR="00D4256A" w:rsidRPr="000A38E5" w:rsidRDefault="00D4256A" w:rsidP="00D4256A">
      <w:pPr>
        <w:pStyle w:val="ECHRParaQuote"/>
        <w:rPr>
          <w:lang w:val="ru-RU"/>
        </w:rPr>
      </w:pPr>
      <w:r w:rsidRPr="000A38E5">
        <w:rPr>
          <w:lang w:val="ru-RU"/>
        </w:rPr>
        <w:t>149.</w:t>
      </w:r>
      <w:r w:rsidRPr="00E93710">
        <w:rPr>
          <w:lang w:val="ru-RU"/>
        </w:rPr>
        <w:t xml:space="preserve"> </w:t>
      </w:r>
      <w:r w:rsidRPr="000A38E5">
        <w:rPr>
          <w:lang w:val="uk-UA"/>
        </w:rPr>
        <w:t>Правоохоронні органи повинні ефективно взаємодіяти з організаторами зібрань</w:t>
      </w:r>
      <w:r w:rsidRPr="000A38E5">
        <w:rPr>
          <w:lang w:val="ru-RU"/>
        </w:rPr>
        <w:t xml:space="preserve">: </w:t>
      </w:r>
      <w:r w:rsidRPr="000A38E5">
        <w:rPr>
          <w:lang w:val="uk-UA"/>
        </w:rPr>
        <w:t>співробітники правоохоронних органів повинні намагатися зрозумілою мовою</w:t>
      </w:r>
      <w:r w:rsidRPr="000A38E5">
        <w:rPr>
          <w:lang w:val="ru-RU"/>
        </w:rPr>
        <w:t xml:space="preserve"> </w:t>
      </w:r>
      <w:r w:rsidRPr="000A38E5">
        <w:rPr>
          <w:lang w:val="uk-UA"/>
        </w:rPr>
        <w:t>інформувати учасників зібрання для зменшення ризику виникнення конфлікту</w:t>
      </w:r>
      <w:r w:rsidRPr="000A38E5">
        <w:rPr>
          <w:lang w:val="ru-RU"/>
        </w:rPr>
        <w:t xml:space="preserve"> ... </w:t>
      </w:r>
      <w:r w:rsidRPr="000A38E5">
        <w:rPr>
          <w:lang w:val="uk-UA"/>
        </w:rPr>
        <w:t>Крім того, необхідно мати спеціальний контактний центр у правоохоронних органах,</w:t>
      </w:r>
      <w:r w:rsidRPr="000A38E5">
        <w:rPr>
          <w:lang w:val="ru-RU"/>
        </w:rPr>
        <w:t xml:space="preserve"> </w:t>
      </w:r>
      <w:r w:rsidRPr="000A38E5">
        <w:rPr>
          <w:lang w:val="uk-UA"/>
        </w:rPr>
        <w:t>до якого учасники акції можуть звернутися до початку</w:t>
      </w:r>
      <w:r w:rsidRPr="000A38E5">
        <w:rPr>
          <w:lang w:val="ru-RU"/>
        </w:rPr>
        <w:t xml:space="preserve"> </w:t>
      </w:r>
      <w:r w:rsidRPr="000A38E5">
        <w:rPr>
          <w:lang w:val="uk-UA"/>
        </w:rPr>
        <w:t>або в ході зібрання</w:t>
      </w:r>
      <w:r w:rsidRPr="000A38E5">
        <w:rPr>
          <w:lang w:val="ru-RU"/>
        </w:rPr>
        <w:t xml:space="preserve">. </w:t>
      </w:r>
      <w:r w:rsidRPr="000A38E5">
        <w:rPr>
          <w:lang w:val="uk-UA"/>
        </w:rPr>
        <w:t>Інформація про такий контактний центр повинна бути добре відомою</w:t>
      </w:r>
      <w:r w:rsidRPr="000A38E5">
        <w:rPr>
          <w:lang w:val="ru-RU"/>
        </w:rPr>
        <w:t xml:space="preserve"> ...</w:t>
      </w:r>
    </w:p>
    <w:p w:rsidR="00D4256A" w:rsidRPr="000A38E5" w:rsidRDefault="00D4256A" w:rsidP="00D4256A">
      <w:pPr>
        <w:pStyle w:val="ECHRParaQuote"/>
        <w:rPr>
          <w:lang w:val="ru-RU"/>
        </w:rPr>
      </w:pPr>
      <w:r w:rsidRPr="000A38E5">
        <w:rPr>
          <w:lang w:val="ru-RU"/>
        </w:rPr>
        <w:t>150.</w:t>
      </w:r>
      <w:r w:rsidRPr="00E93710">
        <w:rPr>
          <w:lang w:val="ru-RU"/>
        </w:rPr>
        <w:t xml:space="preserve"> </w:t>
      </w:r>
      <w:r w:rsidRPr="000A38E5">
        <w:rPr>
          <w:lang w:val="uk-UA"/>
        </w:rPr>
        <w:t>Операція з охорони порядку повинна проходити без «сюрпризів»</w:t>
      </w:r>
      <w:r w:rsidRPr="000A38E5">
        <w:rPr>
          <w:lang w:val="ru-RU"/>
        </w:rPr>
        <w:t xml:space="preserve">: </w:t>
      </w:r>
      <w:r w:rsidRPr="000A38E5">
        <w:rPr>
          <w:lang w:val="uk-UA"/>
        </w:rPr>
        <w:t>співробітники правоохоронних органів повинні надати учасникам зібрання час</w:t>
      </w:r>
      <w:r w:rsidRPr="000A38E5">
        <w:rPr>
          <w:lang w:val="ru-RU"/>
        </w:rPr>
        <w:t xml:space="preserve"> </w:t>
      </w:r>
      <w:r w:rsidRPr="000A38E5">
        <w:rPr>
          <w:lang w:val="uk-UA"/>
        </w:rPr>
        <w:t>для індивідуального реагування на наявну ситуацію</w:t>
      </w:r>
      <w:r w:rsidRPr="000A38E5">
        <w:rPr>
          <w:lang w:val="ru-RU"/>
        </w:rPr>
        <w:t xml:space="preserve">, </w:t>
      </w:r>
      <w:r w:rsidRPr="000A38E5">
        <w:rPr>
          <w:lang w:val="uk-UA"/>
        </w:rPr>
        <w:t>у тому числі на будь-які попередження та вказівки в їх адресу</w:t>
      </w:r>
      <w:r w:rsidRPr="000A38E5">
        <w:rPr>
          <w:lang w:val="ru-RU"/>
        </w:rPr>
        <w:t xml:space="preserve"> ...</w:t>
      </w:r>
    </w:p>
    <w:p w:rsidR="00D4256A" w:rsidRPr="000A38E5" w:rsidRDefault="00D4256A" w:rsidP="00D4256A">
      <w:pPr>
        <w:pStyle w:val="ECHRParaQuote"/>
        <w:rPr>
          <w:lang w:val="ru-RU"/>
        </w:rPr>
      </w:pPr>
      <w:r w:rsidRPr="000A38E5">
        <w:rPr>
          <w:lang w:val="ru-RU"/>
        </w:rPr>
        <w:t>...</w:t>
      </w:r>
    </w:p>
    <w:p w:rsidR="00D4256A" w:rsidRPr="000A38E5" w:rsidRDefault="00D4256A" w:rsidP="00D4256A">
      <w:pPr>
        <w:pStyle w:val="ECHRParaQuote"/>
        <w:rPr>
          <w:lang w:val="ru-RU"/>
        </w:rPr>
      </w:pPr>
      <w:r w:rsidRPr="000A38E5">
        <w:rPr>
          <w:lang w:val="ru-RU"/>
        </w:rPr>
        <w:t>168.</w:t>
      </w:r>
      <w:r w:rsidRPr="00E93710">
        <w:rPr>
          <w:lang w:val="ru-RU"/>
        </w:rPr>
        <w:t xml:space="preserve"> </w:t>
      </w:r>
      <w:r w:rsidRPr="000A38E5">
        <w:rPr>
          <w:lang w:val="uk-UA"/>
        </w:rPr>
        <w:t>Якщо розгін зібрання видається необхідним</w:t>
      </w:r>
      <w:r w:rsidRPr="000A38E5">
        <w:rPr>
          <w:lang w:val="ru-RU"/>
        </w:rPr>
        <w:t xml:space="preserve">, </w:t>
      </w:r>
      <w:r w:rsidRPr="000A38E5">
        <w:rPr>
          <w:lang w:val="uk-UA"/>
        </w:rPr>
        <w:t>будь-яке втручання з боку поліції слід попередити чітким, розбірливим та гучним попередженням в адресу</w:t>
      </w:r>
      <w:r w:rsidRPr="000A38E5">
        <w:rPr>
          <w:lang w:val="ru-RU"/>
        </w:rPr>
        <w:t xml:space="preserve"> </w:t>
      </w:r>
      <w:r w:rsidRPr="000A38E5">
        <w:rPr>
          <w:lang w:val="uk-UA"/>
        </w:rPr>
        <w:t>організаторів та учасників зібрання</w:t>
      </w:r>
      <w:r w:rsidRPr="000A38E5">
        <w:rPr>
          <w:lang w:val="ru-RU"/>
        </w:rPr>
        <w:t xml:space="preserve">. </w:t>
      </w:r>
      <w:r w:rsidRPr="000A38E5">
        <w:rPr>
          <w:lang w:val="uk-UA"/>
        </w:rPr>
        <w:t>Учасникам слід дати достатньо часу для того,</w:t>
      </w:r>
      <w:r w:rsidRPr="000A38E5">
        <w:rPr>
          <w:lang w:val="ru-RU"/>
        </w:rPr>
        <w:t xml:space="preserve"> </w:t>
      </w:r>
      <w:r w:rsidRPr="000A38E5">
        <w:rPr>
          <w:lang w:val="uk-UA"/>
        </w:rPr>
        <w:t>щоб вони могли розійтися добровільно</w:t>
      </w:r>
      <w:r w:rsidRPr="000A38E5">
        <w:rPr>
          <w:lang w:val="ru-RU"/>
        </w:rPr>
        <w:t xml:space="preserve">. </w:t>
      </w:r>
      <w:r w:rsidRPr="000A38E5">
        <w:rPr>
          <w:lang w:val="uk-UA"/>
        </w:rPr>
        <w:t>Подальше втручання поліції є можливим, тільки якщо учасники не розходяться</w:t>
      </w:r>
      <w:r w:rsidRPr="000A38E5">
        <w:rPr>
          <w:lang w:val="ru-RU"/>
        </w:rPr>
        <w:t>.</w:t>
      </w:r>
    </w:p>
    <w:p w:rsidR="00D4256A" w:rsidRPr="000A38E5" w:rsidRDefault="00D4256A" w:rsidP="00D4256A">
      <w:pPr>
        <w:pStyle w:val="ECHRParaQuote"/>
        <w:rPr>
          <w:lang w:val="ru-RU"/>
        </w:rPr>
      </w:pPr>
      <w:r w:rsidRPr="000A38E5">
        <w:rPr>
          <w:lang w:val="ru-RU"/>
        </w:rPr>
        <w:t>...”</w:t>
      </w:r>
    </w:p>
    <w:p w:rsidR="00D4256A" w:rsidRPr="000A38E5" w:rsidRDefault="00D4256A" w:rsidP="00D4256A">
      <w:pPr>
        <w:pStyle w:val="ECHRTitleCentre3"/>
        <w:rPr>
          <w:lang w:val="uk-UA"/>
        </w:rPr>
      </w:pPr>
      <w:r w:rsidRPr="000A38E5">
        <w:rPr>
          <w:lang w:val="uk-UA"/>
        </w:rPr>
        <w:t>Використання сили</w:t>
      </w:r>
    </w:p>
    <w:p w:rsidR="00D4256A" w:rsidRPr="000A38E5" w:rsidRDefault="00D4256A" w:rsidP="00D4256A">
      <w:pPr>
        <w:pStyle w:val="ECHRParaQuote"/>
        <w:rPr>
          <w:lang w:val="ru-RU"/>
        </w:rPr>
      </w:pPr>
      <w:r w:rsidRPr="000A38E5">
        <w:rPr>
          <w:lang w:val="ru-RU"/>
        </w:rPr>
        <w:t>“...</w:t>
      </w:r>
    </w:p>
    <w:p w:rsidR="00D4256A" w:rsidRPr="000A38E5" w:rsidRDefault="00D4256A" w:rsidP="00D4256A">
      <w:pPr>
        <w:pStyle w:val="ECHRParaQuote"/>
        <w:rPr>
          <w:lang w:val="ru-RU"/>
        </w:rPr>
      </w:pPr>
      <w:r w:rsidRPr="000A38E5">
        <w:rPr>
          <w:lang w:val="ru-RU"/>
        </w:rPr>
        <w:lastRenderedPageBreak/>
        <w:t>179.</w:t>
      </w:r>
      <w:r w:rsidRPr="00E93710">
        <w:rPr>
          <w:lang w:val="ru-RU"/>
        </w:rPr>
        <w:t xml:space="preserve"> </w:t>
      </w:r>
      <w:r w:rsidRPr="000A38E5">
        <w:rPr>
          <w:lang w:val="uk-UA"/>
        </w:rPr>
        <w:t>Співробітники правоохоронних органів повинні нести відповідальність</w:t>
      </w:r>
      <w:r w:rsidRPr="000A38E5">
        <w:rPr>
          <w:lang w:val="ru-RU"/>
        </w:rPr>
        <w:t xml:space="preserve"> </w:t>
      </w:r>
      <w:r w:rsidRPr="000A38E5">
        <w:rPr>
          <w:lang w:val="uk-UA"/>
        </w:rPr>
        <w:t>за будь-яке невиконання своїх позитивних обов’язків щодо захисту</w:t>
      </w:r>
      <w:r w:rsidRPr="000A38E5">
        <w:rPr>
          <w:lang w:val="ru-RU"/>
        </w:rPr>
        <w:t xml:space="preserve"> </w:t>
      </w:r>
      <w:r w:rsidRPr="000A38E5">
        <w:rPr>
          <w:lang w:val="uk-UA"/>
        </w:rPr>
        <w:t>мирних зібрань та сприянню їх проведення</w:t>
      </w:r>
      <w:r w:rsidRPr="000A38E5">
        <w:rPr>
          <w:lang w:val="ru-RU"/>
        </w:rPr>
        <w:t xml:space="preserve">. </w:t>
      </w:r>
      <w:r w:rsidRPr="000A38E5">
        <w:rPr>
          <w:lang w:val="uk-UA"/>
        </w:rPr>
        <w:t>Крім того, відповідальність повинна також поширюватися на приватні агентства</w:t>
      </w:r>
      <w:r w:rsidRPr="000A38E5">
        <w:rPr>
          <w:lang w:val="ru-RU"/>
        </w:rPr>
        <w:t xml:space="preserve"> </w:t>
      </w:r>
      <w:r w:rsidRPr="000A38E5">
        <w:rPr>
          <w:lang w:val="uk-UA"/>
        </w:rPr>
        <w:t>та окремих осіб, які діють від імені держави</w:t>
      </w:r>
      <w:r w:rsidRPr="000A38E5">
        <w:rPr>
          <w:lang w:val="ru-RU"/>
        </w:rPr>
        <w:t>...</w:t>
      </w:r>
    </w:p>
    <w:p w:rsidR="00D4256A" w:rsidRPr="000A38E5" w:rsidRDefault="00D4256A" w:rsidP="00D4256A">
      <w:pPr>
        <w:pStyle w:val="ECHRParaQuote"/>
        <w:rPr>
          <w:lang w:val="ru-RU"/>
        </w:rPr>
      </w:pPr>
      <w:r w:rsidRPr="000A38E5">
        <w:rPr>
          <w:lang w:val="ru-RU"/>
        </w:rPr>
        <w:t>...</w:t>
      </w:r>
    </w:p>
    <w:p w:rsidR="00D4256A" w:rsidRPr="000A38E5" w:rsidRDefault="00D4256A" w:rsidP="00D4256A">
      <w:pPr>
        <w:pStyle w:val="ECHRParaQuote"/>
        <w:rPr>
          <w:lang w:val="ru-RU"/>
        </w:rPr>
      </w:pPr>
      <w:r w:rsidRPr="000A38E5">
        <w:rPr>
          <w:lang w:val="ru-RU"/>
        </w:rPr>
        <w:t>182.</w:t>
      </w:r>
      <w:r w:rsidRPr="00E93710">
        <w:rPr>
          <w:lang w:val="ru-RU"/>
        </w:rPr>
        <w:t xml:space="preserve"> </w:t>
      </w:r>
      <w:r w:rsidRPr="000A38E5">
        <w:rPr>
          <w:lang w:val="uk-UA"/>
        </w:rPr>
        <w:t>У випадку застосування сили з порушенням закону</w:t>
      </w:r>
      <w:r w:rsidRPr="000A38E5">
        <w:rPr>
          <w:lang w:val="ru-RU"/>
        </w:rPr>
        <w:t xml:space="preserve"> </w:t>
      </w:r>
      <w:r w:rsidRPr="000A38E5">
        <w:rPr>
          <w:lang w:val="uk-UA"/>
        </w:rPr>
        <w:t>або з надмірним застосуванням сили</w:t>
      </w:r>
      <w:r w:rsidRPr="000A38E5">
        <w:rPr>
          <w:lang w:val="ru-RU"/>
        </w:rPr>
        <w:t xml:space="preserve">, </w:t>
      </w:r>
      <w:r w:rsidRPr="000A38E5">
        <w:rPr>
          <w:lang w:val="uk-UA"/>
        </w:rPr>
        <w:t>відповідальні співробітники правоохоронних органів повинні нести цивільну та/або кримінальну відповідальність</w:t>
      </w:r>
      <w:r w:rsidRPr="000A38E5">
        <w:rPr>
          <w:lang w:val="ru-RU"/>
        </w:rPr>
        <w:t xml:space="preserve">. </w:t>
      </w:r>
      <w:r w:rsidRPr="000A38E5">
        <w:rPr>
          <w:lang w:val="uk-UA"/>
        </w:rPr>
        <w:t>Співробітники поліції також повинні нести відповідальність за бездіяльність</w:t>
      </w:r>
      <w:r w:rsidRPr="000A38E5">
        <w:rPr>
          <w:lang w:val="ru-RU"/>
        </w:rPr>
        <w:t xml:space="preserve"> </w:t>
      </w:r>
      <w:r w:rsidRPr="000A38E5">
        <w:rPr>
          <w:lang w:val="uk-UA"/>
        </w:rPr>
        <w:t>у випадку неприйняття заходів для запобігання надмірному застосуванню сили іншими співробітниками поліції</w:t>
      </w:r>
      <w:r w:rsidRPr="000A38E5">
        <w:rPr>
          <w:lang w:val="ru-RU"/>
        </w:rPr>
        <w:t>.</w:t>
      </w:r>
    </w:p>
    <w:p w:rsidR="00D4256A" w:rsidRPr="000A38E5" w:rsidRDefault="00D4256A" w:rsidP="00D4256A">
      <w:pPr>
        <w:pStyle w:val="ECHRParaQuote"/>
        <w:rPr>
          <w:lang w:val="ru-RU"/>
        </w:rPr>
      </w:pPr>
      <w:r w:rsidRPr="000A38E5">
        <w:rPr>
          <w:lang w:val="ru-RU"/>
        </w:rPr>
        <w:t>...”</w:t>
      </w:r>
    </w:p>
    <w:p w:rsidR="00D4256A" w:rsidRPr="000A38E5" w:rsidRDefault="00D4256A" w:rsidP="00D4256A">
      <w:pPr>
        <w:pStyle w:val="ECHRHeading2"/>
        <w:rPr>
          <w:lang w:val="uk-UA"/>
        </w:rPr>
      </w:pPr>
      <w:r w:rsidRPr="000A38E5">
        <w:t>B</w:t>
      </w:r>
      <w:r w:rsidRPr="000A38E5">
        <w:rPr>
          <w:lang w:val="ru-RU"/>
        </w:rPr>
        <w:t>.</w:t>
      </w:r>
      <w:r w:rsidRPr="000A38E5">
        <w:t> </w:t>
      </w:r>
      <w:proofErr w:type="spellStart"/>
      <w:r w:rsidRPr="000A38E5">
        <w:rPr>
          <w:lang w:val="ru-RU"/>
        </w:rPr>
        <w:t>Спеціальні</w:t>
      </w:r>
      <w:proofErr w:type="spellEnd"/>
      <w:r w:rsidRPr="000A38E5">
        <w:rPr>
          <w:lang w:val="uk-UA"/>
        </w:rPr>
        <w:t xml:space="preserve"> доповідачі ООН</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114</w:t>
      </w:r>
      <w:r w:rsidRPr="000A38E5">
        <w:fldChar w:fldCharType="end"/>
      </w:r>
      <w:r w:rsidR="00D4256A" w:rsidRPr="000A38E5">
        <w:rPr>
          <w:lang w:val="ru-RU"/>
        </w:rPr>
        <w:t>.</w:t>
      </w:r>
      <w:r w:rsidR="00D4256A" w:rsidRPr="00E93710">
        <w:rPr>
          <w:lang w:val="ru-RU"/>
        </w:rPr>
        <w:t xml:space="preserve"> </w:t>
      </w:r>
      <w:r w:rsidR="00D4256A" w:rsidRPr="000A38E5">
        <w:rPr>
          <w:lang w:val="uk-UA"/>
        </w:rPr>
        <w:t>У своїй спільній доповіді з контролю за зібраннями</w:t>
      </w:r>
      <w:r w:rsidR="00D4256A" w:rsidRPr="000A38E5">
        <w:rPr>
          <w:lang w:val="ru-RU"/>
        </w:rPr>
        <w:t xml:space="preserve">, </w:t>
      </w:r>
      <w:r w:rsidR="00D4256A" w:rsidRPr="000A38E5">
        <w:rPr>
          <w:lang w:val="uk-UA"/>
        </w:rPr>
        <w:t>виданій у</w:t>
      </w:r>
      <w:r w:rsidR="00D4256A" w:rsidRPr="000A38E5">
        <w:rPr>
          <w:lang w:val="ru-RU"/>
        </w:rPr>
        <w:t xml:space="preserve"> 2016</w:t>
      </w:r>
      <w:r w:rsidR="00D4256A" w:rsidRPr="000A38E5">
        <w:rPr>
          <w:lang w:val="uk-UA"/>
        </w:rPr>
        <w:t xml:space="preserve"> р.</w:t>
      </w:r>
      <w:r w:rsidR="00D4256A" w:rsidRPr="000A38E5">
        <w:rPr>
          <w:lang w:val="ru-RU"/>
        </w:rPr>
        <w:t xml:space="preserve"> (</w:t>
      </w:r>
      <w:r w:rsidR="00D4256A" w:rsidRPr="000A38E5">
        <w:t>A</w:t>
      </w:r>
      <w:r w:rsidR="00D4256A" w:rsidRPr="000A38E5">
        <w:rPr>
          <w:lang w:val="ru-RU"/>
        </w:rPr>
        <w:t>/</w:t>
      </w:r>
      <w:r w:rsidR="00D4256A" w:rsidRPr="000A38E5">
        <w:t>HRC</w:t>
      </w:r>
      <w:r w:rsidR="00D4256A" w:rsidRPr="000A38E5">
        <w:rPr>
          <w:lang w:val="ru-RU"/>
        </w:rPr>
        <w:t xml:space="preserve">/31/66), </w:t>
      </w:r>
      <w:r w:rsidR="00D4256A" w:rsidRPr="000A38E5">
        <w:rPr>
          <w:lang w:val="uk-UA"/>
        </w:rPr>
        <w:t>Спеціальний доповідач ООН з права на свободу мирних зібрань</w:t>
      </w:r>
      <w:r w:rsidR="00D4256A" w:rsidRPr="000A38E5">
        <w:rPr>
          <w:lang w:val="ru-RU"/>
        </w:rPr>
        <w:t xml:space="preserve"> </w:t>
      </w:r>
      <w:r w:rsidR="00D4256A" w:rsidRPr="000A38E5">
        <w:rPr>
          <w:lang w:val="uk-UA"/>
        </w:rPr>
        <w:t>та об’єднань</w:t>
      </w:r>
      <w:r w:rsidR="00D4256A" w:rsidRPr="000A38E5">
        <w:rPr>
          <w:lang w:val="ru-RU"/>
        </w:rPr>
        <w:t xml:space="preserve"> </w:t>
      </w:r>
      <w:r w:rsidR="00D4256A" w:rsidRPr="000A38E5">
        <w:rPr>
          <w:lang w:val="uk-UA"/>
        </w:rPr>
        <w:t>а також позасудових, загальних або довільних покарань, зазначив</w:t>
      </w:r>
      <w:r w:rsidR="00D4256A" w:rsidRPr="000A38E5">
        <w:rPr>
          <w:lang w:val="ru-RU"/>
        </w:rPr>
        <w:t>:</w:t>
      </w:r>
    </w:p>
    <w:p w:rsidR="00D4256A" w:rsidRPr="000A38E5" w:rsidRDefault="00D4256A" w:rsidP="00D4256A">
      <w:pPr>
        <w:pStyle w:val="ECHRParaQuote"/>
        <w:rPr>
          <w:lang w:val="ru-RU"/>
        </w:rPr>
      </w:pPr>
      <w:r w:rsidRPr="000A38E5">
        <w:rPr>
          <w:lang w:val="ru-RU"/>
        </w:rPr>
        <w:t>“38.</w:t>
      </w:r>
      <w:r w:rsidRPr="00E93710">
        <w:rPr>
          <w:lang w:val="ru-RU"/>
        </w:rPr>
        <w:t xml:space="preserve"> </w:t>
      </w:r>
      <w:r w:rsidRPr="000A38E5">
        <w:rPr>
          <w:lang w:val="uk-UA"/>
        </w:rPr>
        <w:t>Належне сприяння зібранням також виграє від ефективного спілкування</w:t>
      </w:r>
      <w:r w:rsidRPr="000A38E5">
        <w:rPr>
          <w:lang w:val="ru-RU"/>
        </w:rPr>
        <w:t xml:space="preserve"> </w:t>
      </w:r>
      <w:r w:rsidRPr="000A38E5">
        <w:rPr>
          <w:lang w:val="uk-UA"/>
        </w:rPr>
        <w:t>та співпраці серед усіх залучених сторін</w:t>
      </w:r>
      <w:r w:rsidRPr="000A38E5">
        <w:rPr>
          <w:lang w:val="ru-RU"/>
        </w:rPr>
        <w:t xml:space="preserve"> ... </w:t>
      </w:r>
      <w:r w:rsidRPr="000A38E5">
        <w:rPr>
          <w:lang w:val="uk-UA"/>
        </w:rPr>
        <w:t>Відкритий діалог між органами влади (у томі числі тими, які відповідають</w:t>
      </w:r>
      <w:r w:rsidRPr="000A38E5">
        <w:rPr>
          <w:lang w:val="ru-RU"/>
        </w:rPr>
        <w:t xml:space="preserve"> </w:t>
      </w:r>
      <w:r w:rsidRPr="000A38E5">
        <w:rPr>
          <w:lang w:val="uk-UA"/>
        </w:rPr>
        <w:t>за отримання повідомлень та правоохоронними органами</w:t>
      </w:r>
      <w:r w:rsidRPr="000A38E5">
        <w:rPr>
          <w:lang w:val="ru-RU"/>
        </w:rPr>
        <w:t xml:space="preserve">) </w:t>
      </w:r>
      <w:r w:rsidRPr="000A38E5">
        <w:rPr>
          <w:lang w:val="uk-UA"/>
        </w:rPr>
        <w:t>та організаторами зібрань, якщо їх можна ідентифікувати,</w:t>
      </w:r>
      <w:r w:rsidRPr="000A38E5">
        <w:rPr>
          <w:lang w:val="ru-RU"/>
        </w:rPr>
        <w:t xml:space="preserve"> </w:t>
      </w:r>
      <w:r w:rsidRPr="000A38E5">
        <w:rPr>
          <w:lang w:val="uk-UA"/>
        </w:rPr>
        <w:t>до, протягом та після зібрання, дозволяє скористатися підходом на основі захисту та полегшення</w:t>
      </w:r>
      <w:r w:rsidRPr="000A38E5">
        <w:rPr>
          <w:lang w:val="ru-RU"/>
        </w:rPr>
        <w:t xml:space="preserve">, </w:t>
      </w:r>
      <w:r w:rsidRPr="000A38E5">
        <w:rPr>
          <w:lang w:val="uk-UA"/>
        </w:rPr>
        <w:t>допомагає зменшити тиск</w:t>
      </w:r>
      <w:r w:rsidRPr="000A38E5">
        <w:rPr>
          <w:lang w:val="ru-RU"/>
        </w:rPr>
        <w:t xml:space="preserve"> </w:t>
      </w:r>
      <w:r w:rsidRPr="000A38E5">
        <w:rPr>
          <w:lang w:val="uk-UA"/>
        </w:rPr>
        <w:t>та запобігає ескалації конфлікту</w:t>
      </w:r>
      <w:r w:rsidRPr="000A38E5">
        <w:rPr>
          <w:lang w:val="ru-RU"/>
        </w:rPr>
        <w:t xml:space="preserve">. </w:t>
      </w:r>
      <w:r w:rsidRPr="000A38E5">
        <w:rPr>
          <w:lang w:val="uk-UA"/>
        </w:rPr>
        <w:t>Правоохоронні органи та посадові особи повинні здійснити усі розумні заходи</w:t>
      </w:r>
      <w:r w:rsidRPr="000A38E5">
        <w:rPr>
          <w:lang w:val="ru-RU"/>
        </w:rPr>
        <w:t xml:space="preserve"> </w:t>
      </w:r>
      <w:r w:rsidRPr="000A38E5">
        <w:rPr>
          <w:lang w:val="uk-UA"/>
        </w:rPr>
        <w:t>для спілкування з організаторами та/або учасниками зібрання</w:t>
      </w:r>
      <w:r w:rsidRPr="000A38E5">
        <w:rPr>
          <w:lang w:val="ru-RU"/>
        </w:rPr>
        <w:t xml:space="preserve"> </w:t>
      </w:r>
      <w:r w:rsidRPr="000A38E5">
        <w:rPr>
          <w:lang w:val="uk-UA"/>
        </w:rPr>
        <w:t>стосовно охорони порядку та будь-яких засобів безпеки</w:t>
      </w:r>
      <w:r w:rsidRPr="000A38E5">
        <w:rPr>
          <w:lang w:val="ru-RU"/>
        </w:rPr>
        <w:t xml:space="preserve">. </w:t>
      </w:r>
      <w:r w:rsidRPr="000A38E5">
        <w:rPr>
          <w:lang w:val="uk-UA"/>
        </w:rPr>
        <w:t>Спілкування не повинно обмежуватися вербальним спілкуванням,</w:t>
      </w:r>
      <w:r w:rsidRPr="000A38E5">
        <w:rPr>
          <w:lang w:val="ru-RU"/>
        </w:rPr>
        <w:t xml:space="preserve"> </w:t>
      </w:r>
      <w:r w:rsidRPr="000A38E5">
        <w:rPr>
          <w:lang w:val="uk-UA"/>
        </w:rPr>
        <w:t>правоохоронні органи повинні вивчати вплив</w:t>
      </w:r>
      <w:r w:rsidRPr="000A38E5">
        <w:rPr>
          <w:lang w:val="ru-RU"/>
        </w:rPr>
        <w:t xml:space="preserve"> </w:t>
      </w:r>
      <w:r w:rsidRPr="000A38E5">
        <w:rPr>
          <w:lang w:val="uk-UA"/>
        </w:rPr>
        <w:t>будь-якого непрямого спілкування, яке організатори та учасники зібрання можуть зрозуміти,</w:t>
      </w:r>
      <w:r w:rsidRPr="000A38E5">
        <w:rPr>
          <w:lang w:val="ru-RU"/>
        </w:rPr>
        <w:t xml:space="preserve"> </w:t>
      </w:r>
      <w:r w:rsidRPr="000A38E5">
        <w:rPr>
          <w:lang w:val="uk-UA"/>
        </w:rPr>
        <w:t>як залякування</w:t>
      </w:r>
      <w:r w:rsidRPr="000A38E5">
        <w:rPr>
          <w:lang w:val="ru-RU"/>
        </w:rPr>
        <w:t xml:space="preserve">, </w:t>
      </w:r>
      <w:r w:rsidRPr="000A38E5">
        <w:rPr>
          <w:lang w:val="uk-UA"/>
        </w:rPr>
        <w:t>наприклад, присутності та використання певного обладнання та мові тіл посадових осіб</w:t>
      </w:r>
      <w:r w:rsidRPr="000A38E5">
        <w:rPr>
          <w:lang w:val="ru-RU"/>
        </w:rPr>
        <w:t>.</w:t>
      </w:r>
    </w:p>
    <w:p w:rsidR="00D4256A" w:rsidRPr="000A38E5" w:rsidRDefault="00D4256A" w:rsidP="00D4256A">
      <w:pPr>
        <w:pStyle w:val="ECHRParaQuote"/>
        <w:rPr>
          <w:lang w:val="ru-RU"/>
        </w:rPr>
      </w:pPr>
      <w:r w:rsidRPr="000A38E5">
        <w:rPr>
          <w:lang w:val="ru-RU"/>
        </w:rPr>
        <w:t>...</w:t>
      </w:r>
    </w:p>
    <w:p w:rsidR="00D4256A" w:rsidRPr="000A38E5" w:rsidRDefault="00D4256A" w:rsidP="00D4256A">
      <w:pPr>
        <w:pStyle w:val="ECHRParaQuote"/>
        <w:rPr>
          <w:lang w:val="ru-RU"/>
        </w:rPr>
      </w:pPr>
      <w:r w:rsidRPr="000A38E5">
        <w:rPr>
          <w:lang w:val="ru-RU"/>
        </w:rPr>
        <w:t>63.</w:t>
      </w:r>
      <w:r w:rsidRPr="00E93710">
        <w:rPr>
          <w:lang w:val="ru-RU"/>
        </w:rPr>
        <w:t xml:space="preserve"> </w:t>
      </w:r>
      <w:r w:rsidRPr="000A38E5">
        <w:rPr>
          <w:lang w:val="uk-UA"/>
        </w:rPr>
        <w:t>Лише урядові органи влади та високопосадові особи з достатньою</w:t>
      </w:r>
      <w:r w:rsidRPr="000A38E5">
        <w:rPr>
          <w:lang w:val="ru-RU"/>
        </w:rPr>
        <w:t xml:space="preserve"> </w:t>
      </w:r>
      <w:r w:rsidRPr="000A38E5">
        <w:rPr>
          <w:lang w:val="uk-UA"/>
        </w:rPr>
        <w:t>та точною інформацією про ситуацію</w:t>
      </w:r>
      <w:r w:rsidRPr="000A38E5">
        <w:rPr>
          <w:lang w:val="ru-RU"/>
        </w:rPr>
        <w:t xml:space="preserve"> </w:t>
      </w:r>
      <w:r w:rsidRPr="000A38E5">
        <w:rPr>
          <w:lang w:val="uk-UA"/>
        </w:rPr>
        <w:t>повинні мати уповноваження наказувати здійснення розгону</w:t>
      </w:r>
      <w:r w:rsidRPr="000A38E5">
        <w:rPr>
          <w:lang w:val="ru-RU"/>
        </w:rPr>
        <w:t xml:space="preserve">. </w:t>
      </w:r>
      <w:r w:rsidRPr="000A38E5">
        <w:rPr>
          <w:lang w:val="uk-UA"/>
        </w:rPr>
        <w:t>Якщо розгін вважається необхідним</w:t>
      </w:r>
      <w:r w:rsidRPr="000A38E5">
        <w:rPr>
          <w:lang w:val="ru-RU"/>
        </w:rPr>
        <w:t xml:space="preserve">, </w:t>
      </w:r>
      <w:r w:rsidRPr="000A38E5">
        <w:rPr>
          <w:lang w:val="uk-UA"/>
        </w:rPr>
        <w:t>учасники зібрання повинні бути ясно та чітко проінформовані</w:t>
      </w:r>
      <w:r w:rsidRPr="000A38E5">
        <w:rPr>
          <w:lang w:val="ru-RU"/>
        </w:rPr>
        <w:t xml:space="preserve">, </w:t>
      </w:r>
      <w:r w:rsidRPr="000A38E5">
        <w:rPr>
          <w:lang w:val="uk-UA"/>
        </w:rPr>
        <w:t>і повинні мати достатньо часу для того, щоб розійтися добровільно</w:t>
      </w:r>
      <w:r w:rsidRPr="000A38E5">
        <w:rPr>
          <w:lang w:val="ru-RU"/>
        </w:rPr>
        <w:t xml:space="preserve">. </w:t>
      </w:r>
      <w:r w:rsidRPr="000A38E5">
        <w:rPr>
          <w:lang w:val="uk-UA"/>
        </w:rPr>
        <w:t>Співробітники можуть здійснювати подальше втручання, лише якщо учасники зібрання відмовляться розійтися</w:t>
      </w:r>
      <w:r w:rsidRPr="000A38E5">
        <w:rPr>
          <w:lang w:val="ru-RU"/>
        </w:rPr>
        <w:t>.</w:t>
      </w:r>
    </w:p>
    <w:p w:rsidR="00D4256A" w:rsidRPr="000A38E5" w:rsidRDefault="00D4256A" w:rsidP="00D4256A">
      <w:pPr>
        <w:pStyle w:val="ECHRParaQuote"/>
        <w:rPr>
          <w:lang w:val="ru-RU"/>
        </w:rPr>
      </w:pPr>
      <w:r w:rsidRPr="000A38E5">
        <w:rPr>
          <w:lang w:val="ru-RU"/>
        </w:rPr>
        <w:t>...</w:t>
      </w:r>
    </w:p>
    <w:p w:rsidR="00D4256A" w:rsidRPr="000A38E5" w:rsidRDefault="00D4256A" w:rsidP="00D4256A">
      <w:pPr>
        <w:pStyle w:val="ECHRParaQuote"/>
        <w:rPr>
          <w:lang w:val="ru-RU"/>
        </w:rPr>
      </w:pPr>
      <w:r w:rsidRPr="000A38E5">
        <w:rPr>
          <w:lang w:val="ru-RU"/>
        </w:rPr>
        <w:t>65.</w:t>
      </w:r>
      <w:r w:rsidRPr="00E93710">
        <w:rPr>
          <w:lang w:val="ru-RU"/>
        </w:rPr>
        <w:t xml:space="preserve"> </w:t>
      </w:r>
      <w:r w:rsidRPr="000A38E5">
        <w:rPr>
          <w:lang w:val="uk-UA"/>
        </w:rPr>
        <w:t>Повинна бути встановлена чітка та прозора командна структура</w:t>
      </w:r>
      <w:r w:rsidRPr="000A38E5">
        <w:rPr>
          <w:lang w:val="ru-RU"/>
        </w:rPr>
        <w:t xml:space="preserve"> </w:t>
      </w:r>
      <w:r w:rsidRPr="000A38E5">
        <w:rPr>
          <w:lang w:val="uk-UA"/>
        </w:rPr>
        <w:t>для мінімізації ризику насилля або використання сили</w:t>
      </w:r>
      <w:r w:rsidRPr="000A38E5">
        <w:rPr>
          <w:lang w:val="ru-RU"/>
        </w:rPr>
        <w:t xml:space="preserve">, </w:t>
      </w:r>
      <w:r w:rsidRPr="000A38E5">
        <w:rPr>
          <w:lang w:val="uk-UA"/>
        </w:rPr>
        <w:t>а також для забезпечення відповідальності за незаконні дії або бездіяльність співробітників правоохоронних органів</w:t>
      </w:r>
      <w:r w:rsidRPr="000A38E5">
        <w:rPr>
          <w:lang w:val="ru-RU"/>
        </w:rPr>
        <w:t xml:space="preserve">. </w:t>
      </w:r>
      <w:r w:rsidRPr="000A38E5">
        <w:rPr>
          <w:lang w:val="uk-UA"/>
        </w:rPr>
        <w:t>Необхідно належно документувати рішення, прийняті відповідальними співробітниками на усіх рівнях</w:t>
      </w:r>
      <w:r w:rsidRPr="000A38E5">
        <w:rPr>
          <w:lang w:val="ru-RU"/>
        </w:rPr>
        <w:t xml:space="preserve">. </w:t>
      </w:r>
      <w:r w:rsidRPr="000A38E5">
        <w:rPr>
          <w:lang w:val="uk-UA"/>
        </w:rPr>
        <w:t>Правоохоронці повинні бути чітко та індивідуально ідентифіковані</w:t>
      </w:r>
      <w:r w:rsidRPr="000A38E5">
        <w:rPr>
          <w:lang w:val="ru-RU"/>
        </w:rPr>
        <w:t xml:space="preserve">, </w:t>
      </w:r>
      <w:r w:rsidRPr="000A38E5">
        <w:rPr>
          <w:lang w:val="uk-UA"/>
        </w:rPr>
        <w:t>наприклад, шляхом демонстрації таблички з ім’ям або номером</w:t>
      </w:r>
      <w:r w:rsidRPr="000A38E5">
        <w:rPr>
          <w:lang w:val="ru-RU"/>
        </w:rPr>
        <w:t xml:space="preserve"> ...</w:t>
      </w:r>
    </w:p>
    <w:p w:rsidR="00D4256A" w:rsidRPr="000A38E5" w:rsidRDefault="00D4256A" w:rsidP="00D4256A">
      <w:pPr>
        <w:pStyle w:val="ECHRParaQuote"/>
        <w:rPr>
          <w:lang w:val="ru-RU"/>
        </w:rPr>
      </w:pPr>
      <w:r w:rsidRPr="000A38E5">
        <w:rPr>
          <w:lang w:val="ru-RU"/>
        </w:rPr>
        <w:t>...</w:t>
      </w:r>
    </w:p>
    <w:p w:rsidR="00D4256A" w:rsidRPr="000A38E5" w:rsidRDefault="00D4256A" w:rsidP="00D4256A">
      <w:pPr>
        <w:pStyle w:val="ECHRParaQuote"/>
        <w:rPr>
          <w:lang w:val="ru-RU"/>
        </w:rPr>
      </w:pPr>
      <w:r w:rsidRPr="000A38E5">
        <w:rPr>
          <w:lang w:val="ru-RU"/>
        </w:rPr>
        <w:t>85.</w:t>
      </w:r>
      <w:r w:rsidRPr="00E93710">
        <w:rPr>
          <w:lang w:val="ru-RU"/>
        </w:rPr>
        <w:t xml:space="preserve"> </w:t>
      </w:r>
      <w:r w:rsidRPr="000A38E5">
        <w:rPr>
          <w:lang w:val="uk-UA"/>
        </w:rPr>
        <w:t>Підприємці також відіграють значну роль</w:t>
      </w:r>
      <w:r w:rsidRPr="000A38E5">
        <w:rPr>
          <w:lang w:val="ru-RU"/>
        </w:rPr>
        <w:t xml:space="preserve"> </w:t>
      </w:r>
      <w:r w:rsidRPr="000A38E5">
        <w:rPr>
          <w:lang w:val="uk-UA"/>
        </w:rPr>
        <w:t>в охороні порядку зібрань</w:t>
      </w:r>
      <w:r w:rsidRPr="000A38E5">
        <w:rPr>
          <w:lang w:val="ru-RU"/>
        </w:rPr>
        <w:t xml:space="preserve">. </w:t>
      </w:r>
      <w:r w:rsidRPr="000A38E5">
        <w:rPr>
          <w:lang w:val="uk-UA"/>
        </w:rPr>
        <w:t>Наприклад, цивільні приватні охоронні служби</w:t>
      </w:r>
      <w:r w:rsidRPr="000A38E5">
        <w:rPr>
          <w:lang w:val="ru-RU"/>
        </w:rPr>
        <w:t xml:space="preserve"> </w:t>
      </w:r>
      <w:r w:rsidRPr="000A38E5">
        <w:rPr>
          <w:lang w:val="uk-UA"/>
        </w:rPr>
        <w:t>можуть виконувати роль охорони порядку під час захисту приватного майна</w:t>
      </w:r>
      <w:r w:rsidRPr="000A38E5">
        <w:rPr>
          <w:lang w:val="ru-RU"/>
        </w:rPr>
        <w:t xml:space="preserve"> </w:t>
      </w:r>
      <w:r w:rsidRPr="000A38E5">
        <w:rPr>
          <w:lang w:val="uk-UA"/>
        </w:rPr>
        <w:t>або власності протягом зібрання</w:t>
      </w:r>
      <w:r w:rsidRPr="000A38E5">
        <w:rPr>
          <w:lang w:val="ru-RU"/>
        </w:rPr>
        <w:t xml:space="preserve">, </w:t>
      </w:r>
      <w:r w:rsidRPr="000A38E5">
        <w:rPr>
          <w:lang w:val="uk-UA"/>
        </w:rPr>
        <w:t>і приватні компанії часто відіграють роль у спостереженні</w:t>
      </w:r>
      <w:r w:rsidRPr="000A38E5">
        <w:rPr>
          <w:lang w:val="ru-RU"/>
        </w:rPr>
        <w:t xml:space="preserve"> ... </w:t>
      </w:r>
      <w:r w:rsidRPr="000A38E5">
        <w:rPr>
          <w:lang w:val="uk-UA"/>
        </w:rPr>
        <w:t>Юридичні особи повинні здійснювати певну обачність в області прав людини</w:t>
      </w:r>
      <w:r w:rsidRPr="000A38E5">
        <w:rPr>
          <w:lang w:val="ru-RU"/>
        </w:rPr>
        <w:t xml:space="preserve">, </w:t>
      </w:r>
      <w:r w:rsidRPr="000A38E5">
        <w:rPr>
          <w:lang w:val="uk-UA"/>
        </w:rPr>
        <w:t>і якщо потенційний вплив на зібрання та пов’язані права</w:t>
      </w:r>
      <w:r w:rsidRPr="000A38E5">
        <w:rPr>
          <w:lang w:val="ru-RU"/>
        </w:rPr>
        <w:t xml:space="preserve"> </w:t>
      </w:r>
      <w:r w:rsidRPr="000A38E5">
        <w:rPr>
          <w:lang w:val="uk-UA"/>
        </w:rPr>
        <w:t>можна ідентифікувати – пом’якшити</w:t>
      </w:r>
      <w:r w:rsidRPr="000A38E5">
        <w:rPr>
          <w:lang w:val="ru-RU"/>
        </w:rPr>
        <w:t xml:space="preserve"> </w:t>
      </w:r>
      <w:r w:rsidRPr="000A38E5">
        <w:rPr>
          <w:lang w:val="uk-UA"/>
        </w:rPr>
        <w:t>ризики</w:t>
      </w:r>
      <w:r w:rsidRPr="000A38E5">
        <w:rPr>
          <w:lang w:val="ru-RU"/>
        </w:rPr>
        <w:t xml:space="preserve">. </w:t>
      </w:r>
      <w:r w:rsidRPr="000A38E5">
        <w:rPr>
          <w:lang w:val="uk-UA"/>
        </w:rPr>
        <w:t>Цивільні приватні охоронні підприємства</w:t>
      </w:r>
      <w:r w:rsidRPr="000A38E5">
        <w:rPr>
          <w:lang w:val="ru-RU"/>
        </w:rPr>
        <w:t xml:space="preserve"> </w:t>
      </w:r>
      <w:r w:rsidRPr="000A38E5">
        <w:rPr>
          <w:lang w:val="uk-UA"/>
        </w:rPr>
        <w:t>не повинні здійснювати функції охорони порядку</w:t>
      </w:r>
      <w:r w:rsidRPr="000A38E5">
        <w:rPr>
          <w:lang w:val="ru-RU"/>
        </w:rPr>
        <w:t xml:space="preserve"> </w:t>
      </w:r>
      <w:r w:rsidRPr="000A38E5">
        <w:rPr>
          <w:lang w:val="uk-UA"/>
        </w:rPr>
        <w:t>стосовно зібрань</w:t>
      </w:r>
      <w:r w:rsidRPr="000A38E5">
        <w:rPr>
          <w:lang w:val="ru-RU"/>
        </w:rPr>
        <w:t xml:space="preserve">. </w:t>
      </w:r>
      <w:r w:rsidRPr="000A38E5">
        <w:rPr>
          <w:lang w:val="uk-UA"/>
        </w:rPr>
        <w:t>Однак, якщо це відбувається, такі служби повинні поважати та захищати права людини</w:t>
      </w:r>
      <w:r w:rsidRPr="000A38E5">
        <w:rPr>
          <w:lang w:val="ru-RU"/>
        </w:rPr>
        <w:t xml:space="preserve"> </w:t>
      </w:r>
      <w:r w:rsidRPr="000A38E5">
        <w:rPr>
          <w:lang w:val="uk-UA"/>
        </w:rPr>
        <w:t>і повинні відповідати найвищим стандартам поведінки</w:t>
      </w:r>
      <w:r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115</w:t>
      </w:r>
      <w:r w:rsidRPr="000A38E5">
        <w:fldChar w:fldCharType="end"/>
      </w:r>
      <w:r w:rsidR="00D4256A" w:rsidRPr="000A38E5">
        <w:rPr>
          <w:lang w:val="ru-RU"/>
        </w:rPr>
        <w:t>.</w:t>
      </w:r>
      <w:r w:rsidR="00D4256A" w:rsidRPr="00E93710">
        <w:rPr>
          <w:lang w:val="ru-RU"/>
        </w:rPr>
        <w:t xml:space="preserve"> </w:t>
      </w:r>
      <w:r w:rsidR="00D4256A" w:rsidRPr="000A38E5">
        <w:rPr>
          <w:lang w:val="uk-UA"/>
        </w:rPr>
        <w:t>У своїй доповіді з права на життя та використання сили</w:t>
      </w:r>
      <w:r w:rsidR="00D4256A" w:rsidRPr="000A38E5">
        <w:rPr>
          <w:bCs/>
          <w:lang w:val="ru-RU"/>
        </w:rPr>
        <w:t xml:space="preserve"> </w:t>
      </w:r>
      <w:r w:rsidR="00D4256A" w:rsidRPr="000A38E5">
        <w:rPr>
          <w:bCs/>
          <w:lang w:val="uk-UA"/>
        </w:rPr>
        <w:t>приватними охоронними підприємствами</w:t>
      </w:r>
      <w:r w:rsidR="00D4256A" w:rsidRPr="000A38E5">
        <w:rPr>
          <w:bCs/>
          <w:lang w:val="ru-RU"/>
        </w:rPr>
        <w:t xml:space="preserve"> </w:t>
      </w:r>
      <w:r w:rsidR="00D4256A" w:rsidRPr="000A38E5">
        <w:rPr>
          <w:bCs/>
          <w:lang w:val="uk-UA"/>
        </w:rPr>
        <w:t>у правоохоронному контексті</w:t>
      </w:r>
      <w:r w:rsidR="00D4256A" w:rsidRPr="000A38E5">
        <w:rPr>
          <w:bCs/>
          <w:lang w:val="ru-RU"/>
        </w:rPr>
        <w:t xml:space="preserve">, </w:t>
      </w:r>
      <w:r w:rsidR="00D4256A" w:rsidRPr="000A38E5">
        <w:rPr>
          <w:bCs/>
          <w:lang w:val="uk-UA"/>
        </w:rPr>
        <w:t>виданій у</w:t>
      </w:r>
      <w:r w:rsidR="00D4256A" w:rsidRPr="000A38E5">
        <w:rPr>
          <w:bCs/>
          <w:lang w:val="ru-RU"/>
        </w:rPr>
        <w:t xml:space="preserve"> 2016</w:t>
      </w:r>
      <w:r w:rsidR="00D4256A" w:rsidRPr="000A38E5">
        <w:rPr>
          <w:bCs/>
          <w:lang w:val="uk-UA"/>
        </w:rPr>
        <w:t xml:space="preserve"> р.</w:t>
      </w:r>
      <w:r w:rsidR="00D4256A" w:rsidRPr="000A38E5">
        <w:rPr>
          <w:bCs/>
          <w:lang w:val="ru-RU"/>
        </w:rPr>
        <w:t xml:space="preserve"> (</w:t>
      </w:r>
      <w:r w:rsidR="00D4256A" w:rsidRPr="000A38E5">
        <w:rPr>
          <w:bCs/>
        </w:rPr>
        <w:t>A</w:t>
      </w:r>
      <w:r w:rsidR="00D4256A" w:rsidRPr="000A38E5">
        <w:rPr>
          <w:bCs/>
          <w:lang w:val="ru-RU"/>
        </w:rPr>
        <w:t>/</w:t>
      </w:r>
      <w:r w:rsidR="00D4256A" w:rsidRPr="000A38E5">
        <w:rPr>
          <w:bCs/>
        </w:rPr>
        <w:t>HRC</w:t>
      </w:r>
      <w:r w:rsidR="00D4256A" w:rsidRPr="000A38E5">
        <w:rPr>
          <w:bCs/>
          <w:lang w:val="ru-RU"/>
        </w:rPr>
        <w:t xml:space="preserve">/32/39), </w:t>
      </w:r>
      <w:r w:rsidR="00D4256A" w:rsidRPr="000A38E5">
        <w:rPr>
          <w:lang w:val="uk-UA"/>
        </w:rPr>
        <w:t>Спеціальний доповідач ООН з позасудових, загальних або довільних покарань</w:t>
      </w:r>
      <w:r w:rsidR="00D4256A" w:rsidRPr="000A38E5">
        <w:rPr>
          <w:lang w:val="ru-RU"/>
        </w:rPr>
        <w:t xml:space="preserve"> </w:t>
      </w:r>
      <w:r w:rsidR="00D4256A" w:rsidRPr="000A38E5">
        <w:rPr>
          <w:lang w:val="uk-UA"/>
        </w:rPr>
        <w:t>зазначив</w:t>
      </w:r>
      <w:r w:rsidR="00D4256A" w:rsidRPr="000A38E5">
        <w:rPr>
          <w:lang w:val="ru-RU"/>
        </w:rPr>
        <w:t>:</w:t>
      </w:r>
    </w:p>
    <w:p w:rsidR="00D4256A" w:rsidRPr="000A38E5" w:rsidRDefault="00D4256A" w:rsidP="00D4256A">
      <w:pPr>
        <w:pStyle w:val="ECHRParaQuote"/>
        <w:rPr>
          <w:lang w:val="ru-RU"/>
        </w:rPr>
      </w:pPr>
      <w:r w:rsidRPr="000A38E5">
        <w:rPr>
          <w:lang w:val="ru-RU"/>
        </w:rPr>
        <w:t>“76.</w:t>
      </w:r>
      <w:r w:rsidRPr="00E93710">
        <w:rPr>
          <w:lang w:val="ru-RU"/>
        </w:rPr>
        <w:t xml:space="preserve"> </w:t>
      </w:r>
      <w:r w:rsidRPr="000A38E5">
        <w:rPr>
          <w:lang w:val="uk-UA"/>
        </w:rPr>
        <w:t>Як зазначено вище, коли держави передають частину своєї відповідальності</w:t>
      </w:r>
      <w:r w:rsidRPr="000A38E5">
        <w:rPr>
          <w:lang w:val="ru-RU"/>
        </w:rPr>
        <w:t xml:space="preserve"> </w:t>
      </w:r>
      <w:r w:rsidRPr="000A38E5">
        <w:rPr>
          <w:lang w:val="uk-UA"/>
        </w:rPr>
        <w:t>за забезпечення безпеки</w:t>
      </w:r>
      <w:r w:rsidRPr="000A38E5">
        <w:rPr>
          <w:lang w:val="ru-RU"/>
        </w:rPr>
        <w:t xml:space="preserve"> </w:t>
      </w:r>
      <w:r w:rsidRPr="000A38E5">
        <w:rPr>
          <w:lang w:val="uk-UA"/>
        </w:rPr>
        <w:t>приватним особам</w:t>
      </w:r>
      <w:r w:rsidRPr="000A38E5">
        <w:rPr>
          <w:lang w:val="ru-RU"/>
        </w:rPr>
        <w:t xml:space="preserve">, </w:t>
      </w:r>
      <w:r w:rsidRPr="000A38E5">
        <w:rPr>
          <w:lang w:val="uk-UA"/>
        </w:rPr>
        <w:t>зрозуміло, що ці дії відносяться до відповідної держави</w:t>
      </w:r>
      <w:r w:rsidRPr="000A38E5">
        <w:rPr>
          <w:lang w:val="ru-RU"/>
        </w:rPr>
        <w:t xml:space="preserve">, </w:t>
      </w:r>
      <w:r w:rsidRPr="000A38E5">
        <w:rPr>
          <w:lang w:val="uk-UA"/>
        </w:rPr>
        <w:t>і що до приватних охоронних підприємств, діючих у такому контексті, застосовуються щонайменш ті ж обмеження, як і до співробітників державних правоохоронних органів</w:t>
      </w:r>
      <w:r w:rsidRPr="000A38E5">
        <w:rPr>
          <w:lang w:val="ru-RU"/>
        </w:rPr>
        <w:t xml:space="preserve">. </w:t>
      </w:r>
      <w:r w:rsidRPr="000A38E5">
        <w:rPr>
          <w:lang w:val="uk-UA"/>
        </w:rPr>
        <w:t>У наступних розділах Спеціальний доповідач розгляне ситуації,</w:t>
      </w:r>
      <w:r w:rsidRPr="000A38E5">
        <w:rPr>
          <w:lang w:val="ru-RU"/>
        </w:rPr>
        <w:t xml:space="preserve"> </w:t>
      </w:r>
      <w:r w:rsidRPr="000A38E5">
        <w:rPr>
          <w:lang w:val="uk-UA"/>
        </w:rPr>
        <w:t xml:space="preserve">в яких </w:t>
      </w:r>
      <w:r w:rsidRPr="000A38E5">
        <w:rPr>
          <w:lang w:val="uk-UA"/>
        </w:rPr>
        <w:lastRenderedPageBreak/>
        <w:t>стандарти є менш авторитетними</w:t>
      </w:r>
      <w:r w:rsidRPr="000A38E5">
        <w:rPr>
          <w:lang w:val="ru-RU"/>
        </w:rPr>
        <w:t xml:space="preserve">, </w:t>
      </w:r>
      <w:r w:rsidRPr="000A38E5">
        <w:rPr>
          <w:lang w:val="uk-UA"/>
        </w:rPr>
        <w:t>але, на його думку, повинні залишатися нормативно ідентичними</w:t>
      </w:r>
      <w:r w:rsidRPr="000A38E5">
        <w:rPr>
          <w:lang w:val="ru-RU"/>
        </w:rPr>
        <w:t xml:space="preserve">, </w:t>
      </w:r>
      <w:r w:rsidRPr="000A38E5">
        <w:rPr>
          <w:lang w:val="uk-UA"/>
        </w:rPr>
        <w:t>навіть якщо будуть відрізнятися на практиці</w:t>
      </w:r>
      <w:r w:rsidRPr="000A38E5">
        <w:rPr>
          <w:lang w:val="ru-RU"/>
        </w:rPr>
        <w:t>.</w:t>
      </w:r>
    </w:p>
    <w:p w:rsidR="00D4256A" w:rsidRPr="000A38E5" w:rsidRDefault="00D4256A" w:rsidP="00D4256A">
      <w:pPr>
        <w:pStyle w:val="ECHRParaQuote"/>
        <w:rPr>
          <w:lang w:val="ru-RU"/>
        </w:rPr>
      </w:pPr>
      <w:r w:rsidRPr="000A38E5">
        <w:rPr>
          <w:lang w:val="ru-RU"/>
        </w:rPr>
        <w:t>...</w:t>
      </w:r>
    </w:p>
    <w:p w:rsidR="00D4256A" w:rsidRPr="000A38E5" w:rsidRDefault="00D4256A" w:rsidP="00D4256A">
      <w:pPr>
        <w:pStyle w:val="ECHRParaQuote"/>
        <w:rPr>
          <w:lang w:val="ru-RU"/>
        </w:rPr>
      </w:pPr>
      <w:r w:rsidRPr="000A38E5">
        <w:rPr>
          <w:lang w:val="ru-RU"/>
        </w:rPr>
        <w:t>84.</w:t>
      </w:r>
      <w:r w:rsidRPr="00E93710">
        <w:rPr>
          <w:lang w:val="ru-RU"/>
        </w:rPr>
        <w:t xml:space="preserve"> </w:t>
      </w:r>
      <w:r w:rsidRPr="000A38E5">
        <w:rPr>
          <w:lang w:val="uk-UA"/>
        </w:rPr>
        <w:t>Відповідальність за планування доречної оперативної відповіді</w:t>
      </w:r>
      <w:r w:rsidRPr="000A38E5">
        <w:rPr>
          <w:lang w:val="ru-RU"/>
        </w:rPr>
        <w:t xml:space="preserve"> </w:t>
      </w:r>
      <w:r w:rsidRPr="000A38E5">
        <w:rPr>
          <w:lang w:val="uk-UA"/>
        </w:rPr>
        <w:t>на виникаючу ситуацію</w:t>
      </w:r>
      <w:r w:rsidRPr="000A38E5">
        <w:rPr>
          <w:lang w:val="ru-RU"/>
        </w:rPr>
        <w:t xml:space="preserve"> </w:t>
      </w:r>
      <w:r w:rsidRPr="000A38E5">
        <w:rPr>
          <w:lang w:val="uk-UA"/>
        </w:rPr>
        <w:t>стосується приватних охоронних підприємств так само, як і державних правоохоронних органів</w:t>
      </w:r>
      <w:r w:rsidRPr="000A38E5">
        <w:rPr>
          <w:lang w:val="ru-RU"/>
        </w:rPr>
        <w:t xml:space="preserve">. </w:t>
      </w:r>
      <w:r w:rsidRPr="000A38E5">
        <w:rPr>
          <w:lang w:val="uk-UA"/>
        </w:rPr>
        <w:t>Однак, у випадку приватних охоронних підприємств існує</w:t>
      </w:r>
      <w:r w:rsidRPr="000A38E5">
        <w:rPr>
          <w:lang w:val="ru-RU"/>
        </w:rPr>
        <w:t xml:space="preserve"> </w:t>
      </w:r>
      <w:r w:rsidRPr="000A38E5">
        <w:rPr>
          <w:lang w:val="uk-UA"/>
        </w:rPr>
        <w:t>додатковий потенційний запобіжний крок</w:t>
      </w:r>
      <w:r w:rsidRPr="000A38E5">
        <w:rPr>
          <w:lang w:val="ru-RU"/>
        </w:rPr>
        <w:t xml:space="preserve">, </w:t>
      </w:r>
      <w:r w:rsidRPr="000A38E5">
        <w:rPr>
          <w:lang w:val="uk-UA"/>
        </w:rPr>
        <w:t>а саме, можливість викликати співробітників державних правоохоронних органів</w:t>
      </w:r>
      <w:r w:rsidRPr="000A38E5">
        <w:rPr>
          <w:lang w:val="ru-RU"/>
        </w:rPr>
        <w:t xml:space="preserve">. </w:t>
      </w:r>
      <w:r w:rsidRPr="000A38E5">
        <w:rPr>
          <w:lang w:val="uk-UA"/>
        </w:rPr>
        <w:t>За обставин, коли державні охоронні підприємства</w:t>
      </w:r>
      <w:r w:rsidRPr="000A38E5">
        <w:rPr>
          <w:lang w:val="ru-RU"/>
        </w:rPr>
        <w:t xml:space="preserve"> </w:t>
      </w:r>
      <w:r w:rsidRPr="000A38E5">
        <w:rPr>
          <w:lang w:val="uk-UA"/>
        </w:rPr>
        <w:t>використовують силу, відмовившись від можливості викликати державну поліцію</w:t>
      </w:r>
      <w:r w:rsidRPr="000A38E5">
        <w:rPr>
          <w:lang w:val="ru-RU"/>
        </w:rPr>
        <w:t xml:space="preserve">, </w:t>
      </w:r>
      <w:r w:rsidRPr="000A38E5">
        <w:rPr>
          <w:lang w:val="uk-UA"/>
        </w:rPr>
        <w:t>їх повне виконання умов обережності буде поставлено під сумнів</w:t>
      </w:r>
      <w:r w:rsidRPr="000A38E5">
        <w:rPr>
          <w:lang w:val="ru-RU"/>
        </w:rPr>
        <w:t xml:space="preserve">. </w:t>
      </w:r>
      <w:r w:rsidRPr="000A38E5">
        <w:rPr>
          <w:lang w:val="uk-UA"/>
        </w:rPr>
        <w:t>За обставин, коли надійшла допомога з боку органів влади</w:t>
      </w:r>
      <w:r w:rsidRPr="000A38E5">
        <w:rPr>
          <w:lang w:val="ru-RU"/>
        </w:rPr>
        <w:t xml:space="preserve">, </w:t>
      </w:r>
      <w:r w:rsidRPr="000A38E5">
        <w:rPr>
          <w:lang w:val="uk-UA"/>
        </w:rPr>
        <w:t>використання сили приватними охоронними підприємствами більше не буде виправданим</w:t>
      </w:r>
      <w:r w:rsidRPr="000A38E5">
        <w:rPr>
          <w:lang w:val="ru-RU"/>
        </w:rPr>
        <w:t xml:space="preserve"> </w:t>
      </w:r>
      <w:r w:rsidRPr="000A38E5">
        <w:rPr>
          <w:lang w:val="uk-UA"/>
        </w:rPr>
        <w:t>відповідно до принципу самозахисту або захисту інших осіб</w:t>
      </w:r>
      <w:r w:rsidRPr="000A38E5">
        <w:rPr>
          <w:lang w:val="ru-RU"/>
        </w:rPr>
        <w:t>.</w:t>
      </w:r>
    </w:p>
    <w:p w:rsidR="00D4256A" w:rsidRPr="000A38E5" w:rsidRDefault="00D4256A" w:rsidP="00D4256A">
      <w:pPr>
        <w:pStyle w:val="ECHRParaQuote"/>
        <w:rPr>
          <w:lang w:val="ru-RU"/>
        </w:rPr>
      </w:pPr>
      <w:r w:rsidRPr="000A38E5">
        <w:rPr>
          <w:lang w:val="ru-RU"/>
        </w:rPr>
        <w:t>...</w:t>
      </w:r>
    </w:p>
    <w:p w:rsidR="00D4256A" w:rsidRPr="000A38E5" w:rsidRDefault="00D4256A" w:rsidP="00D4256A">
      <w:pPr>
        <w:pStyle w:val="ECHRParaQuote"/>
        <w:rPr>
          <w:lang w:val="ru-RU"/>
        </w:rPr>
      </w:pPr>
      <w:r w:rsidRPr="000A38E5">
        <w:rPr>
          <w:lang w:val="ru-RU"/>
        </w:rPr>
        <w:t>103.</w:t>
      </w:r>
      <w:r w:rsidRPr="00E93710">
        <w:rPr>
          <w:lang w:val="ru-RU"/>
        </w:rPr>
        <w:t xml:space="preserve"> </w:t>
      </w:r>
      <w:r w:rsidRPr="000A38E5">
        <w:rPr>
          <w:lang w:val="uk-UA"/>
        </w:rPr>
        <w:t>У корпоративному секторі існують декілька контекстів,</w:t>
      </w:r>
      <w:r w:rsidRPr="000A38E5">
        <w:rPr>
          <w:lang w:val="ru-RU"/>
        </w:rPr>
        <w:t xml:space="preserve"> </w:t>
      </w:r>
      <w:r w:rsidRPr="000A38E5">
        <w:rPr>
          <w:lang w:val="uk-UA"/>
        </w:rPr>
        <w:t>де поєднання приватної та громадської частини може бути проблематичним</w:t>
      </w:r>
      <w:r w:rsidRPr="000A38E5">
        <w:rPr>
          <w:lang w:val="ru-RU"/>
        </w:rPr>
        <w:t xml:space="preserve">, </w:t>
      </w:r>
      <w:r w:rsidRPr="000A38E5">
        <w:rPr>
          <w:lang w:val="uk-UA"/>
        </w:rPr>
        <w:t>такі, як масові трудові протести або спори</w:t>
      </w:r>
      <w:r w:rsidRPr="000A38E5">
        <w:rPr>
          <w:lang w:val="ru-RU"/>
        </w:rPr>
        <w:t xml:space="preserve">, </w:t>
      </w:r>
      <w:r w:rsidRPr="000A38E5">
        <w:rPr>
          <w:lang w:val="uk-UA"/>
        </w:rPr>
        <w:t>або інші масові зібрання, які відбуваються на приватній території або біля неї</w:t>
      </w:r>
      <w:r w:rsidRPr="000A38E5">
        <w:rPr>
          <w:lang w:val="ru-RU"/>
        </w:rPr>
        <w:t xml:space="preserve">, </w:t>
      </w:r>
      <w:r w:rsidRPr="000A38E5">
        <w:rPr>
          <w:lang w:val="uk-UA"/>
        </w:rPr>
        <w:t>і відповідна корпорація може вирішити скористатися послугами приватного охоронного підприємства</w:t>
      </w:r>
      <w:r w:rsidRPr="000A38E5">
        <w:rPr>
          <w:lang w:val="ru-RU"/>
        </w:rPr>
        <w:t xml:space="preserve"> </w:t>
      </w:r>
      <w:r w:rsidRPr="000A38E5">
        <w:rPr>
          <w:lang w:val="uk-UA"/>
        </w:rPr>
        <w:t>для забезпечення порядку</w:t>
      </w:r>
      <w:r w:rsidRPr="000A38E5">
        <w:rPr>
          <w:lang w:val="ru-RU"/>
        </w:rPr>
        <w:t xml:space="preserve">. </w:t>
      </w:r>
      <w:r w:rsidRPr="000A38E5">
        <w:rPr>
          <w:lang w:val="uk-UA"/>
        </w:rPr>
        <w:t>Як зазначено вище, у контексті зібрань</w:t>
      </w:r>
      <w:r w:rsidRPr="000A38E5">
        <w:rPr>
          <w:lang w:val="ru-RU"/>
        </w:rPr>
        <w:t xml:space="preserve"> </w:t>
      </w:r>
      <w:r w:rsidRPr="000A38E5">
        <w:rPr>
          <w:lang w:val="uk-UA"/>
        </w:rPr>
        <w:t>або іншої діяльності, яка відбувається на межі між приватним та громадським сектором</w:t>
      </w:r>
      <w:r w:rsidRPr="000A38E5">
        <w:rPr>
          <w:lang w:val="ru-RU"/>
        </w:rPr>
        <w:t xml:space="preserve">, </w:t>
      </w:r>
      <w:r w:rsidRPr="000A38E5">
        <w:rPr>
          <w:lang w:val="uk-UA"/>
        </w:rPr>
        <w:t>фізично або концептуально</w:t>
      </w:r>
      <w:r w:rsidRPr="000A38E5">
        <w:rPr>
          <w:lang w:val="ru-RU"/>
        </w:rPr>
        <w:t xml:space="preserve">, </w:t>
      </w:r>
      <w:r w:rsidRPr="000A38E5">
        <w:rPr>
          <w:lang w:val="uk-UA"/>
        </w:rPr>
        <w:t>важливо прийняти до уваги, що приватні охоронні підприємства</w:t>
      </w:r>
      <w:r w:rsidRPr="000A38E5">
        <w:rPr>
          <w:lang w:val="ru-RU"/>
        </w:rPr>
        <w:t xml:space="preserve"> </w:t>
      </w:r>
      <w:r w:rsidRPr="000A38E5">
        <w:rPr>
          <w:lang w:val="uk-UA"/>
        </w:rPr>
        <w:t>мають мандат та пріоритети, які відрізняються від того, чим наділена поліція</w:t>
      </w:r>
      <w:r w:rsidRPr="000A38E5">
        <w:rPr>
          <w:lang w:val="ru-RU"/>
        </w:rPr>
        <w:t xml:space="preserve">. </w:t>
      </w:r>
      <w:r w:rsidRPr="000A38E5">
        <w:rPr>
          <w:lang w:val="uk-UA"/>
        </w:rPr>
        <w:t>Таким чином, поліцію слід викликати при виникненні будь-яких невизначеностей між приватними та громадськими інтересами</w:t>
      </w:r>
      <w:r w:rsidRPr="000A38E5">
        <w:rPr>
          <w:lang w:val="ru-RU"/>
        </w:rPr>
        <w:t xml:space="preserve">, </w:t>
      </w:r>
      <w:r w:rsidRPr="000A38E5">
        <w:rPr>
          <w:lang w:val="uk-UA"/>
        </w:rPr>
        <w:t>особливо стосовно використання сили у таких контекстах</w:t>
      </w:r>
      <w:r w:rsidRPr="000A38E5">
        <w:rPr>
          <w:lang w:val="ru-RU"/>
        </w:rPr>
        <w:t>.</w:t>
      </w:r>
    </w:p>
    <w:p w:rsidR="00D4256A" w:rsidRPr="000A38E5" w:rsidRDefault="00D4256A" w:rsidP="00D4256A">
      <w:pPr>
        <w:pStyle w:val="ECHRParaQuote"/>
        <w:rPr>
          <w:lang w:val="ru-RU"/>
        </w:rPr>
      </w:pPr>
      <w:r w:rsidRPr="000A38E5">
        <w:rPr>
          <w:lang w:val="ru-RU"/>
        </w:rPr>
        <w:t>...</w:t>
      </w:r>
    </w:p>
    <w:p w:rsidR="00D4256A" w:rsidRPr="000A38E5" w:rsidRDefault="00D4256A" w:rsidP="00D4256A">
      <w:pPr>
        <w:pStyle w:val="ECHRParaQuote"/>
        <w:rPr>
          <w:lang w:val="ru-RU"/>
        </w:rPr>
      </w:pPr>
      <w:r w:rsidRPr="000A38E5">
        <w:rPr>
          <w:lang w:val="ru-RU"/>
        </w:rPr>
        <w:t>120.</w:t>
      </w:r>
      <w:r w:rsidRPr="00E93710">
        <w:rPr>
          <w:lang w:val="ru-RU"/>
        </w:rPr>
        <w:t xml:space="preserve"> </w:t>
      </w:r>
      <w:r w:rsidRPr="000A38E5">
        <w:rPr>
          <w:bCs/>
          <w:lang w:val="uk-UA"/>
        </w:rPr>
        <w:t>Якщо держави прямо замовляють охоронні послуги у приватного охоронного підприємства</w:t>
      </w:r>
      <w:r w:rsidRPr="000A38E5">
        <w:rPr>
          <w:bCs/>
          <w:lang w:val="ru-RU"/>
        </w:rPr>
        <w:t xml:space="preserve">, </w:t>
      </w:r>
      <w:r w:rsidRPr="000A38E5">
        <w:rPr>
          <w:bCs/>
          <w:lang w:val="uk-UA"/>
        </w:rPr>
        <w:t>стандарти та рівень відповідальності держави за дії її агентів</w:t>
      </w:r>
      <w:r w:rsidRPr="000A38E5">
        <w:rPr>
          <w:bCs/>
          <w:lang w:val="ru-RU"/>
        </w:rPr>
        <w:t xml:space="preserve"> </w:t>
      </w:r>
      <w:r w:rsidRPr="000A38E5">
        <w:rPr>
          <w:bCs/>
          <w:lang w:val="uk-UA"/>
        </w:rPr>
        <w:t>повинні залишатися без змін</w:t>
      </w:r>
      <w:r w:rsidRPr="000A38E5">
        <w:rPr>
          <w:bCs/>
          <w:lang w:val="ru-RU"/>
        </w:rPr>
        <w:t xml:space="preserve">. </w:t>
      </w:r>
      <w:r w:rsidRPr="000A38E5">
        <w:rPr>
          <w:bCs/>
          <w:lang w:val="uk-UA"/>
        </w:rPr>
        <w:t>Якщо приватні корпорації або приватні особи користуються послугами приватних охоронних підприємців</w:t>
      </w:r>
      <w:r w:rsidRPr="000A38E5">
        <w:rPr>
          <w:bCs/>
          <w:lang w:val="ru-RU"/>
        </w:rPr>
        <w:t xml:space="preserve">, </w:t>
      </w:r>
      <w:r w:rsidRPr="000A38E5">
        <w:rPr>
          <w:bCs/>
          <w:lang w:val="uk-UA"/>
        </w:rPr>
        <w:t>або якщо корпорації забезпечують власний захист</w:t>
      </w:r>
      <w:r w:rsidRPr="000A38E5">
        <w:rPr>
          <w:bCs/>
          <w:lang w:val="ru-RU"/>
        </w:rPr>
        <w:t xml:space="preserve">, </w:t>
      </w:r>
      <w:r w:rsidRPr="000A38E5">
        <w:rPr>
          <w:bCs/>
          <w:lang w:val="uk-UA"/>
        </w:rPr>
        <w:t>стандарти залишаються тими ж</w:t>
      </w:r>
      <w:r w:rsidRPr="000A38E5">
        <w:rPr>
          <w:bCs/>
          <w:lang w:val="ru-RU"/>
        </w:rPr>
        <w:t xml:space="preserve">, </w:t>
      </w:r>
      <w:r w:rsidRPr="000A38E5">
        <w:rPr>
          <w:bCs/>
          <w:lang w:val="uk-UA"/>
        </w:rPr>
        <w:t>що повинно прояснити національне законодавство</w:t>
      </w:r>
      <w:r w:rsidRPr="000A38E5">
        <w:rPr>
          <w:bCs/>
          <w:lang w:val="ru-RU"/>
        </w:rPr>
        <w:t xml:space="preserve">. </w:t>
      </w:r>
      <w:r w:rsidRPr="000A38E5">
        <w:rPr>
          <w:bCs/>
          <w:lang w:val="uk-UA"/>
        </w:rPr>
        <w:t>Держави повинні накладати на приватні охоронні підприємства та їх працівників обов’язок</w:t>
      </w:r>
      <w:r w:rsidRPr="000A38E5">
        <w:rPr>
          <w:bCs/>
          <w:lang w:val="ru-RU"/>
        </w:rPr>
        <w:t xml:space="preserve"> </w:t>
      </w:r>
      <w:r w:rsidRPr="000A38E5">
        <w:rPr>
          <w:bCs/>
          <w:lang w:val="uk-UA"/>
        </w:rPr>
        <w:t>обачності стосовно прийняття на роботу</w:t>
      </w:r>
      <w:r w:rsidRPr="000A38E5">
        <w:rPr>
          <w:bCs/>
          <w:lang w:val="ru-RU"/>
        </w:rPr>
        <w:t xml:space="preserve">, </w:t>
      </w:r>
      <w:r w:rsidRPr="000A38E5">
        <w:rPr>
          <w:bCs/>
          <w:lang w:val="uk-UA"/>
        </w:rPr>
        <w:t>навчання, обладнання</w:t>
      </w:r>
      <w:r w:rsidRPr="000A38E5">
        <w:rPr>
          <w:bCs/>
          <w:lang w:val="ru-RU"/>
        </w:rPr>
        <w:t xml:space="preserve">, </w:t>
      </w:r>
      <w:r w:rsidRPr="000A38E5">
        <w:rPr>
          <w:bCs/>
          <w:lang w:val="uk-UA"/>
        </w:rPr>
        <w:t>планування, контролю та звітності.</w:t>
      </w:r>
      <w:r w:rsidRPr="000A38E5">
        <w:rPr>
          <w:bCs/>
          <w:lang w:val="ru-RU"/>
        </w:rPr>
        <w:t xml:space="preserve"> </w:t>
      </w:r>
      <w:r w:rsidRPr="000A38E5">
        <w:rPr>
          <w:bCs/>
          <w:lang w:val="uk-UA"/>
        </w:rPr>
        <w:t>Крім того, за обставин, які, на їх думку, можуть призвести до використання сили</w:t>
      </w:r>
      <w:r w:rsidRPr="000A38E5">
        <w:rPr>
          <w:bCs/>
          <w:lang w:val="ru-RU"/>
        </w:rPr>
        <w:t xml:space="preserve">, </w:t>
      </w:r>
      <w:r w:rsidRPr="000A38E5">
        <w:rPr>
          <w:bCs/>
          <w:lang w:val="uk-UA"/>
        </w:rPr>
        <w:t>працівники приватних охоронних підприємств</w:t>
      </w:r>
      <w:r w:rsidRPr="000A38E5">
        <w:rPr>
          <w:bCs/>
          <w:lang w:val="ru-RU"/>
        </w:rPr>
        <w:t xml:space="preserve"> </w:t>
      </w:r>
      <w:r w:rsidRPr="000A38E5">
        <w:rPr>
          <w:bCs/>
          <w:lang w:val="uk-UA"/>
        </w:rPr>
        <w:t>повинні інформувати державні правоохоронні органи та діяти за їх вказівками</w:t>
      </w:r>
      <w:r w:rsidRPr="000A38E5">
        <w:rPr>
          <w:bCs/>
          <w:lang w:val="ru-RU"/>
        </w:rPr>
        <w:t>.</w:t>
      </w:r>
      <w:r w:rsidRPr="000A38E5">
        <w:rPr>
          <w:lang w:val="ru-RU"/>
        </w:rPr>
        <w:t>”</w:t>
      </w:r>
    </w:p>
    <w:p w:rsidR="00D4256A" w:rsidRPr="000A38E5" w:rsidRDefault="00D4256A" w:rsidP="00D4256A">
      <w:pPr>
        <w:pStyle w:val="ECHRHeading2"/>
        <w:rPr>
          <w:lang w:val="uk-UA"/>
        </w:rPr>
      </w:pPr>
      <w:r w:rsidRPr="000A38E5">
        <w:t>C</w:t>
      </w:r>
      <w:r w:rsidRPr="000A38E5">
        <w:rPr>
          <w:lang w:val="ru-RU"/>
        </w:rPr>
        <w:t>.</w:t>
      </w:r>
      <w:r w:rsidRPr="000A38E5">
        <w:t> </w:t>
      </w:r>
      <w:proofErr w:type="spellStart"/>
      <w:r w:rsidRPr="000A38E5">
        <w:rPr>
          <w:lang w:val="ru-RU"/>
        </w:rPr>
        <w:t>Міжнародний</w:t>
      </w:r>
      <w:proofErr w:type="spellEnd"/>
      <w:r w:rsidRPr="000A38E5">
        <w:rPr>
          <w:lang w:val="uk-UA"/>
        </w:rPr>
        <w:t xml:space="preserve"> кодекс поведінки приватних охоронних компаній</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116</w:t>
      </w:r>
      <w:r w:rsidRPr="000A38E5">
        <w:fldChar w:fldCharType="end"/>
      </w:r>
      <w:r w:rsidR="00D4256A" w:rsidRPr="000A38E5">
        <w:rPr>
          <w:lang w:val="ru-RU"/>
        </w:rPr>
        <w:t>.</w:t>
      </w:r>
      <w:r w:rsidR="00D4256A" w:rsidRPr="00E93710">
        <w:rPr>
          <w:lang w:val="ru-RU"/>
        </w:rPr>
        <w:t xml:space="preserve"> </w:t>
      </w:r>
      <w:r w:rsidR="00D4256A" w:rsidRPr="000A38E5">
        <w:rPr>
          <w:lang w:val="uk-UA"/>
        </w:rPr>
        <w:t>Міжнародний кодекс поведінки приватних охоронних компаній від 9 листопада</w:t>
      </w:r>
      <w:r w:rsidR="00D4256A" w:rsidRPr="000A38E5">
        <w:rPr>
          <w:lang w:val="ru-RU"/>
        </w:rPr>
        <w:t xml:space="preserve"> 2010 </w:t>
      </w:r>
      <w:r w:rsidR="00D4256A" w:rsidRPr="000A38E5">
        <w:rPr>
          <w:lang w:val="uk-UA"/>
        </w:rPr>
        <w:t>р. був складений в якості частини багатосторонньої ініціативи</w:t>
      </w:r>
      <w:r w:rsidR="00D4256A" w:rsidRPr="000A38E5">
        <w:rPr>
          <w:lang w:val="ru-RU"/>
        </w:rPr>
        <w:t xml:space="preserve"> </w:t>
      </w:r>
      <w:r w:rsidR="00D4256A" w:rsidRPr="000A38E5">
        <w:rPr>
          <w:lang w:val="uk-UA"/>
        </w:rPr>
        <w:t>у міжнародному секторі приватної охорони</w:t>
      </w:r>
      <w:r w:rsidR="00D4256A" w:rsidRPr="000A38E5">
        <w:rPr>
          <w:lang w:val="ru-RU"/>
        </w:rPr>
        <w:t xml:space="preserve">, </w:t>
      </w:r>
      <w:r w:rsidR="00D4256A" w:rsidRPr="000A38E5">
        <w:rPr>
          <w:lang w:val="uk-UA"/>
        </w:rPr>
        <w:t>й був підписаний багатьма охоронними компаніями</w:t>
      </w:r>
      <w:r w:rsidR="00D4256A" w:rsidRPr="000A38E5">
        <w:rPr>
          <w:lang w:val="ru-RU"/>
        </w:rPr>
        <w:t xml:space="preserve">. </w:t>
      </w:r>
      <w:r w:rsidR="00D4256A" w:rsidRPr="000A38E5">
        <w:rPr>
          <w:lang w:val="uk-UA"/>
        </w:rPr>
        <w:t>Він містить, зокрема, наступний обов’язок</w:t>
      </w:r>
      <w:r w:rsidR="00D4256A" w:rsidRPr="000A38E5">
        <w:rPr>
          <w:lang w:val="ru-RU"/>
        </w:rPr>
        <w:t>:</w:t>
      </w:r>
    </w:p>
    <w:p w:rsidR="00D4256A" w:rsidRPr="000A38E5" w:rsidRDefault="00D4256A" w:rsidP="00D4256A">
      <w:pPr>
        <w:pStyle w:val="ECHRParaQuote"/>
        <w:rPr>
          <w:lang w:val="ru-RU"/>
        </w:rPr>
      </w:pPr>
      <w:r w:rsidRPr="000A38E5">
        <w:rPr>
          <w:lang w:val="ru-RU"/>
        </w:rPr>
        <w:t>“43.</w:t>
      </w:r>
      <w:r w:rsidRPr="00E93710">
        <w:rPr>
          <w:lang w:val="ru-RU"/>
        </w:rPr>
        <w:t xml:space="preserve"> </w:t>
      </w:r>
      <w:r w:rsidRPr="000A38E5">
        <w:rPr>
          <w:lang w:val="uk-UA"/>
        </w:rPr>
        <w:t>У той мірі, в якій це відповідає розумним вимогам в області безпеки та безпеки громадського населення, компанії, які підписали Кодекс, їх працівники та клієнти</w:t>
      </w:r>
      <w:r w:rsidRPr="000A38E5">
        <w:rPr>
          <w:lang w:val="ru-RU"/>
        </w:rPr>
        <w:t>:</w:t>
      </w:r>
    </w:p>
    <w:p w:rsidR="00D4256A" w:rsidRPr="000A38E5" w:rsidRDefault="00D4256A" w:rsidP="00D4256A">
      <w:pPr>
        <w:pStyle w:val="ECHRParaQuote"/>
        <w:rPr>
          <w:lang w:val="ru-RU"/>
        </w:rPr>
      </w:pPr>
      <w:r w:rsidRPr="000A38E5">
        <w:t>a</w:t>
      </w:r>
      <w:r w:rsidRPr="000A38E5">
        <w:rPr>
          <w:lang w:val="ru-RU"/>
        </w:rPr>
        <w:t>)</w:t>
      </w:r>
      <w:r w:rsidRPr="00E93710">
        <w:rPr>
          <w:lang w:val="ru-RU"/>
        </w:rPr>
        <w:t xml:space="preserve"> </w:t>
      </w:r>
      <w:r w:rsidRPr="000A38E5">
        <w:rPr>
          <w:lang w:val="uk-UA"/>
        </w:rPr>
        <w:t>вимагають, щоб кожний працівник мав особисті ідентифікаційні відзнаки при виконанні обов’язків за контрактом</w:t>
      </w:r>
      <w:r w:rsidRPr="000A38E5">
        <w:rPr>
          <w:lang w:val="ru-RU"/>
        </w:rPr>
        <w:t xml:space="preserve"> ...”</w:t>
      </w:r>
    </w:p>
    <w:p w:rsidR="00D4256A" w:rsidRPr="000A38E5" w:rsidRDefault="00D4256A" w:rsidP="00D4256A">
      <w:pPr>
        <w:pStyle w:val="ECHRHeading2"/>
        <w:rPr>
          <w:lang w:val="uk-UA"/>
        </w:rPr>
      </w:pPr>
      <w:r w:rsidRPr="000A38E5">
        <w:t>D</w:t>
      </w:r>
      <w:r w:rsidRPr="000A38E5">
        <w:rPr>
          <w:lang w:val="ru-RU"/>
        </w:rPr>
        <w:t>.</w:t>
      </w:r>
      <w:r w:rsidRPr="00E93710">
        <w:rPr>
          <w:lang w:val="ru-RU"/>
        </w:rPr>
        <w:t xml:space="preserve"> </w:t>
      </w:r>
      <w:r w:rsidRPr="000A38E5">
        <w:rPr>
          <w:lang w:val="uk-UA"/>
        </w:rPr>
        <w:t xml:space="preserve">Втручання </w:t>
      </w:r>
      <w:r w:rsidRPr="000A38E5">
        <w:t>Amnesty</w:t>
      </w:r>
      <w:r w:rsidRPr="000A38E5">
        <w:rPr>
          <w:lang w:val="ru-RU"/>
        </w:rPr>
        <w:t xml:space="preserve"> </w:t>
      </w:r>
      <w:r w:rsidRPr="000A38E5">
        <w:t>International</w:t>
      </w:r>
    </w:p>
    <w:p w:rsidR="00D4256A" w:rsidRPr="000A38E5" w:rsidRDefault="004E7608" w:rsidP="00D4256A">
      <w:pPr>
        <w:pStyle w:val="ECHRPara"/>
        <w:rPr>
          <w:lang w:val="uk-UA"/>
        </w:rPr>
      </w:pPr>
      <w:r w:rsidRPr="000A38E5">
        <w:fldChar w:fldCharType="begin"/>
      </w:r>
      <w:r w:rsidR="00D4256A" w:rsidRPr="000A38E5">
        <w:rPr>
          <w:lang w:val="uk-UA"/>
        </w:rPr>
        <w:instrText xml:space="preserve"> </w:instrText>
      </w:r>
      <w:r w:rsidR="00D4256A" w:rsidRPr="000A38E5">
        <w:instrText>SEQ</w:instrText>
      </w:r>
      <w:r w:rsidR="00D4256A" w:rsidRPr="000A38E5">
        <w:rPr>
          <w:lang w:val="uk-UA"/>
        </w:rPr>
        <w:instrText xml:space="preserve"> </w:instrText>
      </w:r>
      <w:r w:rsidR="00D4256A" w:rsidRPr="000A38E5">
        <w:instrText>level</w:instrText>
      </w:r>
      <w:r w:rsidR="00D4256A" w:rsidRPr="000A38E5">
        <w:rPr>
          <w:lang w:val="uk-UA"/>
        </w:rPr>
        <w:instrText>0 \*</w:instrText>
      </w:r>
      <w:r w:rsidR="00D4256A" w:rsidRPr="000A38E5">
        <w:instrText>arabic</w:instrText>
      </w:r>
      <w:r w:rsidR="00D4256A" w:rsidRPr="000A38E5">
        <w:rPr>
          <w:lang w:val="uk-UA"/>
        </w:rPr>
        <w:instrText xml:space="preserve"> </w:instrText>
      </w:r>
      <w:r w:rsidRPr="000A38E5">
        <w:fldChar w:fldCharType="separate"/>
      </w:r>
      <w:r w:rsidR="00D4256A" w:rsidRPr="000A38E5">
        <w:rPr>
          <w:noProof/>
          <w:lang w:val="ru-RU"/>
        </w:rPr>
        <w:t>117</w:t>
      </w:r>
      <w:r w:rsidRPr="000A38E5">
        <w:fldChar w:fldCharType="end"/>
      </w:r>
      <w:r w:rsidR="00D4256A" w:rsidRPr="000A38E5">
        <w:rPr>
          <w:lang w:val="uk-UA"/>
        </w:rPr>
        <w:t>.</w:t>
      </w:r>
      <w:r w:rsidR="00D4256A" w:rsidRPr="00E93710">
        <w:rPr>
          <w:lang w:val="ru-RU"/>
        </w:rPr>
        <w:t xml:space="preserve"> </w:t>
      </w:r>
      <w:r w:rsidR="00D4256A" w:rsidRPr="000A38E5">
        <w:rPr>
          <w:lang w:val="uk-UA"/>
        </w:rPr>
        <w:t xml:space="preserve">17 червня 2010 року директор </w:t>
      </w:r>
      <w:r w:rsidR="00D4256A" w:rsidRPr="000A38E5">
        <w:t>Amnesty</w:t>
      </w:r>
      <w:r w:rsidR="00D4256A" w:rsidRPr="000A38E5">
        <w:rPr>
          <w:lang w:val="uk-UA"/>
        </w:rPr>
        <w:t xml:space="preserve"> </w:t>
      </w:r>
      <w:r w:rsidR="00D4256A" w:rsidRPr="000A38E5">
        <w:t>International</w:t>
      </w:r>
      <w:r w:rsidR="00D4256A" w:rsidRPr="000A38E5">
        <w:rPr>
          <w:lang w:val="uk-UA"/>
        </w:rPr>
        <w:t xml:space="preserve"> стосовно Європи та центральної Азії написав Генеральному прокурору України лист з описом фонової інформації до подій у парку ім. Горького та закликав Генерального прокурора здійснити ряд заходів для захисту протестуючих у парку ім. Горького. Лист містив наступні уривки:</w:t>
      </w:r>
    </w:p>
    <w:p w:rsidR="00D4256A" w:rsidRPr="000A38E5" w:rsidRDefault="00D4256A" w:rsidP="00D4256A">
      <w:pPr>
        <w:pStyle w:val="ECHRParaQuote"/>
        <w:rPr>
          <w:lang w:val="ru-RU"/>
        </w:rPr>
      </w:pPr>
      <w:proofErr w:type="spellStart"/>
      <w:r w:rsidRPr="000A38E5">
        <w:rPr>
          <w:lang w:val="uk-UA"/>
        </w:rPr>
        <w:t>“Відповідно</w:t>
      </w:r>
      <w:proofErr w:type="spellEnd"/>
      <w:r w:rsidRPr="000A38E5">
        <w:rPr>
          <w:lang w:val="uk-UA"/>
        </w:rPr>
        <w:t xml:space="preserve"> до інформації, отриманої </w:t>
      </w:r>
      <w:r w:rsidRPr="000A38E5">
        <w:t>Amnesty</w:t>
      </w:r>
      <w:r w:rsidRPr="000A38E5">
        <w:rPr>
          <w:lang w:val="uk-UA"/>
        </w:rPr>
        <w:t xml:space="preserve"> </w:t>
      </w:r>
      <w:r w:rsidRPr="000A38E5">
        <w:t>International</w:t>
      </w:r>
      <w:r w:rsidRPr="000A38E5">
        <w:rPr>
          <w:lang w:val="uk-UA"/>
        </w:rPr>
        <w:t xml:space="preserve">, приблизно біля 6 години ранку 28 травня велика кількість охоронців з «Муніципальної Охорони» почала розривати людський ланцюг, який був сформований демонстрантами. Через декілька хвилин до них приєдналися міліціонери, які після цього затримали 10-12 осіб та відправили їх до Дзержинського районного відділення міліції ... Андрій </w:t>
      </w:r>
      <w:proofErr w:type="spellStart"/>
      <w:r w:rsidRPr="000A38E5">
        <w:rPr>
          <w:lang w:val="uk-UA"/>
        </w:rPr>
        <w:t>Єварницький</w:t>
      </w:r>
      <w:proofErr w:type="spellEnd"/>
      <w:r w:rsidRPr="000A38E5">
        <w:rPr>
          <w:lang w:val="uk-UA"/>
        </w:rPr>
        <w:t xml:space="preserve"> та Денис </w:t>
      </w:r>
      <w:proofErr w:type="spellStart"/>
      <w:r w:rsidRPr="000A38E5">
        <w:rPr>
          <w:lang w:val="uk-UA"/>
        </w:rPr>
        <w:t>Чернега</w:t>
      </w:r>
      <w:proofErr w:type="spellEnd"/>
      <w:r w:rsidRPr="000A38E5">
        <w:rPr>
          <w:lang w:val="ru-RU"/>
        </w:rPr>
        <w:t xml:space="preserve"> </w:t>
      </w:r>
      <w:r w:rsidRPr="000A38E5">
        <w:rPr>
          <w:lang w:val="uk-UA"/>
        </w:rPr>
        <w:t>були обвинувачені та згодом засуджені до затримання строком на 15 діб 9 червня</w:t>
      </w:r>
      <w:r w:rsidRPr="000A38E5">
        <w:rPr>
          <w:lang w:val="ru-RU"/>
        </w:rPr>
        <w:t xml:space="preserve"> ... </w:t>
      </w:r>
      <w:r w:rsidRPr="000A38E5">
        <w:rPr>
          <w:lang w:val="uk-UA"/>
        </w:rPr>
        <w:t xml:space="preserve">Свідки стверджують, що протягом </w:t>
      </w:r>
      <w:r w:rsidRPr="000A38E5">
        <w:rPr>
          <w:lang w:val="uk-UA"/>
        </w:rPr>
        <w:lastRenderedPageBreak/>
        <w:t>цих подій міліціонери не висловлювали ніяких вимог</w:t>
      </w:r>
      <w:r w:rsidRPr="000A38E5">
        <w:rPr>
          <w:lang w:val="ru-RU"/>
        </w:rPr>
        <w:t xml:space="preserve"> </w:t>
      </w:r>
      <w:r w:rsidRPr="000A38E5">
        <w:rPr>
          <w:lang w:val="uk-UA"/>
        </w:rPr>
        <w:t>по відношенню до демонстрантів, які могли б привести до цих обвинувачень</w:t>
      </w:r>
      <w:r w:rsidRPr="000A38E5">
        <w:rPr>
          <w:lang w:val="ru-RU"/>
        </w:rPr>
        <w:t>.</w:t>
      </w:r>
    </w:p>
    <w:p w:rsidR="00D4256A" w:rsidRPr="000A38E5" w:rsidRDefault="00D4256A" w:rsidP="00D4256A">
      <w:pPr>
        <w:pStyle w:val="ECHRParaQuote"/>
        <w:rPr>
          <w:lang w:val="ru-RU"/>
        </w:rPr>
      </w:pPr>
      <w:r w:rsidRPr="000A38E5">
        <w:rPr>
          <w:lang w:val="ru-RU"/>
        </w:rPr>
        <w:t>...</w:t>
      </w:r>
    </w:p>
    <w:p w:rsidR="00D4256A" w:rsidRPr="000A38E5" w:rsidRDefault="00D4256A" w:rsidP="00D4256A">
      <w:pPr>
        <w:pStyle w:val="ECHRParaQuote"/>
        <w:rPr>
          <w:lang w:val="ru-RU"/>
        </w:rPr>
      </w:pPr>
      <w:r w:rsidRPr="000A38E5">
        <w:rPr>
          <w:lang w:val="uk-UA"/>
        </w:rPr>
        <w:t>З інформації, доступної</w:t>
      </w:r>
      <w:r w:rsidRPr="000A38E5">
        <w:rPr>
          <w:lang w:val="ru-RU"/>
        </w:rPr>
        <w:t xml:space="preserve"> </w:t>
      </w:r>
      <w:r w:rsidRPr="000A38E5">
        <w:t>Amnesty</w:t>
      </w:r>
      <w:r w:rsidRPr="000A38E5">
        <w:rPr>
          <w:lang w:val="ru-RU"/>
        </w:rPr>
        <w:t xml:space="preserve"> </w:t>
      </w:r>
      <w:r w:rsidRPr="000A38E5">
        <w:t>International</w:t>
      </w:r>
      <w:r w:rsidRPr="000A38E5">
        <w:rPr>
          <w:lang w:val="uk-UA"/>
        </w:rPr>
        <w:t>,</w:t>
      </w:r>
      <w:r w:rsidRPr="000A38E5">
        <w:rPr>
          <w:lang w:val="ru-RU"/>
        </w:rPr>
        <w:t xml:space="preserve"> </w:t>
      </w:r>
      <w:r w:rsidRPr="000A38E5">
        <w:rPr>
          <w:lang w:val="uk-UA"/>
        </w:rPr>
        <w:t xml:space="preserve">видається, що Андрій </w:t>
      </w:r>
      <w:proofErr w:type="spellStart"/>
      <w:r w:rsidRPr="000A38E5">
        <w:rPr>
          <w:lang w:val="uk-UA"/>
        </w:rPr>
        <w:t>Єварницький</w:t>
      </w:r>
      <w:proofErr w:type="spellEnd"/>
      <w:r w:rsidRPr="000A38E5">
        <w:rPr>
          <w:lang w:val="uk-UA"/>
        </w:rPr>
        <w:t xml:space="preserve"> та Денис </w:t>
      </w:r>
      <w:proofErr w:type="spellStart"/>
      <w:r w:rsidRPr="000A38E5">
        <w:rPr>
          <w:lang w:val="uk-UA"/>
        </w:rPr>
        <w:t>Чернега</w:t>
      </w:r>
      <w:proofErr w:type="spellEnd"/>
      <w:r w:rsidRPr="000A38E5">
        <w:rPr>
          <w:lang w:val="ru-RU"/>
        </w:rPr>
        <w:t xml:space="preserve"> </w:t>
      </w:r>
      <w:r w:rsidRPr="000A38E5">
        <w:rPr>
          <w:lang w:val="uk-UA"/>
        </w:rPr>
        <w:t>були засуджені до покарання, яке дорівнює позбавленню волі</w:t>
      </w:r>
      <w:r w:rsidRPr="000A38E5">
        <w:rPr>
          <w:lang w:val="ru-RU"/>
        </w:rPr>
        <w:t xml:space="preserve"> </w:t>
      </w:r>
      <w:r w:rsidRPr="000A38E5">
        <w:rPr>
          <w:lang w:val="uk-UA"/>
        </w:rPr>
        <w:t>за мирне здійснення свого права на свободу зібрання та висловлення</w:t>
      </w:r>
      <w:r w:rsidRPr="000A38E5">
        <w:rPr>
          <w:lang w:val="ru-RU"/>
        </w:rPr>
        <w:t xml:space="preserve">, </w:t>
      </w:r>
      <w:r w:rsidRPr="000A38E5">
        <w:rPr>
          <w:lang w:val="uk-UA"/>
        </w:rPr>
        <w:t>і через це організація вважає їх в’язнями совісті</w:t>
      </w:r>
      <w:r w:rsidRPr="000A38E5">
        <w:rPr>
          <w:lang w:val="ru-RU"/>
        </w:rPr>
        <w:t>.”</w:t>
      </w:r>
    </w:p>
    <w:p w:rsidR="00D4256A" w:rsidRPr="000A38E5" w:rsidRDefault="00D4256A" w:rsidP="00D4256A">
      <w:pPr>
        <w:pStyle w:val="ECHRTitle1"/>
        <w:rPr>
          <w:lang w:val="uk-UA"/>
        </w:rPr>
      </w:pPr>
      <w:r w:rsidRPr="000A38E5">
        <w:rPr>
          <w:lang w:val="uk-UA"/>
        </w:rPr>
        <w:t>ПРАВО</w:t>
      </w:r>
    </w:p>
    <w:p w:rsidR="00D4256A" w:rsidRPr="000A38E5" w:rsidRDefault="00D4256A" w:rsidP="00D4256A">
      <w:pPr>
        <w:pStyle w:val="ECHRHeading1"/>
        <w:rPr>
          <w:lang w:val="uk-UA"/>
        </w:rPr>
      </w:pPr>
      <w:r w:rsidRPr="000A38E5">
        <w:t>I</w:t>
      </w:r>
      <w:r w:rsidRPr="000A38E5">
        <w:rPr>
          <w:lang w:val="ru-RU"/>
        </w:rPr>
        <w:t>.</w:t>
      </w:r>
      <w:r w:rsidRPr="000A38E5">
        <w:rPr>
          <w:lang w:val="ru-RU"/>
        </w:rPr>
        <w:tab/>
        <w:t>СТАТУС</w:t>
      </w:r>
      <w:r w:rsidRPr="000A38E5">
        <w:rPr>
          <w:lang w:val="uk-UA"/>
        </w:rPr>
        <w:t xml:space="preserve"> ПРАЦІВНИКІВ, ЯКІ ПРИЙМАЛИ УЧАСТЬ У ПОДІЯХ У ПАРКУ ІМ. ГОРЬКОГО</w:t>
      </w:r>
    </w:p>
    <w:p w:rsidR="00D4256A" w:rsidRPr="000A38E5" w:rsidRDefault="00D4256A" w:rsidP="00D4256A">
      <w:pPr>
        <w:pStyle w:val="ECHRHeading2"/>
        <w:rPr>
          <w:lang w:val="uk-UA"/>
        </w:rPr>
      </w:pPr>
      <w:r w:rsidRPr="000A38E5">
        <w:t>A</w:t>
      </w:r>
      <w:r w:rsidRPr="000A38E5">
        <w:rPr>
          <w:lang w:val="ru-RU"/>
        </w:rPr>
        <w:t>.</w:t>
      </w:r>
      <w:r w:rsidRPr="00E93710">
        <w:rPr>
          <w:lang w:val="ru-RU"/>
        </w:rPr>
        <w:t xml:space="preserve"> </w:t>
      </w:r>
      <w:r w:rsidRPr="000A38E5">
        <w:rPr>
          <w:lang w:val="uk-UA"/>
        </w:rPr>
        <w:t>Доводи сторін</w:t>
      </w:r>
    </w:p>
    <w:p w:rsidR="00D4256A" w:rsidRPr="000A38E5" w:rsidRDefault="00D4256A" w:rsidP="00D4256A">
      <w:pPr>
        <w:pStyle w:val="ECHRHeading3"/>
        <w:rPr>
          <w:lang w:val="uk-UA"/>
        </w:rPr>
      </w:pPr>
      <w:r w:rsidRPr="000A38E5">
        <w:rPr>
          <w:lang w:val="ru-RU"/>
        </w:rPr>
        <w:t>1.</w:t>
      </w:r>
      <w:r w:rsidRPr="00E93710">
        <w:rPr>
          <w:lang w:val="ru-RU"/>
        </w:rPr>
        <w:t xml:space="preserve"> </w:t>
      </w:r>
      <w:r w:rsidRPr="000A38E5">
        <w:rPr>
          <w:lang w:val="uk-UA"/>
        </w:rPr>
        <w:t>Уряд</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118</w:t>
      </w:r>
      <w:r w:rsidRPr="000A38E5">
        <w:fldChar w:fldCharType="end"/>
      </w:r>
      <w:r w:rsidR="00D4256A" w:rsidRPr="000A38E5">
        <w:rPr>
          <w:lang w:val="ru-RU"/>
        </w:rPr>
        <w:t>.</w:t>
      </w:r>
      <w:r w:rsidR="00D4256A" w:rsidRPr="00E93710">
        <w:rPr>
          <w:lang w:val="ru-RU"/>
        </w:rPr>
        <w:t xml:space="preserve"> </w:t>
      </w:r>
      <w:r w:rsidR="00D4256A" w:rsidRPr="000A38E5">
        <w:rPr>
          <w:lang w:val="uk-UA"/>
        </w:rPr>
        <w:t>Уряд стверджував, що держава-відповідач не може нести відповідальність</w:t>
      </w:r>
      <w:r w:rsidR="00D4256A" w:rsidRPr="000A38E5">
        <w:rPr>
          <w:lang w:val="ru-RU"/>
        </w:rPr>
        <w:t xml:space="preserve"> </w:t>
      </w:r>
      <w:r w:rsidR="00D4256A" w:rsidRPr="000A38E5">
        <w:rPr>
          <w:lang w:val="uk-UA"/>
        </w:rPr>
        <w:t>за дії робітників</w:t>
      </w:r>
      <w:r w:rsidR="00D4256A" w:rsidRPr="000A38E5">
        <w:rPr>
          <w:lang w:val="ru-RU"/>
        </w:rPr>
        <w:t xml:space="preserve">. </w:t>
      </w:r>
      <w:r w:rsidR="00D4256A" w:rsidRPr="000A38E5">
        <w:rPr>
          <w:lang w:val="uk-UA"/>
        </w:rPr>
        <w:t>Зокрема, відповідні робітники були працівниками субпідрядника</w:t>
      </w:r>
      <w:r w:rsidR="00D4256A" w:rsidRPr="000A38E5">
        <w:rPr>
          <w:lang w:val="ru-RU"/>
        </w:rPr>
        <w:t xml:space="preserve">, </w:t>
      </w:r>
      <w:r w:rsidR="00D4256A" w:rsidRPr="000A38E5">
        <w:rPr>
          <w:lang w:val="uk-UA"/>
        </w:rPr>
        <w:t>юридичної особи</w:t>
      </w:r>
      <w:r w:rsidR="00D4256A" w:rsidRPr="000A38E5">
        <w:rPr>
          <w:lang w:val="ru-RU"/>
        </w:rPr>
        <w:t xml:space="preserve">. </w:t>
      </w:r>
      <w:r w:rsidR="00D4256A" w:rsidRPr="000A38E5">
        <w:rPr>
          <w:lang w:val="uk-UA"/>
        </w:rPr>
        <w:t>Компанія не могла нести відповідальність за шкоду, заподіяну протягом роботи, але не пов’язану зі здійсненням офіційних обов’язків</w:t>
      </w:r>
      <w:r w:rsidR="00D4256A" w:rsidRPr="000A38E5">
        <w:rPr>
          <w:lang w:val="ru-RU"/>
        </w:rPr>
        <w:t xml:space="preserve">. </w:t>
      </w:r>
      <w:r w:rsidR="00D4256A" w:rsidRPr="000A38E5">
        <w:rPr>
          <w:lang w:val="uk-UA"/>
        </w:rPr>
        <w:t>Обов’язки лісорубів не передбачали і не мали на увазі використання засобів фізичного примусу</w:t>
      </w:r>
      <w:r w:rsidR="00D4256A" w:rsidRPr="000A38E5">
        <w:rPr>
          <w:lang w:val="ru-RU"/>
        </w:rPr>
        <w:t xml:space="preserve">, </w:t>
      </w:r>
      <w:r w:rsidR="00D4256A" w:rsidRPr="000A38E5">
        <w:rPr>
          <w:lang w:val="uk-UA"/>
        </w:rPr>
        <w:t>тому будь-яка сутичка або бійка з третіми сторонами</w:t>
      </w:r>
      <w:r w:rsidR="00D4256A" w:rsidRPr="000A38E5">
        <w:rPr>
          <w:lang w:val="ru-RU"/>
        </w:rPr>
        <w:t xml:space="preserve"> </w:t>
      </w:r>
      <w:r w:rsidR="00D4256A" w:rsidRPr="000A38E5">
        <w:rPr>
          <w:lang w:val="uk-UA"/>
        </w:rPr>
        <w:t>не могла привести до відповідальності їх керівництва</w:t>
      </w:r>
      <w:r w:rsidR="00D4256A" w:rsidRPr="000A38E5">
        <w:rPr>
          <w:lang w:val="ru-RU"/>
        </w:rPr>
        <w:t xml:space="preserve">. </w:t>
      </w:r>
      <w:r w:rsidR="00D4256A" w:rsidRPr="000A38E5">
        <w:rPr>
          <w:lang w:val="uk-UA"/>
        </w:rPr>
        <w:t>Національне законодавство передбачало кримінальну відповідальність за зловживання владою або посадою, або за перевищення повноважень</w:t>
      </w:r>
      <w:r w:rsidR="00D4256A" w:rsidRPr="000A38E5">
        <w:rPr>
          <w:lang w:val="ru-RU"/>
        </w:rPr>
        <w:t xml:space="preserve">. </w:t>
      </w:r>
      <w:r w:rsidR="00D4256A" w:rsidRPr="000A38E5">
        <w:rPr>
          <w:lang w:val="uk-UA"/>
        </w:rPr>
        <w:t>Для несення відповідальності за ці правопорушення дії особи</w:t>
      </w:r>
      <w:r w:rsidR="00D4256A" w:rsidRPr="000A38E5">
        <w:rPr>
          <w:lang w:val="ru-RU"/>
        </w:rPr>
        <w:t xml:space="preserve"> </w:t>
      </w:r>
      <w:r w:rsidR="00D4256A" w:rsidRPr="000A38E5">
        <w:rPr>
          <w:lang w:val="uk-UA"/>
        </w:rPr>
        <w:t>повинні були стосуватися її офіційної посади</w:t>
      </w:r>
      <w:r w:rsidR="00D4256A" w:rsidRPr="000A38E5">
        <w:rPr>
          <w:lang w:val="ru-RU"/>
        </w:rPr>
        <w:t xml:space="preserve"> </w:t>
      </w:r>
      <w:r w:rsidR="00D4256A" w:rsidRPr="000A38E5">
        <w:rPr>
          <w:lang w:val="uk-UA"/>
        </w:rPr>
        <w:t>або бути результатом дії, виконаної у зв’язку з офіційною посадою,</w:t>
      </w:r>
      <w:r w:rsidR="00D4256A" w:rsidRPr="000A38E5">
        <w:rPr>
          <w:lang w:val="ru-RU"/>
        </w:rPr>
        <w:t xml:space="preserve"> </w:t>
      </w:r>
      <w:r w:rsidR="00D4256A" w:rsidRPr="000A38E5">
        <w:rPr>
          <w:lang w:val="uk-UA"/>
        </w:rPr>
        <w:t>але з перевищенням обсягу повноважень,</w:t>
      </w:r>
      <w:r w:rsidR="00D4256A" w:rsidRPr="000A38E5">
        <w:rPr>
          <w:lang w:val="ru-RU"/>
        </w:rPr>
        <w:t xml:space="preserve"> </w:t>
      </w:r>
      <w:r w:rsidR="00D4256A" w:rsidRPr="000A38E5">
        <w:rPr>
          <w:lang w:val="uk-UA"/>
        </w:rPr>
        <w:t>або бути результатом наміру зловживання офіційними повноваженнями</w:t>
      </w:r>
      <w:r w:rsidR="00D4256A" w:rsidRPr="000A38E5">
        <w:rPr>
          <w:lang w:val="ru-RU"/>
        </w:rPr>
        <w:t xml:space="preserve">. </w:t>
      </w:r>
      <w:r w:rsidR="00D4256A" w:rsidRPr="000A38E5">
        <w:rPr>
          <w:lang w:val="uk-UA"/>
        </w:rPr>
        <w:t>В інших випадках застосовуються інші положення права,</w:t>
      </w:r>
      <w:r w:rsidR="00D4256A" w:rsidRPr="000A38E5">
        <w:rPr>
          <w:lang w:val="ru-RU"/>
        </w:rPr>
        <w:t xml:space="preserve"> </w:t>
      </w:r>
      <w:r w:rsidR="00D4256A" w:rsidRPr="000A38E5">
        <w:rPr>
          <w:lang w:val="uk-UA"/>
        </w:rPr>
        <w:t>які карають за правопорушення, скоєні приватними особами</w:t>
      </w:r>
      <w:r w:rsidR="00D4256A" w:rsidRPr="000A38E5">
        <w:rPr>
          <w:lang w:val="ru-RU"/>
        </w:rPr>
        <w:t xml:space="preserve">. </w:t>
      </w:r>
      <w:proofErr w:type="spellStart"/>
      <w:r w:rsidR="00D4256A" w:rsidRPr="000A38E5">
        <w:rPr>
          <w:lang w:val="uk-UA"/>
        </w:rPr>
        <w:t>Стверджувані</w:t>
      </w:r>
      <w:proofErr w:type="spellEnd"/>
      <w:r w:rsidR="00D4256A" w:rsidRPr="000A38E5">
        <w:rPr>
          <w:lang w:val="uk-UA"/>
        </w:rPr>
        <w:t xml:space="preserve"> дії лісорубів не стосувалися їх обов’язків, закріплених у їх контрактах</w:t>
      </w:r>
      <w:r w:rsidR="00D4256A" w:rsidRPr="000A38E5">
        <w:rPr>
          <w:lang w:val="ru-RU"/>
        </w:rPr>
        <w:t xml:space="preserve"> </w:t>
      </w:r>
      <w:r w:rsidR="00D4256A" w:rsidRPr="000A38E5">
        <w:rPr>
          <w:lang w:val="uk-UA"/>
        </w:rPr>
        <w:t>та описах роботи</w:t>
      </w:r>
      <w:r w:rsidR="00D4256A" w:rsidRPr="000A38E5">
        <w:rPr>
          <w:lang w:val="ru-RU"/>
        </w:rPr>
        <w:t xml:space="preserve">, </w:t>
      </w:r>
      <w:r w:rsidR="00D4256A" w:rsidRPr="000A38E5">
        <w:rPr>
          <w:lang w:val="uk-UA"/>
        </w:rPr>
        <w:t>і будь-яка їх відповідальність лягала тільки на них самих</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119</w:t>
      </w:r>
      <w:r w:rsidRPr="000A38E5">
        <w:fldChar w:fldCharType="end"/>
      </w:r>
      <w:r w:rsidR="00D4256A" w:rsidRPr="000A38E5">
        <w:rPr>
          <w:lang w:val="ru-RU"/>
        </w:rPr>
        <w:t>.</w:t>
      </w:r>
      <w:r w:rsidR="00D4256A" w:rsidRPr="00E93710">
        <w:rPr>
          <w:lang w:val="ru-RU"/>
        </w:rPr>
        <w:t xml:space="preserve"> </w:t>
      </w:r>
      <w:r w:rsidR="00D4256A" w:rsidRPr="000A38E5">
        <w:rPr>
          <w:lang w:val="uk-UA"/>
        </w:rPr>
        <w:t xml:space="preserve">Що стосується працівників </w:t>
      </w:r>
      <w:proofErr w:type="spellStart"/>
      <w:r w:rsidR="00D4256A" w:rsidRPr="000A38E5">
        <w:rPr>
          <w:lang w:val="uk-UA"/>
        </w:rPr>
        <w:t>МО</w:t>
      </w:r>
      <w:proofErr w:type="spellEnd"/>
      <w:r w:rsidR="00D4256A" w:rsidRPr="000A38E5">
        <w:rPr>
          <w:lang w:val="ru-RU"/>
        </w:rPr>
        <w:t xml:space="preserve">, </w:t>
      </w:r>
      <w:r w:rsidR="00D4256A" w:rsidRPr="000A38E5">
        <w:rPr>
          <w:lang w:val="uk-UA"/>
        </w:rPr>
        <w:t>вони знаходилися на місці будівництва для здійснення охоронних послуг</w:t>
      </w:r>
      <w:r w:rsidR="00D4256A" w:rsidRPr="000A38E5">
        <w:rPr>
          <w:lang w:val="ru-RU"/>
        </w:rPr>
        <w:t xml:space="preserve">. </w:t>
      </w:r>
      <w:r w:rsidR="00D4256A" w:rsidRPr="000A38E5">
        <w:rPr>
          <w:lang w:val="uk-UA"/>
        </w:rPr>
        <w:t>Відповідно до Ліцензійних умов</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Licensing_Rules \h  \* MERGEFORMAT ">
        <w:r w:rsidR="00D4256A" w:rsidRPr="000A38E5">
          <w:rPr>
            <w:noProof/>
            <w:lang w:val="ru-RU"/>
          </w:rPr>
          <w:t>105</w:t>
        </w:r>
      </w:fldSimple>
      <w:r w:rsidR="00D4256A" w:rsidRPr="000A38E5">
        <w:rPr>
          <w:lang w:val="ru-RU"/>
        </w:rPr>
        <w:t xml:space="preserve"> </w:t>
      </w:r>
      <w:r w:rsidR="00D4256A" w:rsidRPr="000A38E5">
        <w:rPr>
          <w:lang w:val="uk-UA"/>
        </w:rPr>
        <w:t>вище</w:t>
      </w:r>
      <w:r w:rsidR="00D4256A" w:rsidRPr="000A38E5">
        <w:rPr>
          <w:lang w:val="ru-RU"/>
        </w:rPr>
        <w:t>)</w:t>
      </w:r>
      <w:r w:rsidR="00D4256A" w:rsidRPr="000A38E5">
        <w:rPr>
          <w:lang w:val="uk-UA"/>
        </w:rPr>
        <w:t>,</w:t>
      </w:r>
      <w:r w:rsidR="00D4256A" w:rsidRPr="000A38E5">
        <w:rPr>
          <w:lang w:val="ru-RU"/>
        </w:rPr>
        <w:t xml:space="preserve"> </w:t>
      </w:r>
      <w:r w:rsidR="00D4256A" w:rsidRPr="000A38E5">
        <w:rPr>
          <w:lang w:val="uk-UA"/>
        </w:rPr>
        <w:t>охоронці могли у деяких випадках використовувати «засоби фізичного впливу»,</w:t>
      </w:r>
      <w:r w:rsidR="00D4256A" w:rsidRPr="000A38E5">
        <w:rPr>
          <w:lang w:val="ru-RU"/>
        </w:rPr>
        <w:t xml:space="preserve"> </w:t>
      </w:r>
      <w:r w:rsidR="00D4256A" w:rsidRPr="000A38E5">
        <w:rPr>
          <w:lang w:val="uk-UA"/>
        </w:rPr>
        <w:t>а їх роботодавець міг нести відповідальність,</w:t>
      </w:r>
      <w:r w:rsidR="00D4256A" w:rsidRPr="000A38E5">
        <w:rPr>
          <w:lang w:val="ru-RU"/>
        </w:rPr>
        <w:t xml:space="preserve"> </w:t>
      </w:r>
      <w:r w:rsidR="00D4256A" w:rsidRPr="000A38E5">
        <w:rPr>
          <w:lang w:val="uk-UA"/>
        </w:rPr>
        <w:t>якщо б було доведено, що вони здійснювали свої обов’язки неналежним чином</w:t>
      </w:r>
      <w:r w:rsidR="00D4256A" w:rsidRPr="000A38E5">
        <w:rPr>
          <w:lang w:val="ru-RU"/>
        </w:rPr>
        <w:t xml:space="preserve">, </w:t>
      </w:r>
      <w:r w:rsidR="00D4256A" w:rsidRPr="000A38E5">
        <w:rPr>
          <w:lang w:val="uk-UA"/>
        </w:rPr>
        <w:t>перевищили повноваження або зловживали ними</w:t>
      </w:r>
      <w:r w:rsidR="00D4256A" w:rsidRPr="000A38E5">
        <w:rPr>
          <w:lang w:val="ru-RU"/>
        </w:rPr>
        <w:t xml:space="preserve">. </w:t>
      </w:r>
      <w:r w:rsidR="00D4256A" w:rsidRPr="000A38E5">
        <w:rPr>
          <w:lang w:val="uk-UA"/>
        </w:rPr>
        <w:t>Незважаючи на це, в англійському тексті своїх зауважень Уряд стверджував,</w:t>
      </w:r>
      <w:r w:rsidR="00D4256A" w:rsidRPr="000A38E5">
        <w:rPr>
          <w:lang w:val="ru-RU"/>
        </w:rPr>
        <w:t xml:space="preserve"> </w:t>
      </w:r>
      <w:r w:rsidR="00D4256A" w:rsidRPr="000A38E5">
        <w:rPr>
          <w:lang w:val="uk-UA"/>
        </w:rPr>
        <w:t>що держава-відповідач</w:t>
      </w:r>
      <w:r w:rsidR="00D4256A" w:rsidRPr="000A38E5">
        <w:rPr>
          <w:lang w:val="ru-RU"/>
        </w:rPr>
        <w:t xml:space="preserve"> </w:t>
      </w:r>
      <w:r w:rsidR="00D4256A" w:rsidRPr="000A38E5">
        <w:rPr>
          <w:lang w:val="uk-UA"/>
        </w:rPr>
        <w:t>«не несла відповідальність за дії працівників компанії «Муніципальна охорона»</w:t>
      </w:r>
      <w:r w:rsidR="00D4256A" w:rsidRPr="000A38E5">
        <w:rPr>
          <w:lang w:val="ru-RU"/>
        </w:rPr>
        <w:t>.</w:t>
      </w:r>
    </w:p>
    <w:p w:rsidR="00D4256A" w:rsidRPr="000A38E5" w:rsidRDefault="00D4256A" w:rsidP="00D4256A">
      <w:pPr>
        <w:pStyle w:val="ECHRHeading3"/>
        <w:rPr>
          <w:lang w:val="uk-UA"/>
        </w:rPr>
      </w:pPr>
      <w:r w:rsidRPr="000A38E5">
        <w:rPr>
          <w:lang w:val="ru-RU"/>
        </w:rPr>
        <w:t>2.</w:t>
      </w:r>
      <w:r w:rsidRPr="00E93710">
        <w:rPr>
          <w:lang w:val="ru-RU"/>
        </w:rPr>
        <w:t xml:space="preserve"> </w:t>
      </w:r>
      <w:r w:rsidRPr="000A38E5">
        <w:rPr>
          <w:lang w:val="uk-UA"/>
        </w:rPr>
        <w:t>Заявники</w:t>
      </w:r>
    </w:p>
    <w:p w:rsidR="00D4256A" w:rsidRPr="000A38E5" w:rsidRDefault="004E7608" w:rsidP="00D4256A">
      <w:pPr>
        <w:pStyle w:val="ECHRPara"/>
        <w:rPr>
          <w:lang w:val="ru-RU"/>
        </w:rPr>
      </w:pPr>
      <w:r w:rsidRPr="000A38E5">
        <w:fldChar w:fldCharType="begin"/>
      </w:r>
      <w:r w:rsidR="00D4256A" w:rsidRPr="000A38E5">
        <w:rPr>
          <w:lang w:val="uk-UA"/>
        </w:rPr>
        <w:instrText xml:space="preserve"> </w:instrText>
      </w:r>
      <w:r w:rsidR="00D4256A" w:rsidRPr="000A38E5">
        <w:instrText>SEQ</w:instrText>
      </w:r>
      <w:r w:rsidR="00D4256A" w:rsidRPr="000A38E5">
        <w:rPr>
          <w:lang w:val="uk-UA"/>
        </w:rPr>
        <w:instrText xml:space="preserve"> </w:instrText>
      </w:r>
      <w:r w:rsidR="00D4256A" w:rsidRPr="000A38E5">
        <w:instrText>level</w:instrText>
      </w:r>
      <w:r w:rsidR="00D4256A" w:rsidRPr="000A38E5">
        <w:rPr>
          <w:lang w:val="uk-UA"/>
        </w:rPr>
        <w:instrText>0 \*</w:instrText>
      </w:r>
      <w:r w:rsidR="00D4256A" w:rsidRPr="000A38E5">
        <w:instrText>arabic</w:instrText>
      </w:r>
      <w:r w:rsidR="00D4256A" w:rsidRPr="000A38E5">
        <w:rPr>
          <w:lang w:val="uk-UA"/>
        </w:rPr>
        <w:instrText xml:space="preserve"> </w:instrText>
      </w:r>
      <w:r w:rsidRPr="000A38E5">
        <w:fldChar w:fldCharType="separate"/>
      </w:r>
      <w:r w:rsidR="00D4256A" w:rsidRPr="000A38E5">
        <w:rPr>
          <w:noProof/>
          <w:lang w:val="ru-RU"/>
        </w:rPr>
        <w:t>120</w:t>
      </w:r>
      <w:r w:rsidRPr="000A38E5">
        <w:fldChar w:fldCharType="end"/>
      </w:r>
      <w:r w:rsidR="00D4256A" w:rsidRPr="000A38E5">
        <w:rPr>
          <w:lang w:val="uk-UA"/>
        </w:rPr>
        <w:t>.</w:t>
      </w:r>
      <w:r w:rsidR="00D4256A" w:rsidRPr="00E93710">
        <w:rPr>
          <w:lang w:val="ru-RU"/>
        </w:rPr>
        <w:t xml:space="preserve"> </w:t>
      </w:r>
      <w:r w:rsidR="00D4256A" w:rsidRPr="000A38E5">
        <w:rPr>
          <w:lang w:val="uk-UA"/>
        </w:rPr>
        <w:t>Заявники стверджували, що субпідрядник, який взяв на роботу лісорубів, був комунальною компанією, якою керувала особа, призначена міською радою та підзвітна їй. Тому лісоруби повинні були вважатися агентами держави</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121</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Заявники заперечували аргумент Уряду</w:t>
      </w:r>
      <w:r w:rsidR="00D4256A" w:rsidRPr="000A38E5">
        <w:rPr>
          <w:lang w:val="ru-RU"/>
        </w:rPr>
        <w:t xml:space="preserve"> </w:t>
      </w:r>
      <w:r w:rsidR="00D4256A" w:rsidRPr="000A38E5">
        <w:rPr>
          <w:lang w:val="uk-UA"/>
        </w:rPr>
        <w:t xml:space="preserve">про те, що держава не могла нести відповідальність за </w:t>
      </w:r>
      <w:proofErr w:type="spellStart"/>
      <w:r w:rsidR="00D4256A" w:rsidRPr="000A38E5">
        <w:rPr>
          <w:lang w:val="uk-UA"/>
        </w:rPr>
        <w:t>стверджувані</w:t>
      </w:r>
      <w:proofErr w:type="spellEnd"/>
      <w:r w:rsidR="00D4256A" w:rsidRPr="000A38E5">
        <w:rPr>
          <w:lang w:val="uk-UA"/>
        </w:rPr>
        <w:t xml:space="preserve"> дії лісорубів,</w:t>
      </w:r>
      <w:r w:rsidR="00D4256A" w:rsidRPr="000A38E5">
        <w:rPr>
          <w:lang w:val="ru-RU"/>
        </w:rPr>
        <w:t xml:space="preserve"> </w:t>
      </w:r>
      <w:r w:rsidR="00D4256A" w:rsidRPr="000A38E5">
        <w:rPr>
          <w:lang w:val="uk-UA"/>
        </w:rPr>
        <w:t>тому що вони не були пов’язані з їх офіційними обов’язками</w:t>
      </w:r>
      <w:r w:rsidR="00D4256A" w:rsidRPr="000A38E5">
        <w:rPr>
          <w:lang w:val="ru-RU"/>
        </w:rPr>
        <w:t xml:space="preserve">. </w:t>
      </w:r>
      <w:r w:rsidR="00D4256A" w:rsidRPr="000A38E5">
        <w:rPr>
          <w:lang w:val="uk-UA"/>
        </w:rPr>
        <w:t>Заявники зазначили, що інцидент, навпаки, відбувся в ході спроби лісорубів</w:t>
      </w:r>
      <w:r w:rsidR="00D4256A" w:rsidRPr="000A38E5">
        <w:rPr>
          <w:lang w:val="ru-RU"/>
        </w:rPr>
        <w:t xml:space="preserve"> </w:t>
      </w:r>
      <w:r w:rsidR="00D4256A" w:rsidRPr="000A38E5">
        <w:rPr>
          <w:lang w:val="uk-UA"/>
        </w:rPr>
        <w:t>повалити дерева, що було їх прямим обов’язком</w:t>
      </w:r>
      <w:r w:rsidR="00D4256A" w:rsidRPr="000A38E5">
        <w:rPr>
          <w:lang w:val="ru-RU"/>
        </w:rPr>
        <w:t xml:space="preserve">. </w:t>
      </w:r>
      <w:r w:rsidR="00D4256A" w:rsidRPr="000A38E5">
        <w:rPr>
          <w:lang w:val="uk-UA"/>
        </w:rPr>
        <w:t>Вони посилалися на справи, в яких Суд визнав державу-відповідача відповідальною</w:t>
      </w:r>
      <w:r w:rsidR="00D4256A" w:rsidRPr="000A38E5">
        <w:rPr>
          <w:lang w:val="ru-RU"/>
        </w:rPr>
        <w:t xml:space="preserve"> </w:t>
      </w:r>
      <w:r w:rsidR="00D4256A" w:rsidRPr="000A38E5">
        <w:rPr>
          <w:lang w:val="uk-UA"/>
        </w:rPr>
        <w:t>за перевищення поліцейськими своїх повноважень, наводячи справи</w:t>
      </w:r>
      <w:r w:rsidR="00D4256A" w:rsidRPr="000A38E5">
        <w:rPr>
          <w:lang w:val="ru-RU"/>
        </w:rPr>
        <w:t xml:space="preserve"> </w:t>
      </w:r>
      <w:r w:rsidR="00D4256A" w:rsidRPr="000A38E5">
        <w:rPr>
          <w:i/>
        </w:rPr>
        <w:t>Ivan</w:t>
      </w:r>
      <w:r w:rsidR="00D4256A" w:rsidRPr="000A38E5">
        <w:rPr>
          <w:i/>
          <w:lang w:val="ru-RU"/>
        </w:rPr>
        <w:t xml:space="preserve"> </w:t>
      </w:r>
      <w:proofErr w:type="spellStart"/>
      <w:r w:rsidR="00D4256A" w:rsidRPr="000A38E5">
        <w:rPr>
          <w:i/>
        </w:rPr>
        <w:t>Vasilev</w:t>
      </w:r>
      <w:proofErr w:type="spellEnd"/>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Bulgaria</w:t>
      </w:r>
      <w:r w:rsidR="00D4256A" w:rsidRPr="000A38E5">
        <w:rPr>
          <w:lang w:val="ru-RU"/>
        </w:rPr>
        <w:t xml:space="preserve"> (</w:t>
      </w:r>
      <w:r w:rsidR="00D4256A" w:rsidRPr="000A38E5">
        <w:rPr>
          <w:lang w:val="uk-UA"/>
        </w:rPr>
        <w:t>№</w:t>
      </w:r>
      <w:r w:rsidR="00D4256A" w:rsidRPr="000A38E5">
        <w:t> </w:t>
      </w:r>
      <w:r w:rsidR="00D4256A" w:rsidRPr="000A38E5">
        <w:rPr>
          <w:lang w:val="ru-RU"/>
        </w:rPr>
        <w:t xml:space="preserve">48130/99, 12 </w:t>
      </w:r>
      <w:r w:rsidR="00D4256A" w:rsidRPr="000A38E5">
        <w:rPr>
          <w:lang w:val="uk-UA"/>
        </w:rPr>
        <w:t>квітня</w:t>
      </w:r>
      <w:r w:rsidR="00D4256A" w:rsidRPr="000A38E5">
        <w:rPr>
          <w:lang w:val="ru-RU"/>
        </w:rPr>
        <w:t xml:space="preserve"> 2007 року) </w:t>
      </w:r>
      <w:r w:rsidR="00D4256A" w:rsidRPr="000A38E5">
        <w:rPr>
          <w:lang w:val="uk-UA"/>
        </w:rPr>
        <w:t>та</w:t>
      </w:r>
      <w:r w:rsidR="00D4256A" w:rsidRPr="000A38E5">
        <w:rPr>
          <w:lang w:val="ru-RU"/>
        </w:rPr>
        <w:t xml:space="preserve"> </w:t>
      </w:r>
      <w:proofErr w:type="spellStart"/>
      <w:r w:rsidR="00D4256A" w:rsidRPr="000A38E5">
        <w:rPr>
          <w:i/>
        </w:rPr>
        <w:t>Krastanov</w:t>
      </w:r>
      <w:proofErr w:type="spellEnd"/>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Bulgaria</w:t>
      </w:r>
      <w:r w:rsidR="00D4256A" w:rsidRPr="000A38E5">
        <w:rPr>
          <w:lang w:val="ru-RU"/>
        </w:rPr>
        <w:t xml:space="preserve"> (</w:t>
      </w:r>
      <w:r w:rsidR="00D4256A" w:rsidRPr="000A38E5">
        <w:rPr>
          <w:lang w:val="uk-UA"/>
        </w:rPr>
        <w:t>№</w:t>
      </w:r>
      <w:r w:rsidR="00D4256A" w:rsidRPr="000A38E5">
        <w:t> </w:t>
      </w:r>
      <w:r w:rsidR="00D4256A" w:rsidRPr="000A38E5">
        <w:rPr>
          <w:lang w:val="ru-RU"/>
        </w:rPr>
        <w:t>50222/99, 30</w:t>
      </w:r>
      <w:r w:rsidR="00D4256A" w:rsidRPr="000A38E5">
        <w:t> </w:t>
      </w:r>
      <w:r w:rsidR="00D4256A" w:rsidRPr="000A38E5">
        <w:rPr>
          <w:lang w:val="uk-UA"/>
        </w:rPr>
        <w:t>вересня</w:t>
      </w:r>
      <w:r w:rsidR="00D4256A" w:rsidRPr="000A38E5">
        <w:rPr>
          <w:lang w:val="ru-RU"/>
        </w:rPr>
        <w:t xml:space="preserve"> 2004 року).</w:t>
      </w:r>
    </w:p>
    <w:p w:rsidR="00D4256A" w:rsidRPr="000A38E5" w:rsidRDefault="004E7608" w:rsidP="00D4256A">
      <w:pPr>
        <w:pStyle w:val="ECHRPara"/>
        <w:rPr>
          <w:lang w:val="ru-RU"/>
        </w:rPr>
      </w:pPr>
      <w:r w:rsidRPr="000A38E5">
        <w:lastRenderedPageBreak/>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122</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 xml:space="preserve">Ці аргументи були також застосовні до персоналу </w:t>
      </w:r>
      <w:proofErr w:type="spellStart"/>
      <w:r w:rsidR="00D4256A" w:rsidRPr="000A38E5">
        <w:rPr>
          <w:lang w:val="uk-UA"/>
        </w:rPr>
        <w:t>МО</w:t>
      </w:r>
      <w:proofErr w:type="spellEnd"/>
      <w:r w:rsidR="00D4256A" w:rsidRPr="000A38E5">
        <w:rPr>
          <w:lang w:val="ru-RU"/>
        </w:rPr>
        <w:t xml:space="preserve">, </w:t>
      </w:r>
      <w:r w:rsidR="00D4256A" w:rsidRPr="000A38E5">
        <w:rPr>
          <w:lang w:val="uk-UA"/>
        </w:rPr>
        <w:t>якому держава передала повноваження по застосуванню сили</w:t>
      </w:r>
      <w:r w:rsidR="00D4256A" w:rsidRPr="000A38E5">
        <w:rPr>
          <w:lang w:val="ru-RU"/>
        </w:rPr>
        <w:t xml:space="preserve">. </w:t>
      </w:r>
      <w:r w:rsidR="00D4256A" w:rsidRPr="000A38E5">
        <w:rPr>
          <w:lang w:val="uk-UA"/>
        </w:rPr>
        <w:t>Заявники порівняли цю ситуацію з ситуацією у справі</w:t>
      </w:r>
      <w:r w:rsidR="00D4256A" w:rsidRPr="000A38E5">
        <w:rPr>
          <w:lang w:val="ru-RU"/>
        </w:rPr>
        <w:t xml:space="preserve"> </w:t>
      </w:r>
      <w:r w:rsidR="00D4256A" w:rsidRPr="000A38E5">
        <w:rPr>
          <w:i/>
        </w:rPr>
        <w:t>Av</w:t>
      </w:r>
      <w:proofErr w:type="spellStart"/>
      <w:r w:rsidR="00D4256A" w:rsidRPr="000A38E5">
        <w:rPr>
          <w:i/>
          <w:lang w:val="ru-RU"/>
        </w:rPr>
        <w:t>ş</w:t>
      </w:r>
      <w:r w:rsidR="00D4256A" w:rsidRPr="000A38E5">
        <w:rPr>
          <w:i/>
        </w:rPr>
        <w:t>ar</w:t>
      </w:r>
      <w:proofErr w:type="spellEnd"/>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Turkey</w:t>
      </w:r>
      <w:r w:rsidR="00D4256A" w:rsidRPr="000A38E5">
        <w:rPr>
          <w:lang w:val="ru-RU"/>
        </w:rPr>
        <w:t xml:space="preserve"> (</w:t>
      </w:r>
      <w:r w:rsidR="00D4256A" w:rsidRPr="000A38E5">
        <w:rPr>
          <w:lang w:val="uk-UA"/>
        </w:rPr>
        <w:t>№</w:t>
      </w:r>
      <w:r w:rsidR="00D4256A" w:rsidRPr="000A38E5">
        <w:t> </w:t>
      </w:r>
      <w:r w:rsidR="00D4256A" w:rsidRPr="000A38E5">
        <w:rPr>
          <w:lang w:val="ru-RU"/>
        </w:rPr>
        <w:t>25657/94, §</w:t>
      </w:r>
      <w:r w:rsidR="00D4256A" w:rsidRPr="000A38E5">
        <w:t> </w:t>
      </w:r>
      <w:r w:rsidR="00D4256A" w:rsidRPr="000A38E5">
        <w:rPr>
          <w:lang w:val="ru-RU"/>
        </w:rPr>
        <w:t xml:space="preserve">414, </w:t>
      </w:r>
      <w:r w:rsidR="00D4256A" w:rsidRPr="000A38E5">
        <w:t>ECHR</w:t>
      </w:r>
      <w:r w:rsidR="00D4256A" w:rsidRPr="000A38E5">
        <w:rPr>
          <w:lang w:val="ru-RU"/>
        </w:rPr>
        <w:t xml:space="preserve"> 2001</w:t>
      </w:r>
      <w:r w:rsidR="00D4256A" w:rsidRPr="000A38E5">
        <w:rPr>
          <w:lang w:val="ru-RU"/>
        </w:rPr>
        <w:noBreakHyphen/>
      </w:r>
      <w:r w:rsidR="00D4256A" w:rsidRPr="000A38E5">
        <w:t>VII</w:t>
      </w:r>
      <w:r w:rsidR="00D4256A" w:rsidRPr="000A38E5">
        <w:rPr>
          <w:lang w:val="ru-RU"/>
        </w:rPr>
        <w:t xml:space="preserve"> (</w:t>
      </w:r>
      <w:r w:rsidR="00D4256A" w:rsidRPr="000A38E5">
        <w:rPr>
          <w:lang w:val="uk-UA"/>
        </w:rPr>
        <w:t>витяги</w:t>
      </w:r>
      <w:r w:rsidR="00D4256A" w:rsidRPr="000A38E5">
        <w:rPr>
          <w:lang w:val="ru-RU"/>
        </w:rPr>
        <w:t xml:space="preserve">)), </w:t>
      </w:r>
      <w:r w:rsidR="00D4256A" w:rsidRPr="000A38E5">
        <w:rPr>
          <w:lang w:val="uk-UA"/>
        </w:rPr>
        <w:t>в якій держава несла відповідальність за дії</w:t>
      </w:r>
      <w:r w:rsidR="00D4256A" w:rsidRPr="000A38E5">
        <w:rPr>
          <w:lang w:val="ru-RU"/>
        </w:rPr>
        <w:t xml:space="preserve"> </w:t>
      </w:r>
      <w:r w:rsidR="00D4256A" w:rsidRPr="000A38E5">
        <w:rPr>
          <w:lang w:val="uk-UA"/>
        </w:rPr>
        <w:t>охоронців села, які не були наділені повноваженнями по використанню сили</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123</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 xml:space="preserve">Крім того, лісоруби, працівники </w:t>
      </w:r>
      <w:proofErr w:type="spellStart"/>
      <w:r w:rsidR="00D4256A" w:rsidRPr="000A38E5">
        <w:rPr>
          <w:lang w:val="uk-UA"/>
        </w:rPr>
        <w:t>МО</w:t>
      </w:r>
      <w:proofErr w:type="spellEnd"/>
      <w:r w:rsidR="00D4256A" w:rsidRPr="000A38E5">
        <w:rPr>
          <w:lang w:val="uk-UA"/>
        </w:rPr>
        <w:t xml:space="preserve"> та міліціонери</w:t>
      </w:r>
      <w:r w:rsidR="00D4256A" w:rsidRPr="000A38E5">
        <w:rPr>
          <w:lang w:val="ru-RU"/>
        </w:rPr>
        <w:t xml:space="preserve"> </w:t>
      </w:r>
      <w:r w:rsidR="00D4256A" w:rsidRPr="000A38E5">
        <w:rPr>
          <w:lang w:val="uk-UA"/>
        </w:rPr>
        <w:t>діяли спільно з єдиною метою виведення протестуючих,</w:t>
      </w:r>
      <w:r w:rsidR="00D4256A" w:rsidRPr="000A38E5">
        <w:rPr>
          <w:lang w:val="ru-RU"/>
        </w:rPr>
        <w:t xml:space="preserve"> </w:t>
      </w:r>
      <w:r w:rsidR="00D4256A" w:rsidRPr="000A38E5">
        <w:rPr>
          <w:lang w:val="uk-UA"/>
        </w:rPr>
        <w:t xml:space="preserve">і міліція залишалася пасивною протягом дій лісорубів та працівників </w:t>
      </w:r>
      <w:proofErr w:type="spellStart"/>
      <w:r w:rsidR="00D4256A" w:rsidRPr="000A38E5">
        <w:rPr>
          <w:lang w:val="uk-UA"/>
        </w:rPr>
        <w:t>МО</w:t>
      </w:r>
      <w:proofErr w:type="spellEnd"/>
      <w:r w:rsidR="00D4256A" w:rsidRPr="000A38E5">
        <w:rPr>
          <w:lang w:val="ru-RU"/>
        </w:rPr>
        <w:t xml:space="preserve">. </w:t>
      </w:r>
      <w:r w:rsidR="00D4256A" w:rsidRPr="000A38E5">
        <w:rPr>
          <w:lang w:val="uk-UA"/>
        </w:rPr>
        <w:t>Заявники порівняли цю ситуацію з ситуацією у справі</w:t>
      </w:r>
      <w:r w:rsidR="00D4256A" w:rsidRPr="000A38E5">
        <w:rPr>
          <w:lang w:val="ru-RU"/>
        </w:rPr>
        <w:t xml:space="preserve"> </w:t>
      </w:r>
      <w:proofErr w:type="spellStart"/>
      <w:r w:rsidR="00D4256A" w:rsidRPr="000A38E5">
        <w:rPr>
          <w:i/>
        </w:rPr>
        <w:t>Riera</w:t>
      </w:r>
      <w:proofErr w:type="spellEnd"/>
      <w:r w:rsidR="00D4256A" w:rsidRPr="000A38E5">
        <w:rPr>
          <w:i/>
        </w:rPr>
        <w:t> </w:t>
      </w:r>
      <w:proofErr w:type="spellStart"/>
      <w:r w:rsidR="00D4256A" w:rsidRPr="000A38E5">
        <w:rPr>
          <w:i/>
        </w:rPr>
        <w:t>Blume</w:t>
      </w:r>
      <w:proofErr w:type="spellEnd"/>
      <w:r w:rsidR="00D4256A" w:rsidRPr="000A38E5">
        <w:rPr>
          <w:lang w:val="ru-RU"/>
        </w:rPr>
        <w:t xml:space="preserve"> </w:t>
      </w:r>
      <w:r w:rsidR="00D4256A" w:rsidRPr="000A38E5">
        <w:rPr>
          <w:i/>
        </w:rPr>
        <w:t>and</w:t>
      </w:r>
      <w:r w:rsidR="00D4256A" w:rsidRPr="000A38E5">
        <w:rPr>
          <w:i/>
          <w:lang w:val="ru-RU"/>
        </w:rPr>
        <w:t xml:space="preserve"> </w:t>
      </w:r>
      <w:r w:rsidR="00D4256A" w:rsidRPr="000A38E5">
        <w:rPr>
          <w:i/>
        </w:rPr>
        <w:t>Others</w:t>
      </w:r>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Spain</w:t>
      </w:r>
      <w:r w:rsidR="00D4256A" w:rsidRPr="000A38E5">
        <w:rPr>
          <w:lang w:val="ru-RU"/>
        </w:rPr>
        <w:t xml:space="preserve"> (</w:t>
      </w:r>
      <w:r w:rsidR="00D4256A" w:rsidRPr="000A38E5">
        <w:rPr>
          <w:lang w:val="uk-UA"/>
        </w:rPr>
        <w:t>№</w:t>
      </w:r>
      <w:r w:rsidR="00D4256A" w:rsidRPr="000A38E5">
        <w:t> </w:t>
      </w:r>
      <w:r w:rsidR="00D4256A" w:rsidRPr="000A38E5">
        <w:rPr>
          <w:lang w:val="ru-RU"/>
        </w:rPr>
        <w:t>37680/97, §§</w:t>
      </w:r>
      <w:r w:rsidR="00D4256A" w:rsidRPr="000A38E5">
        <w:t> </w:t>
      </w:r>
      <w:r w:rsidR="00D4256A" w:rsidRPr="000A38E5">
        <w:rPr>
          <w:lang w:val="ru-RU"/>
        </w:rPr>
        <w:t xml:space="preserve">33-35, </w:t>
      </w:r>
      <w:r w:rsidR="00D4256A" w:rsidRPr="000A38E5">
        <w:t>ECHR </w:t>
      </w:r>
      <w:r w:rsidR="00D4256A" w:rsidRPr="000A38E5">
        <w:rPr>
          <w:lang w:val="ru-RU"/>
        </w:rPr>
        <w:t>1999</w:t>
      </w:r>
      <w:r w:rsidR="00D4256A" w:rsidRPr="000A38E5">
        <w:rPr>
          <w:lang w:val="ru-RU"/>
        </w:rPr>
        <w:noBreakHyphen/>
      </w:r>
      <w:r w:rsidR="00D4256A" w:rsidRPr="000A38E5">
        <w:t>VII</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124</w:t>
      </w:r>
      <w:r w:rsidRPr="000A38E5">
        <w:fldChar w:fldCharType="end"/>
      </w:r>
      <w:r w:rsidR="00D4256A" w:rsidRPr="000A38E5">
        <w:rPr>
          <w:lang w:val="ru-RU"/>
        </w:rPr>
        <w:t>.</w:t>
      </w:r>
      <w:r w:rsidR="00D4256A" w:rsidRPr="00E93710">
        <w:rPr>
          <w:lang w:val="ru-RU"/>
        </w:rPr>
        <w:t xml:space="preserve"> </w:t>
      </w:r>
      <w:r w:rsidR="00D4256A" w:rsidRPr="000A38E5">
        <w:rPr>
          <w:lang w:val="uk-UA"/>
        </w:rPr>
        <w:t xml:space="preserve">Відповідно, як лісоруби так і працівники </w:t>
      </w:r>
      <w:proofErr w:type="spellStart"/>
      <w:r w:rsidR="00D4256A" w:rsidRPr="000A38E5">
        <w:rPr>
          <w:lang w:val="uk-UA"/>
        </w:rPr>
        <w:t>МО</w:t>
      </w:r>
      <w:proofErr w:type="spellEnd"/>
      <w:r w:rsidR="00D4256A" w:rsidRPr="000A38E5">
        <w:rPr>
          <w:lang w:val="uk-UA"/>
        </w:rPr>
        <w:t xml:space="preserve"> повинні були вважатися агентами держави</w:t>
      </w:r>
      <w:r w:rsidR="00D4256A" w:rsidRPr="000A38E5">
        <w:rPr>
          <w:lang w:val="ru-RU"/>
        </w:rPr>
        <w:t>.</w:t>
      </w:r>
    </w:p>
    <w:p w:rsidR="00D4256A" w:rsidRPr="000A38E5" w:rsidRDefault="00D4256A" w:rsidP="00D4256A">
      <w:pPr>
        <w:pStyle w:val="ECHRHeading2"/>
        <w:rPr>
          <w:lang w:val="uk-UA"/>
        </w:rPr>
      </w:pPr>
      <w:r w:rsidRPr="000A38E5">
        <w:t>B</w:t>
      </w:r>
      <w:r w:rsidRPr="000A38E5">
        <w:rPr>
          <w:lang w:val="ru-RU"/>
        </w:rPr>
        <w:t>.</w:t>
      </w:r>
      <w:r w:rsidRPr="000A38E5">
        <w:t> </w:t>
      </w:r>
      <w:proofErr w:type="spellStart"/>
      <w:r w:rsidRPr="000A38E5">
        <w:rPr>
          <w:lang w:val="ru-RU"/>
        </w:rPr>
        <w:t>Оцінка</w:t>
      </w:r>
      <w:proofErr w:type="spellEnd"/>
      <w:r w:rsidRPr="000A38E5">
        <w:rPr>
          <w:lang w:val="uk-UA"/>
        </w:rPr>
        <w:t xml:space="preserve"> Суду</w:t>
      </w:r>
    </w:p>
    <w:p w:rsidR="00D4256A" w:rsidRPr="000A38E5" w:rsidRDefault="00D4256A" w:rsidP="00D4256A">
      <w:pPr>
        <w:pStyle w:val="ECHRHeading3"/>
        <w:rPr>
          <w:lang w:val="uk-UA"/>
        </w:rPr>
      </w:pPr>
      <w:r w:rsidRPr="000A38E5">
        <w:rPr>
          <w:lang w:val="ru-RU"/>
        </w:rPr>
        <w:t>1.</w:t>
      </w:r>
      <w:r w:rsidRPr="00E93710">
        <w:rPr>
          <w:lang w:val="ru-RU"/>
        </w:rPr>
        <w:t xml:space="preserve"> </w:t>
      </w:r>
      <w:r w:rsidRPr="000A38E5">
        <w:rPr>
          <w:lang w:val="uk-UA"/>
        </w:rPr>
        <w:t>Відповідні принципи</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125</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Усталений принцип практики Суду полягає в тому,</w:t>
      </w:r>
      <w:r w:rsidR="00D4256A" w:rsidRPr="000A38E5">
        <w:rPr>
          <w:lang w:val="ru-RU"/>
        </w:rPr>
        <w:t xml:space="preserve"> </w:t>
      </w:r>
      <w:r w:rsidR="00D4256A" w:rsidRPr="000A38E5">
        <w:rPr>
          <w:lang w:val="uk-UA"/>
        </w:rPr>
        <w:t>що Договірна Держава несе відповідальність за Конвенцією за</w:t>
      </w:r>
      <w:r w:rsidR="00D4256A" w:rsidRPr="000A38E5">
        <w:rPr>
          <w:lang w:val="ru-RU"/>
        </w:rPr>
        <w:t xml:space="preserve"> </w:t>
      </w:r>
      <w:r w:rsidR="00D4256A" w:rsidRPr="000A38E5">
        <w:rPr>
          <w:lang w:val="uk-UA"/>
        </w:rPr>
        <w:t>порушення прав людини в результаті дій,</w:t>
      </w:r>
      <w:r w:rsidR="00D4256A" w:rsidRPr="000A38E5">
        <w:rPr>
          <w:lang w:val="ru-RU"/>
        </w:rPr>
        <w:t xml:space="preserve"> </w:t>
      </w:r>
      <w:r w:rsidR="00D4256A" w:rsidRPr="000A38E5">
        <w:rPr>
          <w:lang w:val="uk-UA"/>
        </w:rPr>
        <w:t>здійснених її агентами при виконанні їх обов’язків</w:t>
      </w:r>
      <w:r w:rsidR="00D4256A" w:rsidRPr="000A38E5">
        <w:rPr>
          <w:lang w:val="ru-RU"/>
        </w:rPr>
        <w:t xml:space="preserve"> (</w:t>
      </w:r>
      <w:r w:rsidR="00D4256A" w:rsidRPr="000A38E5">
        <w:rPr>
          <w:lang w:val="uk-UA"/>
        </w:rPr>
        <w:t>див.</w:t>
      </w:r>
      <w:r w:rsidR="00D4256A" w:rsidRPr="000A38E5">
        <w:rPr>
          <w:lang w:val="ru-RU"/>
        </w:rPr>
        <w:t xml:space="preserve"> </w:t>
      </w:r>
      <w:r w:rsidR="00D4256A" w:rsidRPr="000A38E5">
        <w:rPr>
          <w:i/>
        </w:rPr>
        <w:t>V</w:t>
      </w:r>
      <w:r w:rsidR="00D4256A" w:rsidRPr="000A38E5">
        <w:rPr>
          <w:i/>
          <w:lang w:val="ru-RU"/>
        </w:rPr>
        <w:t>.</w:t>
      </w:r>
      <w:r w:rsidR="00D4256A" w:rsidRPr="000A38E5">
        <w:rPr>
          <w:i/>
        </w:rPr>
        <w:t>K</w:t>
      </w:r>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Russia</w:t>
      </w:r>
      <w:r w:rsidR="00D4256A" w:rsidRPr="000A38E5">
        <w:rPr>
          <w:lang w:val="ru-RU"/>
        </w:rPr>
        <w:t xml:space="preserve">, </w:t>
      </w:r>
      <w:r w:rsidR="00D4256A" w:rsidRPr="000A38E5">
        <w:rPr>
          <w:lang w:val="uk-UA"/>
        </w:rPr>
        <w:t>№</w:t>
      </w:r>
      <w:r w:rsidR="00D4256A" w:rsidRPr="000A38E5">
        <w:rPr>
          <w:lang w:val="ru-RU"/>
        </w:rPr>
        <w:t xml:space="preserve"> 68059/13, § 174, 7 </w:t>
      </w:r>
      <w:r w:rsidR="00D4256A" w:rsidRPr="000A38E5">
        <w:rPr>
          <w:lang w:val="uk-UA"/>
        </w:rPr>
        <w:t>березня</w:t>
      </w:r>
      <w:r w:rsidR="00D4256A" w:rsidRPr="000A38E5">
        <w:rPr>
          <w:lang w:val="ru-RU"/>
        </w:rPr>
        <w:t xml:space="preserve"> 2017 р.). </w:t>
      </w:r>
      <w:r w:rsidR="00D4256A" w:rsidRPr="000A38E5">
        <w:rPr>
          <w:lang w:val="uk-UA"/>
        </w:rPr>
        <w:t>Коли поведінка агента держави є незаконною, питання того,</w:t>
      </w:r>
      <w:r w:rsidR="00D4256A" w:rsidRPr="000A38E5">
        <w:rPr>
          <w:lang w:val="ru-RU"/>
        </w:rPr>
        <w:t xml:space="preserve"> </w:t>
      </w:r>
      <w:r w:rsidR="00D4256A" w:rsidRPr="000A38E5">
        <w:rPr>
          <w:lang w:val="uk-UA"/>
        </w:rPr>
        <w:t>чи держава несе відповідальність за оскаржувані дії, вимагає оцінки</w:t>
      </w:r>
      <w:r w:rsidR="00D4256A" w:rsidRPr="000A38E5">
        <w:rPr>
          <w:lang w:val="ru-RU"/>
        </w:rPr>
        <w:t xml:space="preserve"> </w:t>
      </w:r>
      <w:r w:rsidR="00D4256A" w:rsidRPr="000A38E5">
        <w:rPr>
          <w:lang w:val="uk-UA"/>
        </w:rPr>
        <w:t>загальної сукупності обставин та розгляду характеру</w:t>
      </w:r>
      <w:r w:rsidR="00D4256A" w:rsidRPr="000A38E5">
        <w:rPr>
          <w:lang w:val="ru-RU"/>
        </w:rPr>
        <w:t xml:space="preserve"> </w:t>
      </w:r>
      <w:r w:rsidR="00D4256A" w:rsidRPr="000A38E5">
        <w:rPr>
          <w:lang w:val="uk-UA"/>
        </w:rPr>
        <w:t>та обставин відповідного поводження</w:t>
      </w:r>
      <w:r w:rsidR="00D4256A" w:rsidRPr="000A38E5">
        <w:rPr>
          <w:lang w:val="ru-RU"/>
        </w:rPr>
        <w:t xml:space="preserve"> (</w:t>
      </w:r>
      <w:r w:rsidR="00D4256A" w:rsidRPr="000A38E5">
        <w:rPr>
          <w:lang w:val="uk-UA"/>
        </w:rPr>
        <w:t>див.</w:t>
      </w:r>
      <w:r w:rsidR="00D4256A" w:rsidRPr="000A38E5">
        <w:rPr>
          <w:lang w:val="ru-RU"/>
        </w:rPr>
        <w:t xml:space="preserve"> </w:t>
      </w:r>
      <w:r w:rsidR="00D4256A" w:rsidRPr="000A38E5">
        <w:rPr>
          <w:i/>
        </w:rPr>
        <w:t>Reilly</w:t>
      </w:r>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Ireland</w:t>
      </w:r>
      <w:r w:rsidR="00D4256A" w:rsidRPr="000A38E5">
        <w:rPr>
          <w:lang w:val="ru-RU"/>
        </w:rPr>
        <w:t xml:space="preserve"> (</w:t>
      </w:r>
      <w:proofErr w:type="spellStart"/>
      <w:r w:rsidR="00D4256A" w:rsidRPr="000A38E5">
        <w:t>dec</w:t>
      </w:r>
      <w:proofErr w:type="spellEnd"/>
      <w:r w:rsidR="00D4256A" w:rsidRPr="000A38E5">
        <w:rPr>
          <w:lang w:val="ru-RU"/>
        </w:rPr>
        <w:t xml:space="preserve">.), </w:t>
      </w:r>
      <w:r w:rsidR="00D4256A" w:rsidRPr="000A38E5">
        <w:rPr>
          <w:lang w:val="uk-UA"/>
        </w:rPr>
        <w:t>№</w:t>
      </w:r>
      <w:r w:rsidR="00D4256A" w:rsidRPr="000A38E5">
        <w:t> </w:t>
      </w:r>
      <w:r w:rsidR="00D4256A" w:rsidRPr="000A38E5">
        <w:rPr>
          <w:lang w:val="ru-RU"/>
        </w:rPr>
        <w:t xml:space="preserve">51083/09, § 53, 23 </w:t>
      </w:r>
      <w:r w:rsidR="00D4256A" w:rsidRPr="000A38E5">
        <w:rPr>
          <w:lang w:val="uk-UA"/>
        </w:rPr>
        <w:t>вересня</w:t>
      </w:r>
      <w:r w:rsidR="00D4256A" w:rsidRPr="000A38E5">
        <w:rPr>
          <w:lang w:val="ru-RU"/>
        </w:rPr>
        <w:t xml:space="preserve"> 2014, </w:t>
      </w:r>
      <w:r w:rsidR="00D4256A" w:rsidRPr="000A38E5">
        <w:rPr>
          <w:lang w:val="uk-UA"/>
        </w:rPr>
        <w:t>з подальшими посиланнями</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126</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Суд повторює, що питання того, чи особа є агентом держави для цілей Конвенції,</w:t>
      </w:r>
      <w:r w:rsidR="00D4256A" w:rsidRPr="000A38E5">
        <w:rPr>
          <w:lang w:val="ru-RU"/>
        </w:rPr>
        <w:t xml:space="preserve"> </w:t>
      </w:r>
      <w:r w:rsidR="00D4256A" w:rsidRPr="000A38E5">
        <w:rPr>
          <w:lang w:val="uk-UA"/>
        </w:rPr>
        <w:t>визначається на основі багатьох факторів</w:t>
      </w:r>
      <w:r w:rsidR="00D4256A" w:rsidRPr="000A38E5">
        <w:rPr>
          <w:lang w:val="ru-RU"/>
        </w:rPr>
        <w:t xml:space="preserve">, </w:t>
      </w:r>
      <w:r w:rsidR="00D4256A" w:rsidRPr="000A38E5">
        <w:rPr>
          <w:lang w:val="uk-UA"/>
        </w:rPr>
        <w:t>жоден з яких не є визначальним сам по собі</w:t>
      </w:r>
      <w:r w:rsidR="00D4256A" w:rsidRPr="000A38E5">
        <w:rPr>
          <w:lang w:val="ru-RU"/>
        </w:rPr>
        <w:t xml:space="preserve">. </w:t>
      </w:r>
      <w:r w:rsidR="00D4256A" w:rsidRPr="000A38E5">
        <w:rPr>
          <w:lang w:val="uk-UA"/>
        </w:rPr>
        <w:t>Ключовим критерієм, використовуваним для визначення того, чи держава несе відповідальність</w:t>
      </w:r>
      <w:r w:rsidR="00D4256A" w:rsidRPr="000A38E5">
        <w:rPr>
          <w:lang w:val="ru-RU"/>
        </w:rPr>
        <w:t xml:space="preserve"> </w:t>
      </w:r>
      <w:r w:rsidR="00D4256A" w:rsidRPr="000A38E5">
        <w:rPr>
          <w:lang w:val="uk-UA"/>
        </w:rPr>
        <w:t>за дії особи, будь то посадова або не посадова особа</w:t>
      </w:r>
      <w:r w:rsidR="00D4256A" w:rsidRPr="000A38E5">
        <w:rPr>
          <w:lang w:val="ru-RU"/>
        </w:rPr>
        <w:t xml:space="preserve">, </w:t>
      </w:r>
      <w:r w:rsidR="00D4256A" w:rsidRPr="000A38E5">
        <w:rPr>
          <w:lang w:val="uk-UA"/>
        </w:rPr>
        <w:t>є наступне</w:t>
      </w:r>
      <w:r w:rsidR="00D4256A" w:rsidRPr="000A38E5">
        <w:rPr>
          <w:lang w:val="ru-RU"/>
        </w:rPr>
        <w:t xml:space="preserve">: </w:t>
      </w:r>
      <w:r w:rsidR="00D4256A" w:rsidRPr="000A38E5">
        <w:rPr>
          <w:lang w:val="uk-UA"/>
        </w:rPr>
        <w:t>характер призначення, нагляд та звітність</w:t>
      </w:r>
      <w:r w:rsidR="00D4256A" w:rsidRPr="000A38E5">
        <w:rPr>
          <w:lang w:val="ru-RU"/>
        </w:rPr>
        <w:t xml:space="preserve">, </w:t>
      </w:r>
      <w:r w:rsidR="00D4256A" w:rsidRPr="000A38E5">
        <w:rPr>
          <w:lang w:val="uk-UA"/>
        </w:rPr>
        <w:t>цілі, повноваження та функції відповідної особи</w:t>
      </w:r>
      <w:r w:rsidR="00D4256A" w:rsidRPr="000A38E5">
        <w:rPr>
          <w:lang w:val="ru-RU"/>
        </w:rPr>
        <w:t xml:space="preserve"> (</w:t>
      </w:r>
      <w:r w:rsidR="00D4256A" w:rsidRPr="000A38E5">
        <w:rPr>
          <w:lang w:val="uk-UA"/>
        </w:rPr>
        <w:t>див.</w:t>
      </w:r>
      <w:r w:rsidR="00D4256A" w:rsidRPr="000A38E5">
        <w:rPr>
          <w:lang w:val="ru-RU"/>
        </w:rPr>
        <w:t xml:space="preserve"> </w:t>
      </w:r>
      <w:r w:rsidR="00D4256A" w:rsidRPr="000A38E5">
        <w:rPr>
          <w:i/>
        </w:rPr>
        <w:t>V</w:t>
      </w:r>
      <w:r w:rsidR="00D4256A" w:rsidRPr="000A38E5">
        <w:rPr>
          <w:i/>
          <w:lang w:val="ru-RU"/>
        </w:rPr>
        <w:t>.</w:t>
      </w:r>
      <w:r w:rsidR="00D4256A" w:rsidRPr="000A38E5">
        <w:rPr>
          <w:i/>
        </w:rPr>
        <w:t>K</w:t>
      </w:r>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Russia</w:t>
      </w:r>
      <w:r w:rsidR="00D4256A" w:rsidRPr="000A38E5">
        <w:rPr>
          <w:lang w:val="ru-RU"/>
        </w:rPr>
        <w:t xml:space="preserve">, </w:t>
      </w:r>
      <w:proofErr w:type="spellStart"/>
      <w:r w:rsidR="00D4256A" w:rsidRPr="000A38E5">
        <w:rPr>
          <w:lang w:val="uk-UA"/>
        </w:rPr>
        <w:t>цит</w:t>
      </w:r>
      <w:proofErr w:type="spellEnd"/>
      <w:r w:rsidR="00D4256A" w:rsidRPr="000A38E5">
        <w:rPr>
          <w:lang w:val="uk-UA"/>
        </w:rPr>
        <w:t>. вище</w:t>
      </w:r>
      <w:r w:rsidR="00D4256A" w:rsidRPr="000A38E5">
        <w:rPr>
          <w:lang w:val="ru-RU"/>
        </w:rPr>
        <w:t>, § 175).</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127</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Крім того, мовчазна згода або потурання органів влади</w:t>
      </w:r>
      <w:r w:rsidR="00D4256A" w:rsidRPr="000A38E5">
        <w:rPr>
          <w:lang w:val="ru-RU"/>
        </w:rPr>
        <w:t xml:space="preserve"> </w:t>
      </w:r>
      <w:r w:rsidR="00D4256A" w:rsidRPr="000A38E5">
        <w:rPr>
          <w:lang w:val="uk-UA"/>
        </w:rPr>
        <w:t>Договірної Держави</w:t>
      </w:r>
      <w:r w:rsidR="00D4256A" w:rsidRPr="000A38E5">
        <w:rPr>
          <w:lang w:val="ru-RU"/>
        </w:rPr>
        <w:t xml:space="preserve"> </w:t>
      </w:r>
      <w:r w:rsidR="00D4256A" w:rsidRPr="000A38E5">
        <w:rPr>
          <w:lang w:val="uk-UA"/>
        </w:rPr>
        <w:t>діям приватних осіб, які порушують права Конвенції</w:t>
      </w:r>
      <w:r w:rsidR="00D4256A" w:rsidRPr="000A38E5">
        <w:rPr>
          <w:lang w:val="ru-RU"/>
        </w:rPr>
        <w:t xml:space="preserve"> </w:t>
      </w:r>
      <w:r w:rsidR="00D4256A" w:rsidRPr="000A38E5">
        <w:rPr>
          <w:lang w:val="uk-UA"/>
        </w:rPr>
        <w:t>інших осіб в межах їх юрисдикції,</w:t>
      </w:r>
      <w:r w:rsidR="00D4256A" w:rsidRPr="000A38E5">
        <w:rPr>
          <w:lang w:val="ru-RU"/>
        </w:rPr>
        <w:t xml:space="preserve"> </w:t>
      </w:r>
      <w:r w:rsidR="00D4256A" w:rsidRPr="000A38E5">
        <w:rPr>
          <w:lang w:val="uk-UA"/>
        </w:rPr>
        <w:t>можуть привести до відповідальності держави за Конвенцією</w:t>
      </w:r>
      <w:r w:rsidR="00D4256A" w:rsidRPr="000A38E5">
        <w:rPr>
          <w:lang w:val="ru-RU"/>
        </w:rPr>
        <w:t xml:space="preserve"> (</w:t>
      </w:r>
      <w:r w:rsidR="00D4256A" w:rsidRPr="000A38E5">
        <w:rPr>
          <w:lang w:val="uk-UA"/>
        </w:rPr>
        <w:t>див.</w:t>
      </w:r>
      <w:r w:rsidR="00D4256A" w:rsidRPr="000A38E5">
        <w:rPr>
          <w:lang w:val="ru-RU"/>
        </w:rPr>
        <w:t xml:space="preserve"> </w:t>
      </w:r>
      <w:r w:rsidR="00D4256A" w:rsidRPr="000A38E5">
        <w:rPr>
          <w:i/>
        </w:rPr>
        <w:t>Cyprus</w:t>
      </w:r>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Turkey</w:t>
      </w:r>
      <w:r w:rsidR="00D4256A" w:rsidRPr="000A38E5">
        <w:rPr>
          <w:lang w:val="ru-RU"/>
        </w:rPr>
        <w:t xml:space="preserve"> [</w:t>
      </w:r>
      <w:r w:rsidR="00D4256A" w:rsidRPr="000A38E5">
        <w:t>GC</w:t>
      </w:r>
      <w:r w:rsidR="00D4256A" w:rsidRPr="000A38E5">
        <w:rPr>
          <w:lang w:val="ru-RU"/>
        </w:rPr>
        <w:t xml:space="preserve">], </w:t>
      </w:r>
      <w:r w:rsidR="00D4256A" w:rsidRPr="000A38E5">
        <w:rPr>
          <w:lang w:val="uk-UA"/>
        </w:rPr>
        <w:t>№</w:t>
      </w:r>
      <w:r w:rsidR="00D4256A" w:rsidRPr="000A38E5">
        <w:t> </w:t>
      </w:r>
      <w:r w:rsidR="00D4256A" w:rsidRPr="000A38E5">
        <w:rPr>
          <w:lang w:val="ru-RU"/>
        </w:rPr>
        <w:t xml:space="preserve">25781/94, § 81, </w:t>
      </w:r>
      <w:r w:rsidR="00D4256A" w:rsidRPr="000A38E5">
        <w:t>ECHR</w:t>
      </w:r>
      <w:r w:rsidR="00D4256A" w:rsidRPr="000A38E5">
        <w:rPr>
          <w:lang w:val="ru-RU"/>
        </w:rPr>
        <w:t xml:space="preserve"> 2001</w:t>
      </w:r>
      <w:r w:rsidR="00D4256A" w:rsidRPr="000A38E5">
        <w:rPr>
          <w:lang w:val="ru-RU"/>
        </w:rPr>
        <w:noBreakHyphen/>
      </w:r>
      <w:r w:rsidR="00D4256A" w:rsidRPr="000A38E5">
        <w:t>IV</w:t>
      </w:r>
      <w:r w:rsidR="00D4256A" w:rsidRPr="000A38E5">
        <w:rPr>
          <w:lang w:val="ru-RU"/>
        </w:rPr>
        <w:t xml:space="preserve">). </w:t>
      </w:r>
      <w:r w:rsidR="00D4256A" w:rsidRPr="000A38E5">
        <w:rPr>
          <w:lang w:val="uk-UA"/>
        </w:rPr>
        <w:t>Держава також може нести відповідальність, навіть якщо її агенти</w:t>
      </w:r>
      <w:r w:rsidR="00D4256A" w:rsidRPr="000A38E5">
        <w:rPr>
          <w:lang w:val="ru-RU"/>
        </w:rPr>
        <w:t xml:space="preserve"> </w:t>
      </w:r>
      <w:r w:rsidR="00D4256A" w:rsidRPr="000A38E5">
        <w:rPr>
          <w:lang w:val="uk-UA"/>
        </w:rPr>
        <w:t>діють</w:t>
      </w:r>
      <w:r w:rsidR="00D4256A" w:rsidRPr="000A38E5">
        <w:rPr>
          <w:lang w:val="ru-RU"/>
        </w:rPr>
        <w:t xml:space="preserve"> </w:t>
      </w:r>
      <w:r w:rsidR="00D4256A" w:rsidRPr="000A38E5">
        <w:rPr>
          <w:i/>
        </w:rPr>
        <w:t>ultra</w:t>
      </w:r>
      <w:r w:rsidR="00D4256A" w:rsidRPr="000A38E5">
        <w:rPr>
          <w:i/>
          <w:lang w:val="ru-RU"/>
        </w:rPr>
        <w:t xml:space="preserve"> </w:t>
      </w:r>
      <w:proofErr w:type="spellStart"/>
      <w:r w:rsidR="00D4256A" w:rsidRPr="000A38E5">
        <w:rPr>
          <w:i/>
        </w:rPr>
        <w:t>vires</w:t>
      </w:r>
      <w:proofErr w:type="spellEnd"/>
      <w:r w:rsidR="00D4256A" w:rsidRPr="000A38E5">
        <w:rPr>
          <w:lang w:val="ru-RU"/>
        </w:rPr>
        <w:t xml:space="preserve"> </w:t>
      </w:r>
      <w:r w:rsidR="00D4256A" w:rsidRPr="000A38E5">
        <w:rPr>
          <w:lang w:val="uk-UA"/>
        </w:rPr>
        <w:t>або всупереч інструкціям</w:t>
      </w:r>
      <w:r w:rsidR="00D4256A" w:rsidRPr="000A38E5">
        <w:rPr>
          <w:lang w:val="ru-RU"/>
        </w:rPr>
        <w:t xml:space="preserve"> (</w:t>
      </w:r>
      <w:r w:rsidR="00D4256A" w:rsidRPr="000A38E5">
        <w:rPr>
          <w:lang w:val="uk-UA"/>
        </w:rPr>
        <w:t>див.</w:t>
      </w:r>
      <w:r w:rsidR="00D4256A" w:rsidRPr="000A38E5">
        <w:rPr>
          <w:lang w:val="ru-RU"/>
        </w:rPr>
        <w:t xml:space="preserve"> </w:t>
      </w:r>
      <w:r w:rsidR="00D4256A" w:rsidRPr="000A38E5">
        <w:rPr>
          <w:i/>
        </w:rPr>
        <w:t>Moldovan</w:t>
      </w:r>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Others</w:t>
      </w:r>
      <w:r w:rsidR="00D4256A" w:rsidRPr="000A38E5">
        <w:rPr>
          <w:i/>
          <w:lang w:val="ru-RU"/>
        </w:rPr>
        <w:t xml:space="preserve"> </w:t>
      </w:r>
      <w:r w:rsidR="00D4256A" w:rsidRPr="000A38E5">
        <w:rPr>
          <w:i/>
        </w:rPr>
        <w:t>v</w:t>
      </w:r>
      <w:r w:rsidR="00D4256A" w:rsidRPr="000A38E5">
        <w:rPr>
          <w:i/>
          <w:lang w:val="ru-RU"/>
        </w:rPr>
        <w:t>.</w:t>
      </w:r>
      <w:r w:rsidR="00D4256A" w:rsidRPr="000A38E5">
        <w:rPr>
          <w:i/>
        </w:rPr>
        <w:t> Romania</w:t>
      </w:r>
      <w:r w:rsidR="00D4256A" w:rsidRPr="000A38E5">
        <w:rPr>
          <w:i/>
          <w:lang w:val="ru-RU"/>
        </w:rPr>
        <w:t xml:space="preserve"> (</w:t>
      </w:r>
      <w:r w:rsidR="00D4256A" w:rsidRPr="000A38E5">
        <w:rPr>
          <w:i/>
          <w:lang w:val="uk-UA"/>
        </w:rPr>
        <w:t>№</w:t>
      </w:r>
      <w:r w:rsidR="00D4256A" w:rsidRPr="000A38E5">
        <w:rPr>
          <w:i/>
          <w:lang w:val="ru-RU"/>
        </w:rPr>
        <w:t xml:space="preserve"> 2)</w:t>
      </w:r>
      <w:r w:rsidR="00D4256A" w:rsidRPr="000A38E5">
        <w:rPr>
          <w:lang w:val="ru-RU"/>
        </w:rPr>
        <w:t xml:space="preserve">, </w:t>
      </w:r>
      <w:r w:rsidR="00D4256A" w:rsidRPr="000A38E5">
        <w:rPr>
          <w:lang w:val="uk-UA"/>
        </w:rPr>
        <w:t>№№</w:t>
      </w:r>
      <w:r w:rsidR="00D4256A" w:rsidRPr="000A38E5">
        <w:t> </w:t>
      </w:r>
      <w:r w:rsidR="00D4256A" w:rsidRPr="000A38E5">
        <w:rPr>
          <w:lang w:val="ru-RU"/>
        </w:rPr>
        <w:t xml:space="preserve">41138/98 </w:t>
      </w:r>
      <w:r w:rsidR="00D4256A" w:rsidRPr="000A38E5">
        <w:rPr>
          <w:lang w:val="uk-UA"/>
        </w:rPr>
        <w:t>та</w:t>
      </w:r>
      <w:r w:rsidR="00D4256A" w:rsidRPr="000A38E5">
        <w:rPr>
          <w:lang w:val="ru-RU"/>
        </w:rPr>
        <w:t xml:space="preserve"> 64320/01, §</w:t>
      </w:r>
      <w:r w:rsidR="00D4256A" w:rsidRPr="000A38E5">
        <w:t> </w:t>
      </w:r>
      <w:r w:rsidR="00D4256A" w:rsidRPr="000A38E5">
        <w:rPr>
          <w:lang w:val="ru-RU"/>
        </w:rPr>
        <w:t xml:space="preserve">94, </w:t>
      </w:r>
      <w:r w:rsidR="00D4256A" w:rsidRPr="000A38E5">
        <w:t>ECHR</w:t>
      </w:r>
      <w:r w:rsidR="00D4256A" w:rsidRPr="000A38E5">
        <w:rPr>
          <w:lang w:val="ru-RU"/>
        </w:rPr>
        <w:t xml:space="preserve"> 2005</w:t>
      </w:r>
      <w:r w:rsidR="00D4256A" w:rsidRPr="000A38E5">
        <w:rPr>
          <w:lang w:val="ru-RU"/>
        </w:rPr>
        <w:noBreakHyphen/>
      </w:r>
      <w:r w:rsidR="00D4256A" w:rsidRPr="000A38E5">
        <w:t>VII</w:t>
      </w:r>
      <w:r w:rsidR="00D4256A" w:rsidRPr="000A38E5">
        <w:rPr>
          <w:lang w:val="ru-RU"/>
        </w:rPr>
        <w:t xml:space="preserve"> (</w:t>
      </w:r>
      <w:r w:rsidR="00D4256A" w:rsidRPr="000A38E5">
        <w:rPr>
          <w:lang w:val="uk-UA"/>
        </w:rPr>
        <w:t>витяги</w:t>
      </w:r>
      <w:r w:rsidR="00D4256A" w:rsidRPr="000A38E5">
        <w:rPr>
          <w:lang w:val="ru-RU"/>
        </w:rPr>
        <w:t>)).</w:t>
      </w:r>
    </w:p>
    <w:p w:rsidR="00D4256A" w:rsidRPr="000A38E5" w:rsidRDefault="00D4256A" w:rsidP="00D4256A">
      <w:pPr>
        <w:pStyle w:val="ECHRHeading3"/>
        <w:rPr>
          <w:lang w:val="uk-UA"/>
        </w:rPr>
      </w:pPr>
      <w:r w:rsidRPr="000A38E5">
        <w:rPr>
          <w:lang w:val="ru-RU"/>
        </w:rPr>
        <w:t>2.</w:t>
      </w:r>
      <w:r w:rsidRPr="00E93710">
        <w:rPr>
          <w:lang w:val="ru-RU"/>
        </w:rPr>
        <w:t xml:space="preserve"> </w:t>
      </w:r>
      <w:r w:rsidRPr="000A38E5">
        <w:rPr>
          <w:lang w:val="uk-UA"/>
        </w:rPr>
        <w:t>Застосування цих принципів до даної справи</w:t>
      </w:r>
    </w:p>
    <w:p w:rsidR="00D4256A" w:rsidRPr="000A38E5" w:rsidRDefault="004E7608" w:rsidP="00D4256A">
      <w:pPr>
        <w:pStyle w:val="ECHRPara"/>
        <w:rPr>
          <w:lang w:val="ru-RU"/>
        </w:rPr>
      </w:pPr>
      <w:r w:rsidRPr="000A38E5">
        <w:fldChar w:fldCharType="begin"/>
      </w:r>
      <w:r w:rsidR="00D4256A" w:rsidRPr="000A38E5">
        <w:rPr>
          <w:lang w:val="uk-UA"/>
        </w:rPr>
        <w:instrText xml:space="preserve"> </w:instrText>
      </w:r>
      <w:r w:rsidR="00D4256A" w:rsidRPr="000A38E5">
        <w:instrText>SEQ</w:instrText>
      </w:r>
      <w:r w:rsidR="00D4256A" w:rsidRPr="000A38E5">
        <w:rPr>
          <w:lang w:val="uk-UA"/>
        </w:rPr>
        <w:instrText xml:space="preserve"> </w:instrText>
      </w:r>
      <w:r w:rsidR="00D4256A" w:rsidRPr="000A38E5">
        <w:instrText>level</w:instrText>
      </w:r>
      <w:r w:rsidR="00D4256A" w:rsidRPr="000A38E5">
        <w:rPr>
          <w:lang w:val="uk-UA"/>
        </w:rPr>
        <w:instrText>0 \*</w:instrText>
      </w:r>
      <w:r w:rsidR="00D4256A" w:rsidRPr="000A38E5">
        <w:instrText>arabic</w:instrText>
      </w:r>
      <w:r w:rsidR="00D4256A" w:rsidRPr="000A38E5">
        <w:rPr>
          <w:lang w:val="uk-UA"/>
        </w:rPr>
        <w:instrText xml:space="preserve"> </w:instrText>
      </w:r>
      <w:r w:rsidRPr="000A38E5">
        <w:fldChar w:fldCharType="separate"/>
      </w:r>
      <w:r w:rsidR="00D4256A" w:rsidRPr="000A38E5">
        <w:rPr>
          <w:noProof/>
          <w:lang w:val="uk-UA"/>
        </w:rPr>
        <w:t>128</w:t>
      </w:r>
      <w:r w:rsidRPr="000A38E5">
        <w:fldChar w:fldCharType="end"/>
      </w:r>
      <w:r w:rsidR="00D4256A" w:rsidRPr="000A38E5">
        <w:rPr>
          <w:lang w:val="uk-UA"/>
        </w:rPr>
        <w:t>.</w:t>
      </w:r>
      <w:r w:rsidR="00D4256A" w:rsidRPr="00E93710">
        <w:rPr>
          <w:lang w:val="uk-UA"/>
        </w:rPr>
        <w:t xml:space="preserve"> </w:t>
      </w:r>
      <w:r w:rsidR="00D4256A" w:rsidRPr="000A38E5">
        <w:rPr>
          <w:lang w:val="uk-UA"/>
        </w:rPr>
        <w:t xml:space="preserve">Суд зауважує, що повноваження працівників </w:t>
      </w:r>
      <w:proofErr w:type="spellStart"/>
      <w:r w:rsidR="00D4256A" w:rsidRPr="000A38E5">
        <w:rPr>
          <w:lang w:val="uk-UA"/>
        </w:rPr>
        <w:t>МО</w:t>
      </w:r>
      <w:proofErr w:type="spellEnd"/>
      <w:r w:rsidR="00D4256A" w:rsidRPr="000A38E5">
        <w:rPr>
          <w:lang w:val="uk-UA"/>
        </w:rPr>
        <w:t xml:space="preserve"> стосовно примусу, які є питанням у даній справі, були основані на ліцензії, доступній для будь-якої комерційної компанії з надання охоронних послуг. У цьому відношенні таку ліцензію було неможливо відрізнити від ліцензії приватних охоронців (див. пункт </w:t>
      </w:r>
      <w:fldSimple w:instr=" REF MG_background \h  \* MERGEFORMAT ">
        <w:r w:rsidR="00D4256A" w:rsidRPr="000A38E5">
          <w:rPr>
            <w:noProof/>
            <w:lang w:val="uk-UA"/>
          </w:rPr>
          <w:t>22</w:t>
        </w:r>
      </w:fldSimple>
      <w:r w:rsidR="00D4256A" w:rsidRPr="000A38E5">
        <w:rPr>
          <w:lang w:val="uk-UA"/>
        </w:rPr>
        <w:t xml:space="preserve"> та, стосовно відповідних національних правових положень, пункт </w:t>
      </w:r>
      <w:fldSimple w:instr=" REF Licensing_Rules \h  \* MERGEFORMAT ">
        <w:r w:rsidR="00D4256A" w:rsidRPr="000A38E5">
          <w:rPr>
            <w:noProof/>
            <w:lang w:val="uk-UA"/>
          </w:rPr>
          <w:t>105</w:t>
        </w:r>
      </w:fldSimple>
      <w:r w:rsidR="00D4256A" w:rsidRPr="000A38E5">
        <w:rPr>
          <w:lang w:val="uk-UA"/>
        </w:rPr>
        <w:t xml:space="preserve"> вище). Незважаючи на те, що компанією повністю володів муніципалітет, вона відрізнялася від комунальних установ у тому, що на відміну від них, здійснювала прибуткову діяльність, які здебільшого підкорялися </w:t>
      </w:r>
      <w:proofErr w:type="spellStart"/>
      <w:r w:rsidR="00D4256A" w:rsidRPr="000A38E5">
        <w:rPr>
          <w:lang w:val="uk-UA"/>
        </w:rPr>
        <w:t>приватно-правовим</w:t>
      </w:r>
      <w:proofErr w:type="spellEnd"/>
      <w:r w:rsidR="00D4256A" w:rsidRPr="000A38E5">
        <w:rPr>
          <w:lang w:val="uk-UA"/>
        </w:rPr>
        <w:t xml:space="preserve"> правилам (див. пункт </w:t>
      </w:r>
      <w:fldSimple w:instr=" REF MG_background \h  \* MERGEFORMAT ">
        <w:r w:rsidR="00D4256A" w:rsidRPr="000A38E5">
          <w:rPr>
            <w:noProof/>
            <w:lang w:val="uk-UA"/>
          </w:rPr>
          <w:t>22</w:t>
        </w:r>
      </w:fldSimple>
      <w:r w:rsidR="00D4256A" w:rsidRPr="000A38E5">
        <w:rPr>
          <w:lang w:val="uk-UA"/>
        </w:rPr>
        <w:t xml:space="preserve"> вище та порівняйте з </w:t>
      </w:r>
      <w:r w:rsidR="00D4256A" w:rsidRPr="000A38E5">
        <w:rPr>
          <w:i/>
        </w:rPr>
        <w:t>V</w:t>
      </w:r>
      <w:r w:rsidR="00D4256A" w:rsidRPr="000A38E5">
        <w:rPr>
          <w:i/>
          <w:lang w:val="uk-UA"/>
        </w:rPr>
        <w:t>.</w:t>
      </w:r>
      <w:r w:rsidR="00D4256A" w:rsidRPr="000A38E5">
        <w:rPr>
          <w:i/>
        </w:rPr>
        <w:t>K</w:t>
      </w:r>
      <w:r w:rsidR="00D4256A" w:rsidRPr="000A38E5">
        <w:rPr>
          <w:lang w:val="uk-UA"/>
        </w:rPr>
        <w:t>.</w:t>
      </w:r>
      <w:r w:rsidR="00D4256A" w:rsidRPr="000A38E5">
        <w:rPr>
          <w:i/>
          <w:lang w:val="uk-UA"/>
        </w:rPr>
        <w:t xml:space="preserve"> </w:t>
      </w:r>
      <w:r w:rsidR="00D4256A" w:rsidRPr="000A38E5">
        <w:rPr>
          <w:i/>
        </w:rPr>
        <w:t>v</w:t>
      </w:r>
      <w:r w:rsidR="00D4256A" w:rsidRPr="000A38E5">
        <w:rPr>
          <w:i/>
          <w:lang w:val="uk-UA"/>
        </w:rPr>
        <w:t xml:space="preserve">. </w:t>
      </w:r>
      <w:r w:rsidR="00D4256A" w:rsidRPr="000A38E5">
        <w:rPr>
          <w:i/>
        </w:rPr>
        <w:t>Russia</w:t>
      </w:r>
      <w:r w:rsidR="00D4256A" w:rsidRPr="000A38E5">
        <w:rPr>
          <w:lang w:val="uk-UA"/>
        </w:rPr>
        <w:t xml:space="preserve">, </w:t>
      </w:r>
      <w:proofErr w:type="spellStart"/>
      <w:r w:rsidR="00D4256A" w:rsidRPr="000A38E5">
        <w:rPr>
          <w:lang w:val="uk-UA"/>
        </w:rPr>
        <w:t>цит</w:t>
      </w:r>
      <w:proofErr w:type="spellEnd"/>
      <w:r w:rsidR="00D4256A" w:rsidRPr="000A38E5">
        <w:rPr>
          <w:lang w:val="uk-UA"/>
        </w:rPr>
        <w:t>. вище, §</w:t>
      </w:r>
      <w:r w:rsidR="00D4256A" w:rsidRPr="000A38E5">
        <w:t> </w:t>
      </w:r>
      <w:r w:rsidR="00D4256A" w:rsidRPr="000A38E5">
        <w:rPr>
          <w:lang w:val="uk-UA"/>
        </w:rPr>
        <w:t>180). Це також демонструє той факт, що компанія та її працівники</w:t>
      </w:r>
      <w:r w:rsidR="00D4256A" w:rsidRPr="000A38E5">
        <w:rPr>
          <w:lang w:val="ru-RU"/>
        </w:rPr>
        <w:t xml:space="preserve"> </w:t>
      </w:r>
      <w:r w:rsidR="00D4256A" w:rsidRPr="000A38E5">
        <w:rPr>
          <w:lang w:val="uk-UA"/>
        </w:rPr>
        <w:t>були використані для охорони місця будівництва приватною особою</w:t>
      </w:r>
      <w:r w:rsidR="00D4256A" w:rsidRPr="000A38E5">
        <w:rPr>
          <w:lang w:val="ru-RU"/>
        </w:rPr>
        <w:t xml:space="preserve">, </w:t>
      </w:r>
      <w:r w:rsidR="00D4256A" w:rsidRPr="000A38E5">
        <w:rPr>
          <w:lang w:val="uk-UA"/>
        </w:rPr>
        <w:t>головним підрядником</w:t>
      </w:r>
      <w:r w:rsidR="00D4256A" w:rsidRPr="000A38E5">
        <w:rPr>
          <w:lang w:val="ru-RU"/>
        </w:rPr>
        <w:t xml:space="preserve">, </w:t>
      </w:r>
      <w:r w:rsidR="00D4256A" w:rsidRPr="000A38E5">
        <w:rPr>
          <w:lang w:val="uk-UA"/>
        </w:rPr>
        <w:t xml:space="preserve">відповідно до </w:t>
      </w:r>
      <w:proofErr w:type="spellStart"/>
      <w:r w:rsidR="00D4256A" w:rsidRPr="000A38E5">
        <w:rPr>
          <w:lang w:val="uk-UA"/>
        </w:rPr>
        <w:t>приватно-правового</w:t>
      </w:r>
      <w:proofErr w:type="spellEnd"/>
      <w:r w:rsidR="00D4256A" w:rsidRPr="000A38E5">
        <w:rPr>
          <w:lang w:val="uk-UA"/>
        </w:rPr>
        <w:t xml:space="preserve"> контракту</w:t>
      </w:r>
      <w:r w:rsidR="00D4256A" w:rsidRPr="000A38E5">
        <w:rPr>
          <w:lang w:val="ru-RU"/>
        </w:rPr>
        <w:t xml:space="preserve"> (</w:t>
      </w:r>
      <w:r w:rsidR="00D4256A" w:rsidRPr="000A38E5">
        <w:rPr>
          <w:lang w:val="uk-UA"/>
        </w:rPr>
        <w:t>див. пункти</w:t>
      </w:r>
      <w:r w:rsidR="00D4256A" w:rsidRPr="000A38E5">
        <w:rPr>
          <w:lang w:val="ru-RU"/>
        </w:rPr>
        <w:t xml:space="preserve"> </w:t>
      </w:r>
      <w:fldSimple w:instr=" REF contractor \h  \* MERGEFORMAT ">
        <w:r w:rsidR="00D4256A" w:rsidRPr="000A38E5">
          <w:rPr>
            <w:noProof/>
            <w:lang w:val="ru-RU"/>
          </w:rPr>
          <w:t>19</w:t>
        </w:r>
      </w:fldSimple>
      <w:r w:rsidR="00D4256A" w:rsidRPr="000A38E5">
        <w:rPr>
          <w:lang w:val="ru-RU"/>
        </w:rPr>
        <w:t xml:space="preserve"> </w:t>
      </w:r>
      <w:r w:rsidR="00D4256A" w:rsidRPr="000A38E5">
        <w:rPr>
          <w:lang w:val="uk-UA"/>
        </w:rPr>
        <w:t>та</w:t>
      </w:r>
      <w:r w:rsidR="00D4256A" w:rsidRPr="000A38E5">
        <w:rPr>
          <w:lang w:val="ru-RU"/>
        </w:rPr>
        <w:t xml:space="preserve"> </w:t>
      </w:r>
      <w:fldSimple w:instr=" REF MG_background \h  \* MERGEFORMAT ">
        <w:r w:rsidR="00D4256A" w:rsidRPr="000A38E5">
          <w:rPr>
            <w:noProof/>
            <w:lang w:val="ru-RU"/>
          </w:rPr>
          <w:t>22</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bCs/>
          <w:lang w:val="uk-UA"/>
        </w:rPr>
        <w:t>Однак, цих міркувань недостатньо для того, щоб звільнити державу</w:t>
      </w:r>
      <w:r w:rsidR="00D4256A" w:rsidRPr="000A38E5">
        <w:rPr>
          <w:bCs/>
          <w:lang w:val="ru-RU"/>
        </w:rPr>
        <w:t xml:space="preserve"> </w:t>
      </w:r>
      <w:r w:rsidR="00D4256A" w:rsidRPr="000A38E5">
        <w:rPr>
          <w:bCs/>
          <w:lang w:val="uk-UA"/>
        </w:rPr>
        <w:t>від відповідальності за Конвенцією за</w:t>
      </w:r>
      <w:r w:rsidR="00D4256A" w:rsidRPr="000A38E5">
        <w:rPr>
          <w:bCs/>
          <w:lang w:val="ru-RU"/>
        </w:rPr>
        <w:t xml:space="preserve"> </w:t>
      </w:r>
      <w:r w:rsidR="00D4256A" w:rsidRPr="000A38E5">
        <w:rPr>
          <w:bCs/>
          <w:lang w:val="uk-UA"/>
        </w:rPr>
        <w:t>дії охоронців</w:t>
      </w:r>
      <w:r w:rsidR="00D4256A" w:rsidRPr="000A38E5">
        <w:rPr>
          <w:bCs/>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129</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Суд нагадує, що у справі</w:t>
      </w:r>
      <w:r w:rsidR="00D4256A" w:rsidRPr="000A38E5">
        <w:rPr>
          <w:lang w:val="ru-RU"/>
        </w:rPr>
        <w:t xml:space="preserve"> </w:t>
      </w:r>
      <w:proofErr w:type="spellStart"/>
      <w:r w:rsidR="00D4256A" w:rsidRPr="000A38E5">
        <w:rPr>
          <w:i/>
        </w:rPr>
        <w:t>Basenko</w:t>
      </w:r>
      <w:proofErr w:type="spellEnd"/>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Ukraine</w:t>
      </w:r>
      <w:r w:rsidR="00D4256A" w:rsidRPr="000A38E5">
        <w:rPr>
          <w:i/>
          <w:lang w:val="ru-RU"/>
        </w:rPr>
        <w:t xml:space="preserve"> </w:t>
      </w:r>
      <w:r w:rsidR="00D4256A" w:rsidRPr="000A38E5">
        <w:rPr>
          <w:lang w:val="ru-RU"/>
        </w:rPr>
        <w:t>(</w:t>
      </w:r>
      <w:r w:rsidR="00D4256A" w:rsidRPr="000A38E5">
        <w:rPr>
          <w:lang w:val="uk-UA"/>
        </w:rPr>
        <w:t>№</w:t>
      </w:r>
      <w:r w:rsidR="00D4256A" w:rsidRPr="000A38E5">
        <w:rPr>
          <w:lang w:val="ru-RU"/>
        </w:rPr>
        <w:t xml:space="preserve"> 24213/08, §</w:t>
      </w:r>
      <w:r w:rsidR="00D4256A" w:rsidRPr="000A38E5">
        <w:t> </w:t>
      </w:r>
      <w:r w:rsidR="00D4256A" w:rsidRPr="000A38E5">
        <w:rPr>
          <w:lang w:val="ru-RU"/>
        </w:rPr>
        <w:t xml:space="preserve">82, 26 </w:t>
      </w:r>
      <w:r w:rsidR="00D4256A" w:rsidRPr="000A38E5">
        <w:rPr>
          <w:lang w:val="uk-UA"/>
        </w:rPr>
        <w:t>листопада</w:t>
      </w:r>
      <w:r w:rsidR="00D4256A" w:rsidRPr="000A38E5">
        <w:rPr>
          <w:lang w:val="ru-RU"/>
        </w:rPr>
        <w:t xml:space="preserve"> 2015) </w:t>
      </w:r>
      <w:r w:rsidR="00D4256A" w:rsidRPr="000A38E5">
        <w:rPr>
          <w:lang w:val="uk-UA"/>
        </w:rPr>
        <w:t>він визнав державу-відповідача відповідальною за дії</w:t>
      </w:r>
      <w:r w:rsidR="00D4256A" w:rsidRPr="000A38E5">
        <w:rPr>
          <w:lang w:val="ru-RU"/>
        </w:rPr>
        <w:t xml:space="preserve"> </w:t>
      </w:r>
      <w:r w:rsidR="00D4256A" w:rsidRPr="000A38E5">
        <w:rPr>
          <w:lang w:val="uk-UA"/>
        </w:rPr>
        <w:t>контролера квитків,</w:t>
      </w:r>
      <w:r w:rsidR="00D4256A" w:rsidRPr="000A38E5">
        <w:rPr>
          <w:lang w:val="ru-RU"/>
        </w:rPr>
        <w:t xml:space="preserve"> </w:t>
      </w:r>
      <w:r w:rsidR="00D4256A" w:rsidRPr="000A38E5">
        <w:rPr>
          <w:lang w:val="uk-UA"/>
        </w:rPr>
        <w:t xml:space="preserve">який, як працівники </w:t>
      </w:r>
      <w:proofErr w:type="spellStart"/>
      <w:r w:rsidR="00D4256A" w:rsidRPr="000A38E5">
        <w:rPr>
          <w:lang w:val="uk-UA"/>
        </w:rPr>
        <w:t>МО</w:t>
      </w:r>
      <w:proofErr w:type="spellEnd"/>
      <w:r w:rsidR="00D4256A" w:rsidRPr="000A38E5">
        <w:rPr>
          <w:lang w:val="uk-UA"/>
        </w:rPr>
        <w:t xml:space="preserve"> в даній справі</w:t>
      </w:r>
      <w:r w:rsidR="00D4256A" w:rsidRPr="000A38E5">
        <w:rPr>
          <w:lang w:val="ru-RU"/>
        </w:rPr>
        <w:t xml:space="preserve">, </w:t>
      </w:r>
      <w:r w:rsidR="00D4256A" w:rsidRPr="000A38E5">
        <w:rPr>
          <w:lang w:val="uk-UA"/>
        </w:rPr>
        <w:t>був працівником муніципальної компанії,</w:t>
      </w:r>
      <w:r w:rsidR="00D4256A" w:rsidRPr="000A38E5">
        <w:rPr>
          <w:lang w:val="ru-RU"/>
        </w:rPr>
        <w:t xml:space="preserve"> </w:t>
      </w:r>
      <w:r w:rsidR="00D4256A" w:rsidRPr="000A38E5">
        <w:rPr>
          <w:lang w:val="uk-UA"/>
        </w:rPr>
        <w:t>який відповідно до національного законодавства мав повноваження здійснювати певний примус</w:t>
      </w:r>
      <w:r w:rsidR="00D4256A" w:rsidRPr="000A38E5">
        <w:rPr>
          <w:lang w:val="ru-RU"/>
        </w:rPr>
        <w:t xml:space="preserve">. </w:t>
      </w:r>
      <w:r w:rsidR="00D4256A" w:rsidRPr="000A38E5">
        <w:rPr>
          <w:lang w:val="uk-UA"/>
        </w:rPr>
        <w:t xml:space="preserve">У цій справі Суд розглянув та </w:t>
      </w:r>
      <w:r w:rsidR="00D4256A" w:rsidRPr="000A38E5">
        <w:rPr>
          <w:lang w:val="uk-UA"/>
        </w:rPr>
        <w:lastRenderedPageBreak/>
        <w:t>відхилив аргументи Уряду</w:t>
      </w:r>
      <w:r w:rsidR="00D4256A" w:rsidRPr="000A38E5">
        <w:rPr>
          <w:lang w:val="ru-RU"/>
        </w:rPr>
        <w:t xml:space="preserve"> </w:t>
      </w:r>
      <w:r w:rsidR="00D4256A" w:rsidRPr="000A38E5">
        <w:rPr>
          <w:lang w:val="uk-UA"/>
        </w:rPr>
        <w:t>про відсутність відповідальності держави-відповідача за дії</w:t>
      </w:r>
      <w:r w:rsidR="00D4256A" w:rsidRPr="000A38E5">
        <w:rPr>
          <w:lang w:val="ru-RU"/>
        </w:rPr>
        <w:t xml:space="preserve"> </w:t>
      </w:r>
      <w:r w:rsidR="00D4256A" w:rsidRPr="000A38E5">
        <w:rPr>
          <w:lang w:val="uk-UA"/>
        </w:rPr>
        <w:t>цього працівника</w:t>
      </w:r>
      <w:r w:rsidR="00D4256A" w:rsidRPr="000A38E5">
        <w:rPr>
          <w:lang w:val="ru-RU"/>
        </w:rPr>
        <w:t xml:space="preserve"> </w:t>
      </w:r>
      <w:r w:rsidR="00D4256A" w:rsidRPr="000A38E5">
        <w:rPr>
          <w:lang w:val="uk-UA"/>
        </w:rPr>
        <w:t>через той факт, що при пораненні заявника він діяв</w:t>
      </w:r>
      <w:r w:rsidR="00D4256A" w:rsidRPr="000A38E5">
        <w:rPr>
          <w:lang w:val="ru-RU"/>
        </w:rPr>
        <w:t xml:space="preserve"> </w:t>
      </w:r>
      <w:r w:rsidR="00D4256A" w:rsidRPr="000A38E5">
        <w:rPr>
          <w:i/>
        </w:rPr>
        <w:t>ultra</w:t>
      </w:r>
      <w:r w:rsidR="00D4256A" w:rsidRPr="000A38E5">
        <w:rPr>
          <w:i/>
          <w:lang w:val="ru-RU"/>
        </w:rPr>
        <w:t xml:space="preserve"> </w:t>
      </w:r>
      <w:proofErr w:type="spellStart"/>
      <w:r w:rsidR="00D4256A" w:rsidRPr="000A38E5">
        <w:rPr>
          <w:i/>
        </w:rPr>
        <w:t>vires</w:t>
      </w:r>
      <w:proofErr w:type="spellEnd"/>
      <w:r w:rsidR="00D4256A" w:rsidRPr="000A38E5">
        <w:rPr>
          <w:i/>
          <w:lang w:val="ru-RU"/>
        </w:rPr>
        <w:t xml:space="preserve"> </w:t>
      </w:r>
      <w:r w:rsidR="00D4256A" w:rsidRPr="000A38E5">
        <w:rPr>
          <w:lang w:val="uk-UA"/>
        </w:rPr>
        <w:t>та був засуджений за правопорушення, вчинене в якості приватної особи,</w:t>
      </w:r>
      <w:r w:rsidR="00D4256A" w:rsidRPr="000A38E5">
        <w:rPr>
          <w:lang w:val="ru-RU"/>
        </w:rPr>
        <w:t xml:space="preserve"> </w:t>
      </w:r>
      <w:r w:rsidR="00D4256A" w:rsidRPr="000A38E5">
        <w:rPr>
          <w:lang w:val="uk-UA"/>
        </w:rPr>
        <w:t>а не службове порушення</w:t>
      </w:r>
      <w:r w:rsidR="00D4256A" w:rsidRPr="000A38E5">
        <w:rPr>
          <w:lang w:val="ru-RU"/>
        </w:rPr>
        <w:t xml:space="preserve">. </w:t>
      </w:r>
      <w:r w:rsidR="00D4256A" w:rsidRPr="000A38E5">
        <w:rPr>
          <w:lang w:val="uk-UA"/>
        </w:rPr>
        <w:t>Суд повторив, що національна правова класифікація</w:t>
      </w:r>
      <w:r w:rsidR="00D4256A" w:rsidRPr="000A38E5">
        <w:rPr>
          <w:lang w:val="ru-RU"/>
        </w:rPr>
        <w:t xml:space="preserve"> </w:t>
      </w:r>
      <w:r w:rsidR="00D4256A" w:rsidRPr="000A38E5">
        <w:rPr>
          <w:lang w:val="uk-UA"/>
        </w:rPr>
        <w:t>дій не могла бути вирішальною для вирішення питання</w:t>
      </w:r>
      <w:r w:rsidR="00D4256A" w:rsidRPr="000A38E5">
        <w:rPr>
          <w:lang w:val="ru-RU"/>
        </w:rPr>
        <w:t xml:space="preserve"> </w:t>
      </w:r>
      <w:r w:rsidR="00D4256A" w:rsidRPr="000A38E5">
        <w:rPr>
          <w:lang w:val="uk-UA"/>
        </w:rPr>
        <w:t>відповідальності за Конвенцією</w:t>
      </w:r>
      <w:r w:rsidR="00D4256A" w:rsidRPr="000A38E5">
        <w:rPr>
          <w:lang w:val="ru-RU"/>
        </w:rPr>
        <w:t xml:space="preserve"> (</w:t>
      </w:r>
      <w:r w:rsidR="00D4256A" w:rsidRPr="000A38E5">
        <w:rPr>
          <w:lang w:val="uk-UA"/>
        </w:rPr>
        <w:t>там же</w:t>
      </w:r>
      <w:r w:rsidR="00D4256A" w:rsidRPr="000A38E5">
        <w:rPr>
          <w:lang w:val="ru-RU"/>
        </w:rPr>
        <w:t>, §§ 86-90).</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130</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Крім того, матеріали справи демонструють, що міліціонери</w:t>
      </w:r>
      <w:r w:rsidR="00D4256A" w:rsidRPr="000A38E5">
        <w:rPr>
          <w:lang w:val="ru-RU"/>
        </w:rPr>
        <w:t xml:space="preserve"> </w:t>
      </w:r>
      <w:r w:rsidR="00D4256A" w:rsidRPr="000A38E5">
        <w:rPr>
          <w:lang w:val="uk-UA"/>
        </w:rPr>
        <w:t>були присутні під час ряду ключових подій</w:t>
      </w:r>
      <w:r w:rsidR="00D4256A" w:rsidRPr="000A38E5">
        <w:rPr>
          <w:lang w:val="ru-RU"/>
        </w:rPr>
        <w:t xml:space="preserve"> </w:t>
      </w:r>
      <w:r w:rsidR="00D4256A" w:rsidRPr="000A38E5">
        <w:rPr>
          <w:lang w:val="uk-UA"/>
        </w:rPr>
        <w:t xml:space="preserve">за участі працівників </w:t>
      </w:r>
      <w:proofErr w:type="spellStart"/>
      <w:r w:rsidR="00D4256A" w:rsidRPr="000A38E5">
        <w:rPr>
          <w:lang w:val="uk-UA"/>
        </w:rPr>
        <w:t>МО</w:t>
      </w:r>
      <w:proofErr w:type="spellEnd"/>
      <w:r w:rsidR="00D4256A" w:rsidRPr="000A38E5">
        <w:rPr>
          <w:lang w:val="uk-UA"/>
        </w:rPr>
        <w:t xml:space="preserve"> та інших охоронців</w:t>
      </w:r>
      <w:r w:rsidR="00D4256A" w:rsidRPr="000A38E5">
        <w:rPr>
          <w:lang w:val="ru-RU"/>
        </w:rPr>
        <w:t xml:space="preserve"> </w:t>
      </w:r>
      <w:r w:rsidR="00D4256A" w:rsidRPr="000A38E5">
        <w:rPr>
          <w:lang w:val="uk-UA"/>
        </w:rPr>
        <w:t>і, як виявлялося, залишались пасивними при усіх діях охоронців,</w:t>
      </w:r>
      <w:r w:rsidR="00D4256A" w:rsidRPr="000A38E5">
        <w:rPr>
          <w:lang w:val="ru-RU"/>
        </w:rPr>
        <w:t xml:space="preserve"> </w:t>
      </w:r>
      <w:r w:rsidR="00D4256A" w:rsidRPr="000A38E5">
        <w:rPr>
          <w:lang w:val="uk-UA"/>
        </w:rPr>
        <w:t>спрямованих на протидію протесту</w:t>
      </w:r>
      <w:r w:rsidR="00D4256A" w:rsidRPr="000A38E5">
        <w:rPr>
          <w:lang w:val="ru-RU"/>
        </w:rPr>
        <w:t xml:space="preserve"> (</w:t>
      </w:r>
      <w:r w:rsidR="00D4256A" w:rsidRPr="000A38E5">
        <w:rPr>
          <w:lang w:val="uk-UA"/>
        </w:rPr>
        <w:t>див., наприклад</w:t>
      </w:r>
      <w:r w:rsidR="00D4256A" w:rsidRPr="000A38E5">
        <w:rPr>
          <w:lang w:val="ru-RU"/>
        </w:rPr>
        <w:t xml:space="preserve">, </w:t>
      </w:r>
      <w:r w:rsidR="00D4256A" w:rsidRPr="000A38E5">
        <w:rPr>
          <w:lang w:val="uk-UA"/>
        </w:rPr>
        <w:t>пункти</w:t>
      </w:r>
      <w:r w:rsidR="00D4256A" w:rsidRPr="000A38E5">
        <w:rPr>
          <w:lang w:val="ru-RU"/>
        </w:rPr>
        <w:t xml:space="preserve"> </w:t>
      </w:r>
      <w:fldSimple w:instr=" REF video_28_May \h  \* MERGEFORMAT ">
        <w:r w:rsidR="00D4256A" w:rsidRPr="000A38E5">
          <w:rPr>
            <w:noProof/>
            <w:lang w:val="ru-RU"/>
          </w:rPr>
          <w:t>45</w:t>
        </w:r>
      </w:fldSimple>
      <w:r w:rsidR="00D4256A" w:rsidRPr="000A38E5">
        <w:rPr>
          <w:lang w:val="ru-RU"/>
        </w:rPr>
        <w:t xml:space="preserve"> </w:t>
      </w:r>
      <w:r w:rsidR="00D4256A" w:rsidRPr="000A38E5">
        <w:rPr>
          <w:lang w:val="uk-UA"/>
        </w:rPr>
        <w:t>та</w:t>
      </w:r>
      <w:r w:rsidR="00D4256A" w:rsidRPr="000A38E5">
        <w:rPr>
          <w:lang w:val="ru-RU"/>
        </w:rPr>
        <w:t xml:space="preserve"> </w:t>
      </w:r>
      <w:fldSimple w:instr=" REF video_2_June \h  \* MERGEFORMAT ">
        <w:r w:rsidR="00D4256A" w:rsidRPr="000A38E5">
          <w:rPr>
            <w:noProof/>
            <w:lang w:val="ru-RU"/>
          </w:rPr>
          <w:t>42</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Відповідно до практики Суду, цей фактор сам по собі міг у певних обставинах бути достатнім для відповідальності держави-відповідача</w:t>
      </w:r>
      <w:r w:rsidR="00D4256A" w:rsidRPr="000A38E5">
        <w:rPr>
          <w:lang w:val="ru-RU"/>
        </w:rPr>
        <w:t xml:space="preserve"> (</w:t>
      </w:r>
      <w:r w:rsidR="00D4256A" w:rsidRPr="000A38E5">
        <w:rPr>
          <w:lang w:val="uk-UA"/>
        </w:rPr>
        <w:t>наприклад див., з необхідними змінами</w:t>
      </w:r>
      <w:r w:rsidR="00D4256A" w:rsidRPr="000A38E5">
        <w:rPr>
          <w:lang w:val="ru-RU"/>
        </w:rPr>
        <w:t xml:space="preserve">, </w:t>
      </w:r>
      <w:proofErr w:type="spellStart"/>
      <w:r w:rsidR="00D4256A" w:rsidRPr="000A38E5">
        <w:rPr>
          <w:i/>
        </w:rPr>
        <w:t>Koval</w:t>
      </w:r>
      <w:proofErr w:type="spellEnd"/>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Others</w:t>
      </w:r>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Ukraine</w:t>
      </w:r>
      <w:r w:rsidR="00D4256A" w:rsidRPr="000A38E5">
        <w:rPr>
          <w:lang w:val="ru-RU"/>
        </w:rPr>
        <w:t xml:space="preserve">, </w:t>
      </w:r>
      <w:r w:rsidR="00D4256A" w:rsidRPr="000A38E5">
        <w:rPr>
          <w:lang w:val="uk-UA"/>
        </w:rPr>
        <w:t>№</w:t>
      </w:r>
      <w:r w:rsidR="00D4256A" w:rsidRPr="000A38E5">
        <w:t> </w:t>
      </w:r>
      <w:r w:rsidR="00D4256A" w:rsidRPr="000A38E5">
        <w:rPr>
          <w:lang w:val="ru-RU"/>
        </w:rPr>
        <w:t xml:space="preserve">22429/05, §§ 56 </w:t>
      </w:r>
      <w:r w:rsidR="00D4256A" w:rsidRPr="000A38E5">
        <w:rPr>
          <w:lang w:val="uk-UA"/>
        </w:rPr>
        <w:t>та</w:t>
      </w:r>
      <w:r w:rsidR="00D4256A" w:rsidRPr="000A38E5">
        <w:rPr>
          <w:lang w:val="ru-RU"/>
        </w:rPr>
        <w:t xml:space="preserve"> 78, 15 </w:t>
      </w:r>
      <w:r w:rsidR="00D4256A" w:rsidRPr="000A38E5">
        <w:rPr>
          <w:lang w:val="uk-UA"/>
        </w:rPr>
        <w:t>листопада</w:t>
      </w:r>
      <w:r w:rsidR="00D4256A" w:rsidRPr="000A38E5">
        <w:rPr>
          <w:lang w:val="ru-RU"/>
        </w:rPr>
        <w:t xml:space="preserve"> 2012, </w:t>
      </w:r>
      <w:r w:rsidR="00D4256A" w:rsidRPr="000A38E5">
        <w:rPr>
          <w:lang w:val="uk-UA"/>
        </w:rPr>
        <w:t>де Суд визнав порушення матеріального аспекту статті</w:t>
      </w:r>
      <w:r w:rsidR="00D4256A" w:rsidRPr="000A38E5">
        <w:rPr>
          <w:lang w:val="ru-RU"/>
        </w:rPr>
        <w:t xml:space="preserve"> 3 </w:t>
      </w:r>
      <w:r w:rsidR="00D4256A" w:rsidRPr="000A38E5">
        <w:rPr>
          <w:lang w:val="uk-UA"/>
        </w:rPr>
        <w:t>на підставі того, зокрема, що міліціонери</w:t>
      </w:r>
      <w:r w:rsidR="00D4256A" w:rsidRPr="000A38E5">
        <w:rPr>
          <w:lang w:val="ru-RU"/>
        </w:rPr>
        <w:t xml:space="preserve"> </w:t>
      </w:r>
      <w:r w:rsidR="00D4256A" w:rsidRPr="000A38E5">
        <w:rPr>
          <w:lang w:val="uk-UA"/>
        </w:rPr>
        <w:t>бачили напад третьої сторони на заявника,</w:t>
      </w:r>
      <w:r w:rsidR="00D4256A" w:rsidRPr="000A38E5">
        <w:rPr>
          <w:lang w:val="ru-RU"/>
        </w:rPr>
        <w:t xml:space="preserve"> </w:t>
      </w:r>
      <w:r w:rsidR="00D4256A" w:rsidRPr="000A38E5">
        <w:rPr>
          <w:lang w:val="uk-UA"/>
        </w:rPr>
        <w:t>але не втручалися</w:t>
      </w:r>
      <w:r w:rsidR="00D4256A" w:rsidRPr="000A38E5">
        <w:rPr>
          <w:lang w:val="ru-RU"/>
        </w:rPr>
        <w:t xml:space="preserve">; </w:t>
      </w:r>
      <w:proofErr w:type="spellStart"/>
      <w:r w:rsidR="00D4256A" w:rsidRPr="000A38E5">
        <w:rPr>
          <w:i/>
        </w:rPr>
        <w:t>Riera</w:t>
      </w:r>
      <w:proofErr w:type="spellEnd"/>
      <w:r w:rsidR="00D4256A" w:rsidRPr="000A38E5">
        <w:rPr>
          <w:i/>
          <w:lang w:val="ru-RU"/>
        </w:rPr>
        <w:t xml:space="preserve"> </w:t>
      </w:r>
      <w:proofErr w:type="spellStart"/>
      <w:r w:rsidR="00D4256A" w:rsidRPr="000A38E5">
        <w:rPr>
          <w:i/>
        </w:rPr>
        <w:t>Blume</w:t>
      </w:r>
      <w:proofErr w:type="spellEnd"/>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Others</w:t>
      </w:r>
      <w:r w:rsidR="00D4256A" w:rsidRPr="000A38E5">
        <w:rPr>
          <w:lang w:val="ru-RU"/>
        </w:rPr>
        <w:t xml:space="preserve">, </w:t>
      </w:r>
      <w:proofErr w:type="spellStart"/>
      <w:r w:rsidR="00D4256A" w:rsidRPr="000A38E5">
        <w:rPr>
          <w:lang w:val="uk-UA"/>
        </w:rPr>
        <w:t>цит</w:t>
      </w:r>
      <w:proofErr w:type="spellEnd"/>
      <w:r w:rsidR="00D4256A" w:rsidRPr="000A38E5">
        <w:rPr>
          <w:lang w:val="uk-UA"/>
        </w:rPr>
        <w:t>. вище</w:t>
      </w:r>
      <w:r w:rsidR="00D4256A" w:rsidRPr="000A38E5">
        <w:rPr>
          <w:lang w:val="ru-RU"/>
        </w:rPr>
        <w:t>, §§</w:t>
      </w:r>
      <w:r w:rsidR="00D4256A" w:rsidRPr="000A38E5">
        <w:t> </w:t>
      </w:r>
      <w:r w:rsidR="00D4256A" w:rsidRPr="000A38E5">
        <w:rPr>
          <w:lang w:val="ru-RU"/>
        </w:rPr>
        <w:t xml:space="preserve">33 </w:t>
      </w:r>
      <w:r w:rsidR="00D4256A" w:rsidRPr="000A38E5">
        <w:rPr>
          <w:lang w:val="uk-UA"/>
        </w:rPr>
        <w:t>та</w:t>
      </w:r>
      <w:r w:rsidR="00D4256A" w:rsidRPr="000A38E5">
        <w:rPr>
          <w:lang w:val="ru-RU"/>
        </w:rPr>
        <w:t xml:space="preserve"> 35, </w:t>
      </w:r>
      <w:r w:rsidR="00D4256A" w:rsidRPr="000A38E5">
        <w:rPr>
          <w:lang w:val="uk-UA"/>
        </w:rPr>
        <w:t>де відповідальність держави відповідно до статті</w:t>
      </w:r>
      <w:r w:rsidR="00D4256A" w:rsidRPr="000A38E5">
        <w:rPr>
          <w:lang w:val="ru-RU"/>
        </w:rPr>
        <w:t xml:space="preserve"> 5 </w:t>
      </w:r>
      <w:r w:rsidR="00D4256A" w:rsidRPr="000A38E5">
        <w:rPr>
          <w:lang w:val="uk-UA"/>
        </w:rPr>
        <w:t>Конвенції була залучена</w:t>
      </w:r>
      <w:r w:rsidR="00D4256A" w:rsidRPr="000A38E5">
        <w:rPr>
          <w:lang w:val="ru-RU"/>
        </w:rPr>
        <w:t xml:space="preserve"> </w:t>
      </w:r>
      <w:r w:rsidR="00D4256A" w:rsidRPr="000A38E5">
        <w:rPr>
          <w:lang w:val="uk-UA"/>
        </w:rPr>
        <w:t>знанням органів влади про те, що заявника тримали у готелі треті сторони</w:t>
      </w:r>
      <w:r w:rsidR="00D4256A" w:rsidRPr="000A38E5">
        <w:rPr>
          <w:lang w:val="ru-RU"/>
        </w:rPr>
        <w:t xml:space="preserve"> </w:t>
      </w:r>
      <w:r w:rsidR="00D4256A" w:rsidRPr="000A38E5">
        <w:rPr>
          <w:lang w:val="uk-UA"/>
        </w:rPr>
        <w:t>та відмовою втрутитися</w:t>
      </w:r>
      <w:r w:rsidR="00D4256A" w:rsidRPr="000A38E5">
        <w:rPr>
          <w:lang w:val="ru-RU"/>
        </w:rPr>
        <w:t xml:space="preserve">; </w:t>
      </w:r>
      <w:r w:rsidR="00D4256A" w:rsidRPr="000A38E5">
        <w:rPr>
          <w:lang w:val="uk-UA"/>
        </w:rPr>
        <w:t>і</w:t>
      </w:r>
      <w:r w:rsidR="00D4256A" w:rsidRPr="000A38E5">
        <w:rPr>
          <w:lang w:val="ru-RU"/>
        </w:rPr>
        <w:t xml:space="preserve"> </w:t>
      </w:r>
      <w:proofErr w:type="spellStart"/>
      <w:r w:rsidR="00D4256A" w:rsidRPr="000A38E5">
        <w:rPr>
          <w:i/>
        </w:rPr>
        <w:t>Ouranio</w:t>
      </w:r>
      <w:proofErr w:type="spellEnd"/>
      <w:r w:rsidR="00D4256A" w:rsidRPr="000A38E5">
        <w:rPr>
          <w:i/>
        </w:rPr>
        <w:t> </w:t>
      </w:r>
      <w:proofErr w:type="spellStart"/>
      <w:r w:rsidR="00D4256A" w:rsidRPr="000A38E5">
        <w:rPr>
          <w:i/>
        </w:rPr>
        <w:t>Toxo</w:t>
      </w:r>
      <w:proofErr w:type="spellEnd"/>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Others</w:t>
      </w:r>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Greece</w:t>
      </w:r>
      <w:r w:rsidR="00D4256A" w:rsidRPr="000A38E5">
        <w:rPr>
          <w:lang w:val="ru-RU"/>
        </w:rPr>
        <w:t xml:space="preserve">, </w:t>
      </w:r>
      <w:r w:rsidR="00D4256A" w:rsidRPr="000A38E5">
        <w:rPr>
          <w:lang w:val="uk-UA"/>
        </w:rPr>
        <w:t>№</w:t>
      </w:r>
      <w:r w:rsidR="00D4256A" w:rsidRPr="000A38E5">
        <w:rPr>
          <w:lang w:val="ru-RU"/>
        </w:rPr>
        <w:t xml:space="preserve"> 74989/01, § 42, </w:t>
      </w:r>
      <w:r w:rsidR="00D4256A" w:rsidRPr="000A38E5">
        <w:t>ECHR</w:t>
      </w:r>
      <w:r w:rsidR="00D4256A" w:rsidRPr="000A38E5">
        <w:rPr>
          <w:lang w:val="ru-RU"/>
        </w:rPr>
        <w:t xml:space="preserve"> 2005</w:t>
      </w:r>
      <w:r w:rsidR="00D4256A" w:rsidRPr="000A38E5">
        <w:rPr>
          <w:lang w:val="ru-RU"/>
        </w:rPr>
        <w:noBreakHyphen/>
      </w:r>
      <w:r w:rsidR="00D4256A" w:rsidRPr="000A38E5">
        <w:t>X</w:t>
      </w:r>
      <w:r w:rsidR="00D4256A" w:rsidRPr="000A38E5">
        <w:rPr>
          <w:lang w:val="ru-RU"/>
        </w:rPr>
        <w:t xml:space="preserve"> (</w:t>
      </w:r>
      <w:r w:rsidR="00D4256A" w:rsidRPr="000A38E5">
        <w:rPr>
          <w:lang w:val="uk-UA"/>
        </w:rPr>
        <w:t>витяги</w:t>
      </w:r>
      <w:r w:rsidR="00D4256A" w:rsidRPr="000A38E5">
        <w:rPr>
          <w:lang w:val="ru-RU"/>
        </w:rPr>
        <w:t xml:space="preserve">), </w:t>
      </w:r>
      <w:r w:rsidR="00D4256A" w:rsidRPr="000A38E5">
        <w:rPr>
          <w:lang w:val="uk-UA"/>
        </w:rPr>
        <w:t>де рішення, прийняті місцевими органами влади,</w:t>
      </w:r>
      <w:r w:rsidR="00D4256A" w:rsidRPr="000A38E5">
        <w:rPr>
          <w:lang w:val="ru-RU"/>
        </w:rPr>
        <w:t xml:space="preserve"> </w:t>
      </w:r>
      <w:r w:rsidR="00D4256A" w:rsidRPr="000A38E5">
        <w:rPr>
          <w:lang w:val="uk-UA"/>
        </w:rPr>
        <w:t>призвели до нападу на штаб асоціації заявника</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131</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Тому Суд вважає, що, беручи до уваги вищенаведене</w:t>
      </w:r>
      <w:r w:rsidR="00D4256A" w:rsidRPr="000A38E5">
        <w:rPr>
          <w:lang w:val="ru-RU"/>
        </w:rPr>
        <w:t xml:space="preserve">, </w:t>
      </w:r>
      <w:r w:rsidR="00D4256A" w:rsidRPr="000A38E5">
        <w:rPr>
          <w:lang w:val="uk-UA"/>
        </w:rPr>
        <w:t>держава може вважатися відповідальною за дії охоронців</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132</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У світлі наведених нижче висновків</w:t>
      </w:r>
      <w:r w:rsidR="00D4256A" w:rsidRPr="000A38E5">
        <w:rPr>
          <w:lang w:val="ru-RU"/>
        </w:rPr>
        <w:t xml:space="preserve"> (</w:t>
      </w:r>
      <w:r w:rsidR="00D4256A" w:rsidRPr="000A38E5">
        <w:rPr>
          <w:lang w:val="uk-UA"/>
        </w:rPr>
        <w:t>див., зокрема, пункти</w:t>
      </w:r>
      <w:r w:rsidR="00D4256A" w:rsidRPr="000A38E5">
        <w:t> </w:t>
      </w:r>
      <w:fldSimple w:instr=" REF conclusion_admissibility_A3_third_app \h  \* MERGEFORMAT ">
        <w:r w:rsidR="00D4256A" w:rsidRPr="000A38E5">
          <w:rPr>
            <w:noProof/>
            <w:lang w:val="ru-RU"/>
          </w:rPr>
          <w:t>147</w:t>
        </w:r>
      </w:fldSimple>
      <w:r w:rsidR="00D4256A" w:rsidRPr="000A38E5">
        <w:rPr>
          <w:lang w:val="ru-RU"/>
        </w:rPr>
        <w:t xml:space="preserve"> </w:t>
      </w:r>
      <w:r w:rsidR="00D4256A" w:rsidRPr="000A38E5">
        <w:rPr>
          <w:lang w:val="uk-UA"/>
        </w:rPr>
        <w:t>та</w:t>
      </w:r>
      <w:r w:rsidR="00D4256A" w:rsidRPr="000A38E5">
        <w:rPr>
          <w:lang w:val="ru-RU"/>
        </w:rPr>
        <w:t xml:space="preserve"> </w:t>
      </w:r>
      <w:fldSimple w:instr=" REF conclusion_admissibility_A11_verbal \h  \* MERGEFORMAT ">
        <w:r w:rsidR="00D4256A" w:rsidRPr="000A38E5">
          <w:rPr>
            <w:noProof/>
            <w:lang w:val="ru-RU"/>
          </w:rPr>
          <w:t>212</w:t>
        </w:r>
      </w:fldSimple>
      <w:r w:rsidR="00D4256A" w:rsidRPr="000A38E5">
        <w:rPr>
          <w:lang w:val="ru-RU"/>
        </w:rPr>
        <w:t xml:space="preserve"> </w:t>
      </w:r>
      <w:r w:rsidR="00D4256A" w:rsidRPr="000A38E5">
        <w:rPr>
          <w:lang w:val="uk-UA"/>
        </w:rPr>
        <w:t>-</w:t>
      </w:r>
      <w:r w:rsidR="00D4256A" w:rsidRPr="000A38E5">
        <w:rPr>
          <w:lang w:val="ru-RU"/>
        </w:rPr>
        <w:t xml:space="preserve"> </w:t>
      </w:r>
      <w:fldSimple w:instr=" REF conclusion_inadmissibility_A11_end \h  \* MERGEFORMAT ">
        <w:r w:rsidR="00D4256A" w:rsidRPr="000A38E5">
          <w:rPr>
            <w:noProof/>
            <w:lang w:val="ru-RU"/>
          </w:rPr>
          <w:t>216</w:t>
        </w:r>
      </w:fldSimple>
      <w:r w:rsidR="00D4256A" w:rsidRPr="000A38E5">
        <w:rPr>
          <w:lang w:val="ru-RU"/>
        </w:rPr>
        <w:t xml:space="preserve">), </w:t>
      </w:r>
      <w:r w:rsidR="00D4256A" w:rsidRPr="000A38E5">
        <w:rPr>
          <w:lang w:val="uk-UA"/>
        </w:rPr>
        <w:t>Суд не вважає необхідним постановляти,</w:t>
      </w:r>
      <w:r w:rsidR="00D4256A" w:rsidRPr="000A38E5">
        <w:rPr>
          <w:lang w:val="ru-RU"/>
        </w:rPr>
        <w:t xml:space="preserve"> </w:t>
      </w:r>
      <w:r w:rsidR="00D4256A" w:rsidRPr="000A38E5">
        <w:rPr>
          <w:lang w:val="uk-UA"/>
        </w:rPr>
        <w:t>чи держава може нести відповідальність за дії лісорубів</w:t>
      </w:r>
      <w:r w:rsidR="00D4256A" w:rsidRPr="000A38E5">
        <w:rPr>
          <w:lang w:val="ru-RU"/>
        </w:rPr>
        <w:t xml:space="preserve"> (</w:t>
      </w:r>
      <w:r w:rsidR="00D4256A" w:rsidRPr="000A38E5">
        <w:rPr>
          <w:lang w:val="uk-UA"/>
        </w:rPr>
        <w:t>див., з необхідними змінами</w:t>
      </w:r>
      <w:r w:rsidR="00D4256A" w:rsidRPr="000A38E5">
        <w:rPr>
          <w:lang w:val="ru-RU"/>
        </w:rPr>
        <w:t xml:space="preserve">, </w:t>
      </w:r>
      <w:proofErr w:type="spellStart"/>
      <w:r w:rsidR="00D4256A" w:rsidRPr="000A38E5">
        <w:rPr>
          <w:i/>
        </w:rPr>
        <w:t>Constantin</w:t>
      </w:r>
      <w:proofErr w:type="spellEnd"/>
      <w:r w:rsidR="00D4256A" w:rsidRPr="000A38E5">
        <w:rPr>
          <w:i/>
          <w:lang w:val="ru-RU"/>
        </w:rPr>
        <w:t xml:space="preserve"> </w:t>
      </w:r>
      <w:r w:rsidR="00D4256A" w:rsidRPr="000A38E5">
        <w:rPr>
          <w:i/>
        </w:rPr>
        <w:t>Tudor</w:t>
      </w:r>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Romania</w:t>
      </w:r>
      <w:r w:rsidR="00D4256A" w:rsidRPr="000A38E5">
        <w:rPr>
          <w:lang w:val="ru-RU"/>
        </w:rPr>
        <w:t xml:space="preserve">, </w:t>
      </w:r>
      <w:r w:rsidR="00D4256A" w:rsidRPr="000A38E5">
        <w:rPr>
          <w:lang w:val="uk-UA"/>
        </w:rPr>
        <w:t>№</w:t>
      </w:r>
      <w:r w:rsidR="00D4256A" w:rsidRPr="000A38E5">
        <w:t> </w:t>
      </w:r>
      <w:r w:rsidR="00D4256A" w:rsidRPr="000A38E5">
        <w:rPr>
          <w:lang w:val="ru-RU"/>
        </w:rPr>
        <w:t>43543/09, §</w:t>
      </w:r>
      <w:r w:rsidR="00D4256A" w:rsidRPr="000A38E5">
        <w:t> </w:t>
      </w:r>
      <w:r w:rsidR="00D4256A" w:rsidRPr="000A38E5">
        <w:rPr>
          <w:lang w:val="ru-RU"/>
        </w:rPr>
        <w:t xml:space="preserve">78, 18 </w:t>
      </w:r>
      <w:r w:rsidR="00D4256A" w:rsidRPr="000A38E5">
        <w:rPr>
          <w:lang w:val="uk-UA"/>
        </w:rPr>
        <w:t>червня</w:t>
      </w:r>
      <w:r w:rsidR="00D4256A" w:rsidRPr="000A38E5">
        <w:rPr>
          <w:lang w:val="ru-RU"/>
        </w:rPr>
        <w:t xml:space="preserve"> 2013).</w:t>
      </w:r>
    </w:p>
    <w:p w:rsidR="00D4256A" w:rsidRPr="000A38E5" w:rsidRDefault="00D4256A" w:rsidP="00D4256A">
      <w:pPr>
        <w:pStyle w:val="ECHRHeading1"/>
        <w:rPr>
          <w:lang w:val="uk-UA"/>
        </w:rPr>
      </w:pPr>
      <w:r w:rsidRPr="000A38E5">
        <w:t>II</w:t>
      </w:r>
      <w:r w:rsidRPr="000A38E5">
        <w:rPr>
          <w:lang w:val="ru-RU"/>
        </w:rPr>
        <w:t>.</w:t>
      </w:r>
      <w:r w:rsidRPr="000A38E5">
        <w:t> </w:t>
      </w:r>
      <w:r w:rsidRPr="000A38E5">
        <w:rPr>
          <w:lang w:val="ru-RU"/>
        </w:rPr>
        <w:t>СТВЕРДЖУВАНЕ</w:t>
      </w:r>
      <w:r w:rsidRPr="000A38E5">
        <w:rPr>
          <w:lang w:val="uk-UA"/>
        </w:rPr>
        <w:t xml:space="preserve"> ПОРУШЕННЯ СТАТТІ 3 КОНВЕНЦІЇ</w:t>
      </w:r>
    </w:p>
    <w:p w:rsidR="00D4256A" w:rsidRPr="000A38E5" w:rsidRDefault="004E7608" w:rsidP="00D4256A">
      <w:pPr>
        <w:pStyle w:val="ECHRPara"/>
        <w:rPr>
          <w:lang w:val="ru-RU"/>
        </w:rPr>
      </w:pPr>
      <w:r w:rsidRPr="000A38E5">
        <w:fldChar w:fldCharType="begin"/>
      </w:r>
      <w:r w:rsidR="00D4256A" w:rsidRPr="000A38E5">
        <w:rPr>
          <w:lang w:val="uk-UA"/>
        </w:rPr>
        <w:instrText xml:space="preserve"> </w:instrText>
      </w:r>
      <w:r w:rsidR="00D4256A" w:rsidRPr="000A38E5">
        <w:instrText>SEQ</w:instrText>
      </w:r>
      <w:r w:rsidR="00D4256A" w:rsidRPr="000A38E5">
        <w:rPr>
          <w:lang w:val="uk-UA"/>
        </w:rPr>
        <w:instrText xml:space="preserve"> </w:instrText>
      </w:r>
      <w:r w:rsidR="00D4256A" w:rsidRPr="000A38E5">
        <w:instrText>level</w:instrText>
      </w:r>
      <w:r w:rsidR="00D4256A" w:rsidRPr="000A38E5">
        <w:rPr>
          <w:lang w:val="uk-UA"/>
        </w:rPr>
        <w:instrText>0 \*</w:instrText>
      </w:r>
      <w:r w:rsidR="00D4256A" w:rsidRPr="000A38E5">
        <w:instrText>arabic</w:instrText>
      </w:r>
      <w:r w:rsidR="00D4256A" w:rsidRPr="000A38E5">
        <w:rPr>
          <w:lang w:val="uk-UA"/>
        </w:rPr>
        <w:instrText xml:space="preserve"> </w:instrText>
      </w:r>
      <w:r w:rsidRPr="000A38E5">
        <w:fldChar w:fldCharType="separate"/>
      </w:r>
      <w:r w:rsidR="00D4256A" w:rsidRPr="000A38E5">
        <w:rPr>
          <w:noProof/>
          <w:lang w:val="ru-RU"/>
        </w:rPr>
        <w:t>133</w:t>
      </w:r>
      <w:r w:rsidRPr="000A38E5">
        <w:rPr>
          <w:noProof/>
        </w:rPr>
        <w:fldChar w:fldCharType="end"/>
      </w:r>
      <w:r w:rsidR="00D4256A" w:rsidRPr="000A38E5">
        <w:rPr>
          <w:lang w:val="uk-UA"/>
        </w:rPr>
        <w:t>.</w:t>
      </w:r>
      <w:r w:rsidR="00D4256A" w:rsidRPr="00E93710">
        <w:rPr>
          <w:lang w:val="ru-RU"/>
        </w:rPr>
        <w:t xml:space="preserve"> </w:t>
      </w:r>
      <w:r w:rsidR="00D4256A" w:rsidRPr="000A38E5">
        <w:rPr>
          <w:lang w:val="uk-UA"/>
        </w:rPr>
        <w:t>Третій, сьомий та дев’ятий заявники скаржилися, що зазнали жорстокого поводження з боку охоронців та лісорубів, а держава-відповідач не захистила їх від цього і не провела ефективного розслідування їх скарг у цьому відношенні. Вони посилалися на статтю 3 Конвенції, яка передбачає</w:t>
      </w:r>
      <w:r w:rsidR="00D4256A" w:rsidRPr="000A38E5">
        <w:rPr>
          <w:lang w:val="ru-RU"/>
        </w:rPr>
        <w:t>:</w:t>
      </w:r>
    </w:p>
    <w:p w:rsidR="00D4256A" w:rsidRPr="000A38E5" w:rsidRDefault="00D4256A" w:rsidP="00D4256A">
      <w:pPr>
        <w:pStyle w:val="ECHRParaQuote"/>
        <w:rPr>
          <w:lang w:val="ru-RU"/>
        </w:rPr>
      </w:pPr>
      <w:r w:rsidRPr="000A38E5">
        <w:rPr>
          <w:lang w:val="ru-RU"/>
        </w:rPr>
        <w:t>“</w:t>
      </w:r>
      <w:r w:rsidRPr="000A38E5">
        <w:rPr>
          <w:color w:val="000000"/>
          <w:sz w:val="18"/>
          <w:szCs w:val="18"/>
          <w:shd w:val="clear" w:color="auto" w:fill="FFFFFF"/>
          <w:lang w:val="ru-RU"/>
        </w:rPr>
        <w:t xml:space="preserve"> </w:t>
      </w:r>
      <w:r w:rsidRPr="000A38E5">
        <w:rPr>
          <w:lang w:val="uk-UA"/>
        </w:rPr>
        <w:t>Нікого не може бути піддано катуванню або нелюдському чи такому, що принижує гідність, поводженню або покаранню</w:t>
      </w:r>
      <w:r w:rsidRPr="000A38E5">
        <w:rPr>
          <w:lang w:val="ru-RU"/>
        </w:rPr>
        <w:t>.”</w:t>
      </w:r>
    </w:p>
    <w:p w:rsidR="00D4256A" w:rsidRPr="000A38E5" w:rsidRDefault="00D4256A" w:rsidP="00D4256A">
      <w:pPr>
        <w:pStyle w:val="ECHRHeading2"/>
        <w:rPr>
          <w:lang w:val="uk-UA"/>
        </w:rPr>
      </w:pPr>
      <w:r w:rsidRPr="000A38E5">
        <w:t>A</w:t>
      </w:r>
      <w:r w:rsidRPr="000A38E5">
        <w:rPr>
          <w:lang w:val="ru-RU"/>
        </w:rPr>
        <w:t>.</w:t>
      </w:r>
      <w:r w:rsidRPr="000A38E5">
        <w:t> </w:t>
      </w:r>
      <w:r w:rsidRPr="000A38E5">
        <w:rPr>
          <w:lang w:val="ru-RU"/>
        </w:rPr>
        <w:t>Доводи</w:t>
      </w:r>
      <w:r w:rsidRPr="000A38E5">
        <w:rPr>
          <w:lang w:val="uk-UA"/>
        </w:rPr>
        <w:t xml:space="preserve"> сторін</w:t>
      </w:r>
    </w:p>
    <w:p w:rsidR="00D4256A" w:rsidRPr="000A38E5" w:rsidRDefault="00D4256A" w:rsidP="00D4256A">
      <w:pPr>
        <w:pStyle w:val="ECHRHeading3"/>
        <w:rPr>
          <w:lang w:val="uk-UA"/>
        </w:rPr>
      </w:pPr>
      <w:r w:rsidRPr="000A38E5">
        <w:rPr>
          <w:lang w:val="ru-RU"/>
        </w:rPr>
        <w:t>1.</w:t>
      </w:r>
      <w:r w:rsidRPr="00E93710">
        <w:rPr>
          <w:lang w:val="ru-RU"/>
        </w:rPr>
        <w:t xml:space="preserve"> </w:t>
      </w:r>
      <w:r w:rsidRPr="000A38E5">
        <w:rPr>
          <w:lang w:val="uk-UA"/>
        </w:rPr>
        <w:t>Заявники</w:t>
      </w:r>
    </w:p>
    <w:p w:rsidR="00D4256A" w:rsidRPr="000A38E5" w:rsidRDefault="00D4256A" w:rsidP="00D4256A">
      <w:pPr>
        <w:pStyle w:val="ECHRHeading4"/>
        <w:rPr>
          <w:lang w:val="uk-UA"/>
        </w:rPr>
      </w:pPr>
      <w:r w:rsidRPr="000A38E5">
        <w:rPr>
          <w:lang w:val="uk-UA"/>
        </w:rPr>
        <w:t>(</w:t>
      </w:r>
      <w:r w:rsidRPr="000A38E5">
        <w:t>a</w:t>
      </w:r>
      <w:r w:rsidRPr="000A38E5">
        <w:rPr>
          <w:lang w:val="uk-UA"/>
        </w:rPr>
        <w:t>)</w:t>
      </w:r>
      <w:r w:rsidRPr="00E93710">
        <w:rPr>
          <w:lang w:val="ru-RU"/>
        </w:rPr>
        <w:t xml:space="preserve"> </w:t>
      </w:r>
      <w:proofErr w:type="spellStart"/>
      <w:r w:rsidRPr="000A38E5">
        <w:rPr>
          <w:lang w:val="uk-UA"/>
        </w:rPr>
        <w:t>Стверджуване</w:t>
      </w:r>
      <w:proofErr w:type="spellEnd"/>
      <w:r w:rsidRPr="000A38E5">
        <w:rPr>
          <w:lang w:val="uk-UA"/>
        </w:rPr>
        <w:t xml:space="preserve"> жорстоке поводження</w:t>
      </w:r>
    </w:p>
    <w:p w:rsidR="00D4256A" w:rsidRPr="000A38E5" w:rsidRDefault="004E7608" w:rsidP="00D4256A">
      <w:pPr>
        <w:pStyle w:val="ECHRPara"/>
        <w:rPr>
          <w:lang w:val="ru-RU"/>
        </w:rPr>
      </w:pPr>
      <w:r w:rsidRPr="000A38E5">
        <w:fldChar w:fldCharType="begin"/>
      </w:r>
      <w:r w:rsidR="00D4256A" w:rsidRPr="000A38E5">
        <w:rPr>
          <w:lang w:val="uk-UA"/>
        </w:rPr>
        <w:instrText xml:space="preserve"> </w:instrText>
      </w:r>
      <w:r w:rsidR="00D4256A" w:rsidRPr="000A38E5">
        <w:instrText>SEQ</w:instrText>
      </w:r>
      <w:r w:rsidR="00D4256A" w:rsidRPr="000A38E5">
        <w:rPr>
          <w:lang w:val="uk-UA"/>
        </w:rPr>
        <w:instrText xml:space="preserve"> </w:instrText>
      </w:r>
      <w:r w:rsidR="00D4256A" w:rsidRPr="000A38E5">
        <w:instrText>level</w:instrText>
      </w:r>
      <w:r w:rsidR="00D4256A" w:rsidRPr="000A38E5">
        <w:rPr>
          <w:lang w:val="uk-UA"/>
        </w:rPr>
        <w:instrText>0 \*</w:instrText>
      </w:r>
      <w:r w:rsidR="00D4256A" w:rsidRPr="000A38E5">
        <w:instrText>arabic</w:instrText>
      </w:r>
      <w:r w:rsidR="00D4256A" w:rsidRPr="000A38E5">
        <w:rPr>
          <w:lang w:val="uk-UA"/>
        </w:rPr>
        <w:instrText xml:space="preserve"> </w:instrText>
      </w:r>
      <w:r w:rsidRPr="000A38E5">
        <w:fldChar w:fldCharType="separate"/>
      </w:r>
      <w:r w:rsidR="00D4256A" w:rsidRPr="000A38E5">
        <w:rPr>
          <w:noProof/>
          <w:lang w:val="uk-UA"/>
        </w:rPr>
        <w:t>134</w:t>
      </w:r>
      <w:r w:rsidRPr="000A38E5">
        <w:rPr>
          <w:noProof/>
        </w:rPr>
        <w:fldChar w:fldCharType="end"/>
      </w:r>
      <w:r w:rsidR="00D4256A" w:rsidRPr="000A38E5">
        <w:rPr>
          <w:lang w:val="uk-UA"/>
        </w:rPr>
        <w:t>.</w:t>
      </w:r>
      <w:r w:rsidR="00D4256A" w:rsidRPr="00E93710">
        <w:rPr>
          <w:lang w:val="uk-UA"/>
        </w:rPr>
        <w:t xml:space="preserve"> </w:t>
      </w:r>
      <w:r w:rsidR="00D4256A" w:rsidRPr="000A38E5">
        <w:rPr>
          <w:lang w:val="uk-UA"/>
        </w:rPr>
        <w:t xml:space="preserve">Заявники описали факти, які відбулися 2 червня 2010 року, як наведено у пункті </w:t>
      </w:r>
      <w:fldSimple w:instr=" REF events_of_2june_2versions \h  \* MERGEFORMAT ">
        <w:r w:rsidR="00D4256A" w:rsidRPr="000A38E5">
          <w:rPr>
            <w:noProof/>
            <w:lang w:val="uk-UA"/>
          </w:rPr>
          <w:t>41</w:t>
        </w:r>
      </w:fldSimple>
      <w:r w:rsidR="00D4256A" w:rsidRPr="000A38E5">
        <w:rPr>
          <w:lang w:val="uk-UA"/>
        </w:rPr>
        <w:t xml:space="preserve"> вище, й цитували справу </w:t>
      </w:r>
      <w:r w:rsidR="00D4256A" w:rsidRPr="000A38E5">
        <w:rPr>
          <w:i/>
        </w:rPr>
        <w:t>G</w:t>
      </w:r>
      <w:r w:rsidR="00D4256A" w:rsidRPr="000A38E5">
        <w:rPr>
          <w:i/>
          <w:lang w:val="uk-UA"/>
        </w:rPr>
        <w:t>ä</w:t>
      </w:r>
      <w:proofErr w:type="spellStart"/>
      <w:r w:rsidR="00D4256A" w:rsidRPr="000A38E5">
        <w:rPr>
          <w:i/>
        </w:rPr>
        <w:t>fgen</w:t>
      </w:r>
      <w:proofErr w:type="spellEnd"/>
      <w:r w:rsidR="00D4256A" w:rsidRPr="000A38E5">
        <w:rPr>
          <w:i/>
          <w:lang w:val="uk-UA"/>
        </w:rPr>
        <w:t xml:space="preserve"> </w:t>
      </w:r>
      <w:r w:rsidR="00D4256A" w:rsidRPr="000A38E5">
        <w:rPr>
          <w:i/>
        </w:rPr>
        <w:t>v</w:t>
      </w:r>
      <w:r w:rsidR="00D4256A" w:rsidRPr="000A38E5">
        <w:rPr>
          <w:i/>
          <w:lang w:val="uk-UA"/>
        </w:rPr>
        <w:t xml:space="preserve">. </w:t>
      </w:r>
      <w:r w:rsidR="00D4256A" w:rsidRPr="000A38E5">
        <w:rPr>
          <w:i/>
        </w:rPr>
        <w:t>Germany</w:t>
      </w:r>
      <w:r w:rsidR="00D4256A" w:rsidRPr="000A38E5">
        <w:rPr>
          <w:lang w:val="uk-UA"/>
        </w:rPr>
        <w:t xml:space="preserve"> ([</w:t>
      </w:r>
      <w:r w:rsidR="00D4256A" w:rsidRPr="000A38E5">
        <w:t>GC</w:t>
      </w:r>
      <w:r w:rsidR="00D4256A" w:rsidRPr="000A38E5">
        <w:rPr>
          <w:lang w:val="uk-UA"/>
        </w:rPr>
        <w:t>], №</w:t>
      </w:r>
      <w:r w:rsidR="00D4256A" w:rsidRPr="000A38E5">
        <w:t> </w:t>
      </w:r>
      <w:r w:rsidR="00D4256A" w:rsidRPr="000A38E5">
        <w:rPr>
          <w:lang w:val="uk-UA"/>
        </w:rPr>
        <w:t>22978/05, §</w:t>
      </w:r>
      <w:r w:rsidR="00D4256A" w:rsidRPr="000A38E5">
        <w:t> </w:t>
      </w:r>
      <w:r w:rsidR="00D4256A" w:rsidRPr="000A38E5">
        <w:rPr>
          <w:lang w:val="uk-UA"/>
        </w:rPr>
        <w:t xml:space="preserve">91, </w:t>
      </w:r>
      <w:r w:rsidR="00D4256A" w:rsidRPr="000A38E5">
        <w:t>ECHR</w:t>
      </w:r>
      <w:r w:rsidR="00D4256A" w:rsidRPr="000A38E5">
        <w:rPr>
          <w:lang w:val="uk-UA"/>
        </w:rPr>
        <w:t xml:space="preserve"> 2010). Вони стверджували, що загроза поранення третього заявника працюючою бензопилою</w:t>
      </w:r>
      <w:r w:rsidR="00D4256A" w:rsidRPr="000A38E5">
        <w:rPr>
          <w:lang w:val="ru-RU"/>
        </w:rPr>
        <w:t xml:space="preserve"> </w:t>
      </w:r>
      <w:r w:rsidR="00D4256A" w:rsidRPr="000A38E5">
        <w:rPr>
          <w:lang w:val="uk-UA"/>
        </w:rPr>
        <w:t>була прямою та реальною</w:t>
      </w:r>
      <w:r w:rsidR="00D4256A" w:rsidRPr="000A38E5">
        <w:rPr>
          <w:lang w:val="ru-RU"/>
        </w:rPr>
        <w:t xml:space="preserve">. </w:t>
      </w:r>
      <w:r w:rsidR="00D4256A" w:rsidRPr="000A38E5">
        <w:rPr>
          <w:lang w:val="uk-UA"/>
        </w:rPr>
        <w:t>Тому ситуація була достатньо серйозною для застосування статті</w:t>
      </w:r>
      <w:r w:rsidR="00D4256A" w:rsidRPr="000A38E5">
        <w:rPr>
          <w:lang w:val="ru-RU"/>
        </w:rPr>
        <w:t xml:space="preserve"> 3.</w:t>
      </w:r>
      <w:r w:rsidR="00D4256A" w:rsidRPr="000A38E5">
        <w:t> </w:t>
      </w:r>
      <w:r w:rsidR="00D4256A" w:rsidRPr="000A38E5">
        <w:rPr>
          <w:lang w:val="uk-UA"/>
        </w:rPr>
        <w:t>Заявники заперечували твердження Уряду про те, що саме протестуючі</w:t>
      </w:r>
      <w:r w:rsidR="00D4256A" w:rsidRPr="000A38E5">
        <w:rPr>
          <w:lang w:val="ru-RU"/>
        </w:rPr>
        <w:t xml:space="preserve"> </w:t>
      </w:r>
      <w:r w:rsidR="00D4256A" w:rsidRPr="000A38E5">
        <w:rPr>
          <w:lang w:val="uk-UA"/>
        </w:rPr>
        <w:t>рухалися в сторону робітника з бензопилою та намагалися її відібрати</w:t>
      </w:r>
      <w:r w:rsidR="00D4256A" w:rsidRPr="000A38E5">
        <w:rPr>
          <w:lang w:val="ru-RU"/>
        </w:rPr>
        <w:t xml:space="preserve">. </w:t>
      </w:r>
      <w:r w:rsidR="00D4256A" w:rsidRPr="000A38E5">
        <w:rPr>
          <w:lang w:val="uk-UA"/>
        </w:rPr>
        <w:t>Вони посилалися на надане ними відео, яке, за їх словами, демонструвало,</w:t>
      </w:r>
      <w:r w:rsidR="00D4256A" w:rsidRPr="000A38E5">
        <w:rPr>
          <w:lang w:val="ru-RU"/>
        </w:rPr>
        <w:t xml:space="preserve"> </w:t>
      </w:r>
      <w:r w:rsidR="00D4256A" w:rsidRPr="000A38E5">
        <w:rPr>
          <w:lang w:val="uk-UA"/>
        </w:rPr>
        <w:t>що робітники робили загрозливі рухи в напрямку третього заявника</w:t>
      </w:r>
      <w:r w:rsidR="00D4256A" w:rsidRPr="000A38E5">
        <w:rPr>
          <w:lang w:val="ru-RU"/>
        </w:rPr>
        <w:t xml:space="preserve"> </w:t>
      </w:r>
      <w:r w:rsidR="00D4256A" w:rsidRPr="000A38E5">
        <w:rPr>
          <w:lang w:val="uk-UA"/>
        </w:rPr>
        <w:t>та інших протестуючих</w:t>
      </w:r>
      <w:r w:rsidR="00D4256A" w:rsidRPr="000A38E5">
        <w:rPr>
          <w:lang w:val="ru-RU"/>
        </w:rPr>
        <w:t xml:space="preserve">, </w:t>
      </w:r>
      <w:r w:rsidR="00D4256A" w:rsidRPr="000A38E5">
        <w:rPr>
          <w:lang w:val="uk-UA"/>
        </w:rPr>
        <w:t>яких можна було побачити з піднятими руками</w:t>
      </w:r>
      <w:r w:rsidR="00D4256A" w:rsidRPr="000A38E5">
        <w:rPr>
          <w:lang w:val="ru-RU"/>
        </w:rPr>
        <w:t xml:space="preserve"> </w:t>
      </w:r>
      <w:r w:rsidR="00D4256A" w:rsidRPr="000A38E5">
        <w:rPr>
          <w:lang w:val="uk-UA"/>
        </w:rPr>
        <w:t>в знак мирних намірів</w:t>
      </w:r>
      <w:r w:rsidR="00D4256A" w:rsidRPr="000A38E5">
        <w:rPr>
          <w:lang w:val="ru-RU"/>
        </w:rPr>
        <w:t xml:space="preserve">. </w:t>
      </w:r>
      <w:r w:rsidR="00D4256A" w:rsidRPr="000A38E5">
        <w:rPr>
          <w:lang w:val="uk-UA"/>
        </w:rPr>
        <w:t>Ніхто з протестуючих не намагався здійснити напад на робітників або відібрати бензопили</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135</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Сьомий та дев’ятий заявники посилалися на їх задокументовані травми та підкреслили,</w:t>
      </w:r>
      <w:r w:rsidR="00D4256A" w:rsidRPr="000A38E5">
        <w:rPr>
          <w:lang w:val="ru-RU"/>
        </w:rPr>
        <w:t xml:space="preserve"> </w:t>
      </w:r>
      <w:r w:rsidR="00D4256A" w:rsidRPr="000A38E5">
        <w:rPr>
          <w:lang w:val="uk-UA"/>
        </w:rPr>
        <w:t>що час отримання травм співпадав з моментами,</w:t>
      </w:r>
      <w:r w:rsidR="00D4256A" w:rsidRPr="000A38E5">
        <w:rPr>
          <w:lang w:val="ru-RU"/>
        </w:rPr>
        <w:t xml:space="preserve"> </w:t>
      </w:r>
      <w:r w:rsidR="00D4256A" w:rsidRPr="000A38E5">
        <w:rPr>
          <w:lang w:val="uk-UA"/>
        </w:rPr>
        <w:t>коли, як продемонстровано на відеозаписі, що вони надали</w:t>
      </w:r>
      <w:r w:rsidR="00D4256A" w:rsidRPr="000A38E5">
        <w:rPr>
          <w:lang w:val="ru-RU"/>
        </w:rPr>
        <w:t xml:space="preserve">, </w:t>
      </w:r>
      <w:r w:rsidR="00D4256A" w:rsidRPr="000A38E5">
        <w:rPr>
          <w:lang w:val="uk-UA"/>
        </w:rPr>
        <w:t>люди в чорному били та штовхали протестуючих 31 травня</w:t>
      </w:r>
      <w:r w:rsidR="00D4256A" w:rsidRPr="000A38E5">
        <w:rPr>
          <w:lang w:val="ru-RU"/>
        </w:rPr>
        <w:t xml:space="preserve"> 2010</w:t>
      </w:r>
      <w:r w:rsidR="00D4256A" w:rsidRPr="000A38E5">
        <w:rPr>
          <w:lang w:val="uk-UA"/>
        </w:rPr>
        <w:t xml:space="preserve"> року</w:t>
      </w:r>
      <w:r w:rsidR="00D4256A" w:rsidRPr="000A38E5">
        <w:rPr>
          <w:lang w:val="ru-RU"/>
        </w:rPr>
        <w:t xml:space="preserve"> (</w:t>
      </w:r>
      <w:r w:rsidR="00D4256A" w:rsidRPr="000A38E5">
        <w:rPr>
          <w:lang w:val="uk-UA"/>
        </w:rPr>
        <w:t>сьомий заявник</w:t>
      </w:r>
      <w:r w:rsidR="00D4256A" w:rsidRPr="000A38E5">
        <w:rPr>
          <w:lang w:val="ru-RU"/>
        </w:rPr>
        <w:t xml:space="preserve">) </w:t>
      </w:r>
      <w:r w:rsidR="00D4256A" w:rsidRPr="000A38E5">
        <w:rPr>
          <w:lang w:val="uk-UA"/>
        </w:rPr>
        <w:t xml:space="preserve">та </w:t>
      </w:r>
      <w:r w:rsidR="00D4256A" w:rsidRPr="000A38E5">
        <w:rPr>
          <w:lang w:val="uk-UA"/>
        </w:rPr>
        <w:lastRenderedPageBreak/>
        <w:t>коли робітники намагалися пройти крізь оточення протестуючих 27 травня</w:t>
      </w:r>
      <w:r w:rsidR="00D4256A" w:rsidRPr="000A38E5">
        <w:rPr>
          <w:lang w:val="ru-RU"/>
        </w:rPr>
        <w:t xml:space="preserve"> 2010 року (</w:t>
      </w:r>
      <w:r w:rsidR="00D4256A" w:rsidRPr="000A38E5">
        <w:rPr>
          <w:lang w:val="uk-UA"/>
        </w:rPr>
        <w:t>дев’ятий заявник</w:t>
      </w:r>
      <w:r w:rsidR="00D4256A" w:rsidRPr="000A38E5">
        <w:rPr>
          <w:lang w:val="ru-RU"/>
        </w:rPr>
        <w:t xml:space="preserve">). </w:t>
      </w:r>
      <w:r w:rsidR="00D4256A" w:rsidRPr="000A38E5">
        <w:rPr>
          <w:lang w:val="uk-UA"/>
        </w:rPr>
        <w:t>Відповідно, вони стверджували, що мало місце «співіснування достатньо сильних</w:t>
      </w:r>
      <w:r w:rsidR="00D4256A" w:rsidRPr="000A38E5">
        <w:rPr>
          <w:lang w:val="ru-RU"/>
        </w:rPr>
        <w:t xml:space="preserve">, </w:t>
      </w:r>
      <w:r w:rsidR="00D4256A" w:rsidRPr="000A38E5">
        <w:rPr>
          <w:lang w:val="uk-UA"/>
        </w:rPr>
        <w:t>чітких та узгоджених висновків</w:t>
      </w:r>
      <w:r w:rsidR="00D4256A" w:rsidRPr="000A38E5">
        <w:rPr>
          <w:lang w:val="ru-RU"/>
        </w:rPr>
        <w:t xml:space="preserve"> </w:t>
      </w:r>
      <w:r w:rsidR="00D4256A" w:rsidRPr="000A38E5">
        <w:rPr>
          <w:lang w:val="uk-UA"/>
        </w:rPr>
        <w:t xml:space="preserve">або аналогічних неспростовних </w:t>
      </w:r>
      <w:proofErr w:type="spellStart"/>
      <w:r w:rsidR="00D4256A" w:rsidRPr="000A38E5">
        <w:rPr>
          <w:lang w:val="uk-UA"/>
        </w:rPr>
        <w:t>презумпцій</w:t>
      </w:r>
      <w:proofErr w:type="spellEnd"/>
      <w:r w:rsidR="00D4256A" w:rsidRPr="000A38E5">
        <w:rPr>
          <w:lang w:val="uk-UA"/>
        </w:rPr>
        <w:t xml:space="preserve"> факту»,</w:t>
      </w:r>
      <w:r w:rsidR="00D4256A" w:rsidRPr="000A38E5">
        <w:rPr>
          <w:lang w:val="ru-RU"/>
        </w:rPr>
        <w:t xml:space="preserve"> </w:t>
      </w:r>
      <w:r w:rsidR="00D4256A" w:rsidRPr="000A38E5">
        <w:rPr>
          <w:lang w:val="uk-UA"/>
        </w:rPr>
        <w:t>з яких можна було зробити висновок, що травми заявників були результатом нападу людей у чорному та лісорубів</w:t>
      </w:r>
      <w:r w:rsidR="00D4256A" w:rsidRPr="000A38E5">
        <w:rPr>
          <w:lang w:val="ru-RU"/>
        </w:rPr>
        <w:t xml:space="preserve">. </w:t>
      </w:r>
      <w:r w:rsidR="00D4256A" w:rsidRPr="000A38E5">
        <w:rPr>
          <w:lang w:val="uk-UA"/>
        </w:rPr>
        <w:t xml:space="preserve">Це поводження «перевищувало мінімальний рівень жорстокості у розумінні </w:t>
      </w:r>
      <w:proofErr w:type="spellStart"/>
      <w:r w:rsidR="00D4256A" w:rsidRPr="000A38E5">
        <w:rPr>
          <w:lang w:val="uk-UA"/>
        </w:rPr>
        <w:t>прецедентного</w:t>
      </w:r>
      <w:proofErr w:type="spellEnd"/>
      <w:r w:rsidR="00D4256A" w:rsidRPr="000A38E5">
        <w:rPr>
          <w:lang w:val="uk-UA"/>
        </w:rPr>
        <w:t xml:space="preserve"> права Суду»</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136</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Незважаючи на докази ушкоджень, заявники не були допитані правоохоронними органами</w:t>
      </w:r>
      <w:r w:rsidR="00D4256A" w:rsidRPr="000A38E5">
        <w:rPr>
          <w:lang w:val="ru-RU"/>
        </w:rPr>
        <w:t xml:space="preserve">. На них не </w:t>
      </w:r>
      <w:proofErr w:type="spellStart"/>
      <w:r w:rsidR="00D4256A" w:rsidRPr="000A38E5">
        <w:rPr>
          <w:lang w:val="ru-RU"/>
        </w:rPr>
        <w:t>можна</w:t>
      </w:r>
      <w:proofErr w:type="spellEnd"/>
      <w:r w:rsidR="00D4256A" w:rsidRPr="000A38E5">
        <w:rPr>
          <w:lang w:val="ru-RU"/>
        </w:rPr>
        <w:t xml:space="preserve"> </w:t>
      </w:r>
      <w:proofErr w:type="spellStart"/>
      <w:r w:rsidR="00D4256A" w:rsidRPr="000A38E5">
        <w:rPr>
          <w:lang w:val="ru-RU"/>
        </w:rPr>
        <w:t>покласти</w:t>
      </w:r>
      <w:proofErr w:type="spellEnd"/>
      <w:r w:rsidR="00D4256A" w:rsidRPr="000A38E5">
        <w:rPr>
          <w:lang w:val="ru-RU"/>
        </w:rPr>
        <w:t xml:space="preserve"> </w:t>
      </w:r>
      <w:r w:rsidR="00D4256A" w:rsidRPr="000A38E5">
        <w:rPr>
          <w:lang w:val="uk-UA"/>
        </w:rPr>
        <w:t>відповідальність за нездатність органів влади ідентифікувати осіб, які вчиняли напади</w:t>
      </w:r>
      <w:r w:rsidR="00D4256A" w:rsidRPr="000A38E5">
        <w:rPr>
          <w:lang w:val="ru-RU"/>
        </w:rPr>
        <w:t xml:space="preserve">, </w:t>
      </w:r>
      <w:r w:rsidR="00D4256A" w:rsidRPr="000A38E5">
        <w:rPr>
          <w:lang w:val="uk-UA"/>
        </w:rPr>
        <w:t>що саме по собі випливало з неефективності розслідування</w:t>
      </w:r>
      <w:r w:rsidR="00D4256A" w:rsidRPr="000A38E5">
        <w:rPr>
          <w:lang w:val="ru-RU"/>
        </w:rPr>
        <w:t xml:space="preserve">. </w:t>
      </w:r>
      <w:r w:rsidR="00D4256A" w:rsidRPr="000A38E5">
        <w:rPr>
          <w:lang w:val="uk-UA"/>
        </w:rPr>
        <w:t>Вони відправилися до лікарні та зареєстрували свої ушкодження</w:t>
      </w:r>
      <w:r w:rsidR="00D4256A" w:rsidRPr="000A38E5">
        <w:rPr>
          <w:lang w:val="ru-RU"/>
        </w:rPr>
        <w:t xml:space="preserve">, </w:t>
      </w:r>
      <w:r w:rsidR="00D4256A" w:rsidRPr="000A38E5">
        <w:rPr>
          <w:lang w:val="uk-UA"/>
        </w:rPr>
        <w:t>але органи влади не запропонували та не закликали їх пройти більш детальну судово-медичну експертизу у цьому відношенні</w:t>
      </w:r>
      <w:r w:rsidR="00D4256A" w:rsidRPr="000A38E5">
        <w:rPr>
          <w:lang w:val="ru-RU"/>
        </w:rPr>
        <w:t xml:space="preserve">, </w:t>
      </w:r>
      <w:r w:rsidR="00D4256A" w:rsidRPr="000A38E5">
        <w:rPr>
          <w:lang w:val="uk-UA"/>
        </w:rPr>
        <w:t>яка була необхідна, за словами Уряду</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Govt_no_forensic_medical \h  \* MERGEFORMAT ">
        <w:r w:rsidR="00D4256A" w:rsidRPr="000A38E5">
          <w:rPr>
            <w:noProof/>
            <w:lang w:val="ru-RU"/>
          </w:rPr>
          <w:t>143</w:t>
        </w:r>
      </w:fldSimple>
      <w:r w:rsidR="00D4256A" w:rsidRPr="000A38E5">
        <w:rPr>
          <w:lang w:val="ru-RU"/>
        </w:rPr>
        <w:t xml:space="preserve"> </w:t>
      </w:r>
      <w:r w:rsidR="00D4256A" w:rsidRPr="000A38E5">
        <w:rPr>
          <w:lang w:val="uk-UA"/>
        </w:rPr>
        <w:t>нижче</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137</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Держава відповідальна за жорстоке поводження, яке зазнали заявники,</w:t>
      </w:r>
      <w:r w:rsidR="00D4256A" w:rsidRPr="000A38E5">
        <w:rPr>
          <w:lang w:val="ru-RU"/>
        </w:rPr>
        <w:t xml:space="preserve"> </w:t>
      </w:r>
      <w:r w:rsidR="00D4256A" w:rsidRPr="000A38E5">
        <w:rPr>
          <w:lang w:val="uk-UA"/>
        </w:rPr>
        <w:t>оскільки його здійснювали агенти держави</w:t>
      </w:r>
      <w:r w:rsidR="00D4256A" w:rsidRPr="000A38E5">
        <w:rPr>
          <w:lang w:val="ru-RU"/>
        </w:rPr>
        <w:t xml:space="preserve"> (</w:t>
      </w:r>
      <w:r w:rsidR="00D4256A" w:rsidRPr="000A38E5">
        <w:rPr>
          <w:lang w:val="uk-UA"/>
        </w:rPr>
        <w:t>див. доводи заявників стосовно цього питання у пунктах</w:t>
      </w:r>
      <w:r w:rsidR="00D4256A" w:rsidRPr="000A38E5">
        <w:rPr>
          <w:lang w:val="ru-RU"/>
        </w:rPr>
        <w:t xml:space="preserve"> </w:t>
      </w:r>
      <w:fldSimple w:instr=" REF apps_attribution_first \h  \* MERGEFORMAT ">
        <w:r w:rsidR="00D4256A" w:rsidRPr="000A38E5">
          <w:rPr>
            <w:noProof/>
            <w:lang w:val="ru-RU"/>
          </w:rPr>
          <w:t>120</w:t>
        </w:r>
      </w:fldSimple>
      <w:r w:rsidR="00D4256A" w:rsidRPr="000A38E5">
        <w:rPr>
          <w:lang w:val="ru-RU"/>
        </w:rPr>
        <w:t xml:space="preserve"> </w:t>
      </w:r>
      <w:r w:rsidR="00D4256A" w:rsidRPr="000A38E5">
        <w:rPr>
          <w:lang w:val="uk-UA"/>
        </w:rPr>
        <w:t>-</w:t>
      </w:r>
      <w:r w:rsidR="00D4256A" w:rsidRPr="000A38E5">
        <w:rPr>
          <w:lang w:val="ru-RU"/>
        </w:rPr>
        <w:t xml:space="preserve"> </w:t>
      </w:r>
      <w:fldSimple w:instr=" REF apps_attribution_last \h  \* MERGEFORMAT ">
        <w:r w:rsidR="00D4256A" w:rsidRPr="000A38E5">
          <w:rPr>
            <w:noProof/>
            <w:lang w:val="ru-RU"/>
          </w:rPr>
          <w:t>124</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У будь-якому разі, держава не захистила заявників від жорстокого поводження,</w:t>
      </w:r>
      <w:r w:rsidR="00D4256A" w:rsidRPr="000A38E5">
        <w:rPr>
          <w:lang w:val="ru-RU"/>
        </w:rPr>
        <w:t xml:space="preserve"> </w:t>
      </w:r>
      <w:r w:rsidR="00D4256A" w:rsidRPr="000A38E5">
        <w:rPr>
          <w:lang w:val="uk-UA"/>
        </w:rPr>
        <w:t>незважаючи на те, що протестуючі неодноразово викликали міліцію на місце подій</w:t>
      </w:r>
      <w:r w:rsidR="00D4256A" w:rsidRPr="000A38E5">
        <w:rPr>
          <w:lang w:val="ru-RU"/>
        </w:rPr>
        <w:t xml:space="preserve"> </w:t>
      </w:r>
      <w:r w:rsidR="00D4256A" w:rsidRPr="000A38E5">
        <w:rPr>
          <w:lang w:val="uk-UA"/>
        </w:rPr>
        <w:t>та попереджали міліціонерів про можливі напади</w:t>
      </w:r>
      <w:r w:rsidR="00D4256A" w:rsidRPr="000A38E5">
        <w:rPr>
          <w:lang w:val="ru-RU"/>
        </w:rPr>
        <w:t xml:space="preserve">. </w:t>
      </w:r>
      <w:r w:rsidR="00D4256A" w:rsidRPr="000A38E5">
        <w:rPr>
          <w:lang w:val="uk-UA"/>
        </w:rPr>
        <w:t>Крім того, на місці подій неодноразово були присутні міліціонери</w:t>
      </w:r>
      <w:r w:rsidR="00D4256A" w:rsidRPr="000A38E5">
        <w:rPr>
          <w:lang w:val="ru-RU"/>
        </w:rPr>
        <w:t xml:space="preserve">. </w:t>
      </w:r>
      <w:r w:rsidR="00D4256A" w:rsidRPr="000A38E5">
        <w:rPr>
          <w:lang w:val="uk-UA"/>
        </w:rPr>
        <w:t>В дійсності, міліція сприяла нападам</w:t>
      </w:r>
      <w:r w:rsidR="00D4256A" w:rsidRPr="000A38E5">
        <w:rPr>
          <w:lang w:val="ru-RU"/>
        </w:rPr>
        <w:t xml:space="preserve">, </w:t>
      </w:r>
      <w:r w:rsidR="00D4256A" w:rsidRPr="000A38E5">
        <w:rPr>
          <w:lang w:val="uk-UA"/>
        </w:rPr>
        <w:t>зокрема, шляхом затримання протестуючих, які намагалися опиратися нападам</w:t>
      </w:r>
      <w:r w:rsidR="00D4256A" w:rsidRPr="000A38E5">
        <w:rPr>
          <w:lang w:val="ru-RU"/>
        </w:rPr>
        <w:t>.</w:t>
      </w:r>
    </w:p>
    <w:p w:rsidR="00D4256A" w:rsidRPr="000A38E5" w:rsidRDefault="00D4256A" w:rsidP="00D4256A">
      <w:pPr>
        <w:pStyle w:val="ECHRHeading4"/>
        <w:rPr>
          <w:lang w:val="uk-UA"/>
        </w:rPr>
      </w:pPr>
      <w:r w:rsidRPr="000A38E5">
        <w:rPr>
          <w:lang w:val="ru-RU"/>
        </w:rPr>
        <w:t>(</w:t>
      </w:r>
      <w:r w:rsidRPr="000A38E5">
        <w:t>b</w:t>
      </w:r>
      <w:r w:rsidRPr="000A38E5">
        <w:rPr>
          <w:lang w:val="ru-RU"/>
        </w:rPr>
        <w:t>)</w:t>
      </w:r>
      <w:r w:rsidRPr="00E93710">
        <w:rPr>
          <w:lang w:val="ru-RU"/>
        </w:rPr>
        <w:t xml:space="preserve"> </w:t>
      </w:r>
      <w:r w:rsidRPr="000A38E5">
        <w:rPr>
          <w:lang w:val="uk-UA"/>
        </w:rPr>
        <w:t>Розслідування</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138</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Заявники стверджували, що розслідування їх скарг</w:t>
      </w:r>
      <w:r w:rsidR="00D4256A" w:rsidRPr="000A38E5">
        <w:rPr>
          <w:lang w:val="ru-RU"/>
        </w:rPr>
        <w:t xml:space="preserve"> </w:t>
      </w:r>
      <w:r w:rsidR="00D4256A" w:rsidRPr="000A38E5">
        <w:rPr>
          <w:lang w:val="uk-UA"/>
        </w:rPr>
        <w:t>на жорстоке поводження не було «негайним»</w:t>
      </w:r>
      <w:r w:rsidR="00D4256A" w:rsidRPr="000A38E5">
        <w:rPr>
          <w:lang w:val="ru-RU"/>
        </w:rPr>
        <w:t xml:space="preserve">, </w:t>
      </w:r>
      <w:r w:rsidR="00D4256A" w:rsidRPr="000A38E5">
        <w:rPr>
          <w:lang w:val="uk-UA"/>
        </w:rPr>
        <w:t>не було офіційного порушення кримінальних проваджень</w:t>
      </w:r>
      <w:r w:rsidR="00D4256A" w:rsidRPr="000A38E5">
        <w:rPr>
          <w:lang w:val="ru-RU"/>
        </w:rPr>
        <w:t xml:space="preserve"> </w:t>
      </w:r>
      <w:r w:rsidR="00D4256A" w:rsidRPr="000A38E5">
        <w:rPr>
          <w:lang w:val="uk-UA"/>
        </w:rPr>
        <w:t>і розслідування обмежувалося процедурою дослідчої перевірки за статтею</w:t>
      </w:r>
      <w:r w:rsidR="00D4256A" w:rsidRPr="000A38E5">
        <w:rPr>
          <w:lang w:val="ru-RU"/>
        </w:rPr>
        <w:t xml:space="preserve"> 97 </w:t>
      </w:r>
      <w:r w:rsidR="00D4256A" w:rsidRPr="000A38E5">
        <w:rPr>
          <w:lang w:val="uk-UA"/>
        </w:rPr>
        <w:t>Кримінально-процесуального кодексу</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preinvestigation_enquiries_CPC \h  \* MERGEFORMAT ">
        <w:r w:rsidR="00D4256A" w:rsidRPr="000A38E5">
          <w:rPr>
            <w:noProof/>
            <w:lang w:val="ru-RU"/>
          </w:rPr>
          <w:t>101</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Ефективне розслідування було неможливим за таких обставин</w:t>
      </w:r>
      <w:r w:rsidR="00D4256A" w:rsidRPr="000A38E5">
        <w:rPr>
          <w:lang w:val="ru-RU"/>
        </w:rPr>
        <w:t xml:space="preserve">, </w:t>
      </w:r>
      <w:r w:rsidR="00D4256A" w:rsidRPr="000A38E5">
        <w:rPr>
          <w:lang w:val="uk-UA"/>
        </w:rPr>
        <w:t>оскільки в рамках цієї процедури органи влади мали обмежені повноваження</w:t>
      </w:r>
      <w:r w:rsidR="00D4256A" w:rsidRPr="000A38E5">
        <w:rPr>
          <w:lang w:val="ru-RU"/>
        </w:rPr>
        <w:t xml:space="preserve">. </w:t>
      </w:r>
      <w:r w:rsidR="00D4256A" w:rsidRPr="000A38E5">
        <w:rPr>
          <w:lang w:val="uk-UA"/>
        </w:rPr>
        <w:t>У цьому зв’язку заявники посилалися на висновки Суду за цим питанням</w:t>
      </w:r>
      <w:r w:rsidR="00D4256A" w:rsidRPr="000A38E5">
        <w:rPr>
          <w:lang w:val="ru-RU"/>
        </w:rPr>
        <w:t xml:space="preserve"> </w:t>
      </w:r>
      <w:r w:rsidR="00D4256A" w:rsidRPr="000A38E5">
        <w:rPr>
          <w:lang w:val="uk-UA"/>
        </w:rPr>
        <w:t>у справі</w:t>
      </w:r>
      <w:r w:rsidR="00D4256A" w:rsidRPr="000A38E5">
        <w:rPr>
          <w:lang w:val="ru-RU"/>
        </w:rPr>
        <w:t xml:space="preserve"> </w:t>
      </w:r>
      <w:proofErr w:type="spellStart"/>
      <w:r w:rsidR="00D4256A" w:rsidRPr="000A38E5">
        <w:rPr>
          <w:i/>
        </w:rPr>
        <w:t>Davydov</w:t>
      </w:r>
      <w:proofErr w:type="spellEnd"/>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Others</w:t>
      </w:r>
      <w:r w:rsidR="00D4256A" w:rsidRPr="000A38E5">
        <w:rPr>
          <w:i/>
          <w:lang w:val="ru-RU"/>
        </w:rPr>
        <w:t xml:space="preserve"> </w:t>
      </w:r>
      <w:r w:rsidR="00D4256A" w:rsidRPr="000A38E5">
        <w:rPr>
          <w:i/>
        </w:rPr>
        <w:t>v</w:t>
      </w:r>
      <w:r w:rsidR="00D4256A" w:rsidRPr="000A38E5">
        <w:rPr>
          <w:i/>
          <w:lang w:val="ru-RU"/>
        </w:rPr>
        <w:t>.</w:t>
      </w:r>
      <w:r w:rsidR="00D4256A" w:rsidRPr="000A38E5">
        <w:rPr>
          <w:i/>
        </w:rPr>
        <w:t> Ukraine</w:t>
      </w:r>
      <w:r w:rsidR="00D4256A" w:rsidRPr="000A38E5">
        <w:rPr>
          <w:lang w:val="ru-RU"/>
        </w:rPr>
        <w:t xml:space="preserve"> (</w:t>
      </w:r>
      <w:r w:rsidR="00D4256A" w:rsidRPr="000A38E5">
        <w:rPr>
          <w:lang w:val="uk-UA"/>
        </w:rPr>
        <w:t>№№</w:t>
      </w:r>
      <w:r w:rsidR="00D4256A" w:rsidRPr="000A38E5">
        <w:t> </w:t>
      </w:r>
      <w:r w:rsidR="00D4256A" w:rsidRPr="000A38E5">
        <w:rPr>
          <w:lang w:val="ru-RU"/>
        </w:rPr>
        <w:t xml:space="preserve">17674/02 </w:t>
      </w:r>
      <w:r w:rsidR="00D4256A" w:rsidRPr="000A38E5">
        <w:rPr>
          <w:lang w:val="uk-UA"/>
        </w:rPr>
        <w:t>та</w:t>
      </w:r>
      <w:r w:rsidR="00D4256A" w:rsidRPr="000A38E5">
        <w:rPr>
          <w:lang w:val="ru-RU"/>
        </w:rPr>
        <w:t xml:space="preserve"> 39081/02, §§</w:t>
      </w:r>
      <w:r w:rsidR="00D4256A" w:rsidRPr="000A38E5">
        <w:t> </w:t>
      </w:r>
      <w:r w:rsidR="00D4256A" w:rsidRPr="000A38E5">
        <w:rPr>
          <w:lang w:val="ru-RU"/>
        </w:rPr>
        <w:t xml:space="preserve">309-12, 1 </w:t>
      </w:r>
      <w:r w:rsidR="00D4256A" w:rsidRPr="000A38E5">
        <w:t>July</w:t>
      </w:r>
      <w:r w:rsidR="00D4256A" w:rsidRPr="000A38E5">
        <w:rPr>
          <w:lang w:val="ru-RU"/>
        </w:rPr>
        <w:t xml:space="preserve"> 2010). </w:t>
      </w:r>
      <w:r w:rsidR="00D4256A" w:rsidRPr="000A38E5">
        <w:rPr>
          <w:lang w:val="uk-UA"/>
        </w:rPr>
        <w:t>Розслідування також було неповним</w:t>
      </w:r>
      <w:r w:rsidR="00D4256A" w:rsidRPr="000A38E5">
        <w:rPr>
          <w:lang w:val="ru-RU"/>
        </w:rPr>
        <w:t xml:space="preserve">: </w:t>
      </w:r>
      <w:r w:rsidR="00D4256A" w:rsidRPr="000A38E5">
        <w:rPr>
          <w:lang w:val="uk-UA"/>
        </w:rPr>
        <w:t>органи влади не здійснили необхідних заходів для встановлення</w:t>
      </w:r>
      <w:r w:rsidR="00D4256A" w:rsidRPr="000A38E5">
        <w:rPr>
          <w:lang w:val="ru-RU"/>
        </w:rPr>
        <w:t xml:space="preserve"> </w:t>
      </w:r>
      <w:r w:rsidR="00D4256A" w:rsidRPr="000A38E5">
        <w:rPr>
          <w:lang w:val="uk-UA"/>
        </w:rPr>
        <w:t>часу отримання ушкоджень заявниками</w:t>
      </w:r>
      <w:r w:rsidR="00D4256A" w:rsidRPr="000A38E5">
        <w:rPr>
          <w:lang w:val="ru-RU"/>
        </w:rPr>
        <w:t xml:space="preserve">; </w:t>
      </w:r>
      <w:r w:rsidR="00D4256A" w:rsidRPr="000A38E5">
        <w:rPr>
          <w:lang w:val="uk-UA"/>
        </w:rPr>
        <w:t>і незважаючи на постійну присутність багатьох журналістів на місці подій</w:t>
      </w:r>
      <w:r w:rsidR="00D4256A" w:rsidRPr="000A38E5">
        <w:rPr>
          <w:lang w:val="ru-RU"/>
        </w:rPr>
        <w:t xml:space="preserve">, </w:t>
      </w:r>
      <w:r w:rsidR="00D4256A" w:rsidRPr="000A38E5">
        <w:rPr>
          <w:lang w:val="uk-UA"/>
        </w:rPr>
        <w:t>органи влади не намагалися зібрати їх фотографії та відеоматеріали</w:t>
      </w:r>
      <w:r w:rsidR="00D4256A" w:rsidRPr="000A38E5">
        <w:rPr>
          <w:lang w:val="ru-RU"/>
        </w:rPr>
        <w:t xml:space="preserve"> </w:t>
      </w:r>
      <w:r w:rsidR="00D4256A" w:rsidRPr="000A38E5">
        <w:rPr>
          <w:lang w:val="uk-UA"/>
        </w:rPr>
        <w:t>або допитати цих журналістів</w:t>
      </w:r>
      <w:r w:rsidR="00D4256A" w:rsidRPr="000A38E5">
        <w:rPr>
          <w:lang w:val="ru-RU"/>
        </w:rPr>
        <w:t xml:space="preserve">. </w:t>
      </w:r>
      <w:r w:rsidR="00D4256A" w:rsidRPr="000A38E5">
        <w:rPr>
          <w:lang w:val="uk-UA"/>
        </w:rPr>
        <w:t>Уряд не продемонстрував, що будь-кого з сорока восьми допитаних протестуючих</w:t>
      </w:r>
      <w:r w:rsidR="00D4256A" w:rsidRPr="000A38E5">
        <w:rPr>
          <w:lang w:val="ru-RU"/>
        </w:rPr>
        <w:t xml:space="preserve"> </w:t>
      </w:r>
      <w:r w:rsidR="00D4256A" w:rsidRPr="000A38E5">
        <w:rPr>
          <w:lang w:val="uk-UA"/>
        </w:rPr>
        <w:t>детально допитали стосовно нападів на сьомого та дев’ятого заявників</w:t>
      </w:r>
      <w:r w:rsidR="00D4256A" w:rsidRPr="000A38E5">
        <w:rPr>
          <w:lang w:val="ru-RU"/>
        </w:rPr>
        <w:t xml:space="preserve">. </w:t>
      </w:r>
      <w:r w:rsidR="00D4256A" w:rsidRPr="000A38E5">
        <w:rPr>
          <w:lang w:val="uk-UA"/>
        </w:rPr>
        <w:t>Прокуратура не розглянула відео та не здійснила ніяких дій для того, щоб знайти осіб, винних у нападах</w:t>
      </w:r>
      <w:r w:rsidR="00D4256A" w:rsidRPr="000A38E5">
        <w:rPr>
          <w:lang w:val="ru-RU"/>
        </w:rPr>
        <w:t xml:space="preserve">. </w:t>
      </w:r>
      <w:r w:rsidR="00D4256A" w:rsidRPr="000A38E5">
        <w:rPr>
          <w:lang w:val="uk-UA"/>
        </w:rPr>
        <w:t xml:space="preserve">Не було зроблено жодних кроків для ідентифікації та допиту лісорубів або осіб з відзнаками </w:t>
      </w:r>
      <w:proofErr w:type="spellStart"/>
      <w:r w:rsidR="00D4256A" w:rsidRPr="000A38E5">
        <w:rPr>
          <w:lang w:val="uk-UA"/>
        </w:rPr>
        <w:t>МО</w:t>
      </w:r>
      <w:proofErr w:type="spellEnd"/>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139</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Заявники вважали, що висновки розслідування були необґрунтованими</w:t>
      </w:r>
      <w:r w:rsidR="00D4256A" w:rsidRPr="000A38E5">
        <w:rPr>
          <w:lang w:val="ru-RU"/>
        </w:rPr>
        <w:t xml:space="preserve">, </w:t>
      </w:r>
      <w:r w:rsidR="00D4256A" w:rsidRPr="000A38E5">
        <w:rPr>
          <w:lang w:val="uk-UA"/>
        </w:rPr>
        <w:t>зокрема висновок, що в інциденті з бензопилами протестуючі</w:t>
      </w:r>
      <w:r w:rsidR="00D4256A" w:rsidRPr="000A38E5">
        <w:rPr>
          <w:lang w:val="ru-RU"/>
        </w:rPr>
        <w:t xml:space="preserve"> </w:t>
      </w:r>
      <w:r w:rsidR="00D4256A" w:rsidRPr="000A38E5">
        <w:rPr>
          <w:lang w:val="uk-UA"/>
        </w:rPr>
        <w:t>напали на працівників, а не навпаки</w:t>
      </w:r>
      <w:r w:rsidR="00D4256A" w:rsidRPr="000A38E5">
        <w:rPr>
          <w:i/>
          <w:lang w:val="ru-RU"/>
        </w:rPr>
        <w:t>.</w:t>
      </w:r>
      <w:r w:rsidR="00D4256A" w:rsidRPr="000A38E5">
        <w:rPr>
          <w:lang w:val="ru-RU"/>
        </w:rPr>
        <w:t xml:space="preserve"> </w:t>
      </w:r>
      <w:r w:rsidR="00D4256A" w:rsidRPr="000A38E5">
        <w:rPr>
          <w:lang w:val="uk-UA"/>
        </w:rPr>
        <w:t xml:space="preserve">Крім того, висновки, що працівники </w:t>
      </w:r>
      <w:proofErr w:type="spellStart"/>
      <w:r w:rsidR="00D4256A" w:rsidRPr="000A38E5">
        <w:rPr>
          <w:lang w:val="uk-UA"/>
        </w:rPr>
        <w:t>МО</w:t>
      </w:r>
      <w:proofErr w:type="spellEnd"/>
      <w:r w:rsidR="00D4256A" w:rsidRPr="000A38E5">
        <w:rPr>
          <w:lang w:val="uk-UA"/>
        </w:rPr>
        <w:t xml:space="preserve"> не приймали участь у нападах на сьомого та дев’ятого заявників,</w:t>
      </w:r>
      <w:r w:rsidR="00D4256A" w:rsidRPr="000A38E5">
        <w:rPr>
          <w:lang w:val="ru-RU"/>
        </w:rPr>
        <w:t xml:space="preserve"> </w:t>
      </w:r>
      <w:r w:rsidR="00D4256A" w:rsidRPr="000A38E5">
        <w:rPr>
          <w:lang w:val="uk-UA"/>
        </w:rPr>
        <w:t>були основані на неповному розслідуванні та необґрунтовані</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140</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Нарешті, заявники або не були проінформовані про хід розслідування</w:t>
      </w:r>
      <w:r w:rsidR="00D4256A" w:rsidRPr="000A38E5">
        <w:rPr>
          <w:lang w:val="ru-RU"/>
        </w:rPr>
        <w:t xml:space="preserve">, </w:t>
      </w:r>
      <w:r w:rsidR="00D4256A" w:rsidRPr="000A38E5">
        <w:rPr>
          <w:lang w:val="uk-UA"/>
        </w:rPr>
        <w:t>або були проінформовані зі значними затримками</w:t>
      </w:r>
      <w:r w:rsidR="00D4256A" w:rsidRPr="000A38E5">
        <w:rPr>
          <w:lang w:val="ru-RU"/>
        </w:rPr>
        <w:t xml:space="preserve">. </w:t>
      </w:r>
      <w:r w:rsidR="00D4256A" w:rsidRPr="000A38E5">
        <w:rPr>
          <w:lang w:val="uk-UA"/>
        </w:rPr>
        <w:t>Це стосувалося, зокрема, рішень від 9 та 20 серпня</w:t>
      </w:r>
      <w:r w:rsidR="00D4256A" w:rsidRPr="000A38E5">
        <w:rPr>
          <w:lang w:val="ru-RU"/>
        </w:rPr>
        <w:t xml:space="preserve"> 2010 року (</w:t>
      </w:r>
      <w:r w:rsidR="00D4256A" w:rsidRPr="000A38E5">
        <w:rPr>
          <w:lang w:val="uk-UA"/>
        </w:rPr>
        <w:t xml:space="preserve">див. пункти </w:t>
      </w:r>
      <w:fldSimple w:instr=" REF investigation_decision_9aug_obtained \h  \* MERGEFORMAT ">
        <w:r w:rsidR="00D4256A" w:rsidRPr="000A38E5">
          <w:rPr>
            <w:noProof/>
            <w:lang w:val="ru-RU"/>
          </w:rPr>
          <w:t>86</w:t>
        </w:r>
      </w:fldSimple>
      <w:r w:rsidR="00D4256A" w:rsidRPr="000A38E5">
        <w:rPr>
          <w:lang w:val="ru-RU"/>
        </w:rPr>
        <w:t xml:space="preserve"> </w:t>
      </w:r>
      <w:r w:rsidR="00D4256A" w:rsidRPr="000A38E5">
        <w:rPr>
          <w:lang w:val="uk-UA"/>
        </w:rPr>
        <w:t>та</w:t>
      </w:r>
      <w:r w:rsidR="00D4256A" w:rsidRPr="000A38E5">
        <w:rPr>
          <w:lang w:val="ru-RU"/>
        </w:rPr>
        <w:t xml:space="preserve"> </w:t>
      </w:r>
      <w:fldSimple w:instr=" REF investigation_decision_20aug \h  \* MERGEFORMAT ">
        <w:r w:rsidR="00D4256A" w:rsidRPr="000A38E5">
          <w:rPr>
            <w:noProof/>
            <w:lang w:val="ru-RU"/>
          </w:rPr>
          <w:t>88</w:t>
        </w:r>
      </w:fldSimple>
      <w:r w:rsidR="00D4256A" w:rsidRPr="000A38E5">
        <w:rPr>
          <w:lang w:val="ru-RU"/>
        </w:rPr>
        <w:t xml:space="preserve"> </w:t>
      </w:r>
      <w:r w:rsidR="00D4256A" w:rsidRPr="000A38E5">
        <w:rPr>
          <w:lang w:val="uk-UA"/>
        </w:rPr>
        <w:t>вище</w:t>
      </w:r>
      <w:r w:rsidR="00D4256A" w:rsidRPr="000A38E5">
        <w:rPr>
          <w:lang w:val="ru-RU"/>
        </w:rPr>
        <w:t>).</w:t>
      </w:r>
    </w:p>
    <w:p w:rsidR="00D4256A" w:rsidRPr="000A38E5" w:rsidRDefault="00D4256A" w:rsidP="00D4256A">
      <w:pPr>
        <w:pStyle w:val="ECHRHeading3"/>
        <w:rPr>
          <w:lang w:val="uk-UA"/>
        </w:rPr>
      </w:pPr>
      <w:r w:rsidRPr="000A38E5">
        <w:rPr>
          <w:lang w:val="ru-RU"/>
        </w:rPr>
        <w:t>2.</w:t>
      </w:r>
      <w:r w:rsidRPr="00E93710">
        <w:rPr>
          <w:lang w:val="ru-RU"/>
        </w:rPr>
        <w:t xml:space="preserve"> </w:t>
      </w:r>
      <w:r w:rsidRPr="000A38E5">
        <w:rPr>
          <w:lang w:val="uk-UA"/>
        </w:rPr>
        <w:t>Уряд</w:t>
      </w:r>
    </w:p>
    <w:p w:rsidR="00D4256A" w:rsidRPr="000A38E5" w:rsidRDefault="00D4256A" w:rsidP="00D4256A">
      <w:pPr>
        <w:pStyle w:val="ECHRHeading4"/>
        <w:rPr>
          <w:lang w:val="uk-UA"/>
        </w:rPr>
      </w:pPr>
      <w:r w:rsidRPr="000A38E5">
        <w:rPr>
          <w:lang w:val="ru-RU"/>
        </w:rPr>
        <w:t>(</w:t>
      </w:r>
      <w:r w:rsidRPr="000A38E5">
        <w:t>a</w:t>
      </w:r>
      <w:r w:rsidRPr="000A38E5">
        <w:rPr>
          <w:lang w:val="ru-RU"/>
        </w:rPr>
        <w:t>)</w:t>
      </w:r>
      <w:r w:rsidRPr="00E93710">
        <w:rPr>
          <w:lang w:val="ru-RU"/>
        </w:rPr>
        <w:t xml:space="preserve"> </w:t>
      </w:r>
      <w:proofErr w:type="spellStart"/>
      <w:r w:rsidRPr="000A38E5">
        <w:rPr>
          <w:lang w:val="uk-UA"/>
        </w:rPr>
        <w:t>Стверджуване</w:t>
      </w:r>
      <w:proofErr w:type="spellEnd"/>
      <w:r w:rsidRPr="000A38E5">
        <w:rPr>
          <w:lang w:val="uk-UA"/>
        </w:rPr>
        <w:t xml:space="preserve"> жорстоке поводження</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141</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 xml:space="preserve">Уряд стверджував, що питання </w:t>
      </w:r>
      <w:proofErr w:type="spellStart"/>
      <w:r w:rsidR="00D4256A" w:rsidRPr="000A38E5">
        <w:rPr>
          <w:lang w:val="uk-UA"/>
        </w:rPr>
        <w:t>стверджуваного</w:t>
      </w:r>
      <w:proofErr w:type="spellEnd"/>
      <w:r w:rsidR="00D4256A" w:rsidRPr="000A38E5">
        <w:rPr>
          <w:lang w:val="uk-UA"/>
        </w:rPr>
        <w:t xml:space="preserve"> нападу на третього заявника</w:t>
      </w:r>
      <w:r w:rsidR="00D4256A" w:rsidRPr="000A38E5">
        <w:rPr>
          <w:lang w:val="ru-RU"/>
        </w:rPr>
        <w:t xml:space="preserve"> </w:t>
      </w:r>
      <w:r w:rsidR="00D4256A" w:rsidRPr="000A38E5">
        <w:rPr>
          <w:lang w:val="uk-UA"/>
        </w:rPr>
        <w:t>розслідувалося прокуратурою</w:t>
      </w:r>
      <w:r w:rsidR="00D4256A" w:rsidRPr="000A38E5">
        <w:rPr>
          <w:lang w:val="ru-RU"/>
        </w:rPr>
        <w:t xml:space="preserve">. </w:t>
      </w:r>
      <w:r w:rsidR="00D4256A" w:rsidRPr="000A38E5">
        <w:rPr>
          <w:lang w:val="uk-UA"/>
        </w:rPr>
        <w:t>На основі, зокрема, відео та фотоматеріалів, наданих протестуючими</w:t>
      </w:r>
      <w:r w:rsidR="00D4256A" w:rsidRPr="000A38E5">
        <w:rPr>
          <w:lang w:val="ru-RU"/>
        </w:rPr>
        <w:t xml:space="preserve">, </w:t>
      </w:r>
      <w:r w:rsidR="00D4256A" w:rsidRPr="000A38E5">
        <w:rPr>
          <w:lang w:val="uk-UA"/>
        </w:rPr>
        <w:t>прокуратура ідентифікувала А. та К. як осіб, вказаних третім заявником</w:t>
      </w:r>
      <w:r w:rsidR="00D4256A" w:rsidRPr="000A38E5">
        <w:rPr>
          <w:lang w:val="ru-RU"/>
        </w:rPr>
        <w:t xml:space="preserve">, </w:t>
      </w:r>
      <w:r w:rsidR="00D4256A" w:rsidRPr="000A38E5">
        <w:rPr>
          <w:lang w:val="uk-UA"/>
        </w:rPr>
        <w:t>але дійшла висновку, що в їх діях не було складу злочину</w:t>
      </w:r>
      <w:r w:rsidR="00D4256A" w:rsidRPr="000A38E5">
        <w:rPr>
          <w:lang w:val="ru-RU"/>
        </w:rPr>
        <w:t xml:space="preserve">. </w:t>
      </w:r>
      <w:r w:rsidR="00D4256A" w:rsidRPr="000A38E5">
        <w:rPr>
          <w:lang w:val="uk-UA"/>
        </w:rPr>
        <w:t xml:space="preserve">Третій заявник не отримав ніяких травм, а </w:t>
      </w:r>
      <w:r w:rsidR="00D4256A" w:rsidRPr="000A38E5">
        <w:rPr>
          <w:lang w:val="uk-UA"/>
        </w:rPr>
        <w:lastRenderedPageBreak/>
        <w:t>його опис подій</w:t>
      </w:r>
      <w:r w:rsidR="00D4256A" w:rsidRPr="000A38E5">
        <w:rPr>
          <w:lang w:val="ru-RU"/>
        </w:rPr>
        <w:t xml:space="preserve"> </w:t>
      </w:r>
      <w:r w:rsidR="00D4256A" w:rsidRPr="000A38E5">
        <w:rPr>
          <w:lang w:val="uk-UA"/>
        </w:rPr>
        <w:t>не відповідав реальності</w:t>
      </w:r>
      <w:r w:rsidR="00D4256A" w:rsidRPr="000A38E5">
        <w:rPr>
          <w:lang w:val="ru-RU"/>
        </w:rPr>
        <w:t xml:space="preserve">. </w:t>
      </w:r>
      <w:r w:rsidR="00D4256A" w:rsidRPr="000A38E5">
        <w:rPr>
          <w:lang w:val="uk-UA"/>
        </w:rPr>
        <w:t>Уряд у цьому зв’язку навів опис подій, наданий А. та К.</w:t>
      </w:r>
      <w:r w:rsidR="00D4256A" w:rsidRPr="000A38E5">
        <w:rPr>
          <w:lang w:val="ru-RU"/>
        </w:rPr>
        <w:t xml:space="preserve"> </w:t>
      </w:r>
      <w:r w:rsidR="00D4256A" w:rsidRPr="000A38E5">
        <w:rPr>
          <w:lang w:val="uk-UA"/>
        </w:rPr>
        <w:t>в ході національного розслідування та дійшов висновку,</w:t>
      </w:r>
      <w:r w:rsidR="00D4256A" w:rsidRPr="000A38E5">
        <w:rPr>
          <w:lang w:val="ru-RU"/>
        </w:rPr>
        <w:t xml:space="preserve"> </w:t>
      </w:r>
      <w:r w:rsidR="00D4256A" w:rsidRPr="000A38E5">
        <w:rPr>
          <w:lang w:val="uk-UA"/>
        </w:rPr>
        <w:t>що їх твердження підтверджувалися відеозаписами подій</w:t>
      </w:r>
      <w:r w:rsidR="00D4256A" w:rsidRPr="000A38E5">
        <w:rPr>
          <w:lang w:val="ru-RU"/>
        </w:rPr>
        <w:t xml:space="preserve"> </w:t>
      </w:r>
      <w:r w:rsidR="00D4256A" w:rsidRPr="000A38E5">
        <w:rPr>
          <w:lang w:val="uk-UA"/>
        </w:rPr>
        <w:t>у матеріалах прокуратури</w:t>
      </w:r>
      <w:r w:rsidR="00D4256A" w:rsidRPr="000A38E5">
        <w:rPr>
          <w:lang w:val="ru-RU"/>
        </w:rPr>
        <w:t xml:space="preserve">, </w:t>
      </w:r>
      <w:r w:rsidR="00D4256A" w:rsidRPr="000A38E5">
        <w:rPr>
          <w:lang w:val="uk-UA"/>
        </w:rPr>
        <w:t>які демонстрували, що заявник сам підійшов до А, але той відступив, не загрожуючи заявникові бензопилою</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events_of_2june_2versions \h  \* MERGEFORMAT ">
        <w:r w:rsidR="00D4256A" w:rsidRPr="000A38E5">
          <w:rPr>
            <w:noProof/>
            <w:lang w:val="ru-RU"/>
          </w:rPr>
          <w:t>41</w:t>
        </w:r>
      </w:fldSimple>
      <w:r w:rsidR="00D4256A" w:rsidRPr="000A38E5">
        <w:rPr>
          <w:lang w:val="ru-RU"/>
        </w:rPr>
        <w:t xml:space="preserve"> </w:t>
      </w:r>
      <w:r w:rsidR="00D4256A" w:rsidRPr="000A38E5">
        <w:rPr>
          <w:lang w:val="uk-UA"/>
        </w:rPr>
        <w:t>вище</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142</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Скарги сьомого та дев’ятого заявника були необґрунтованими, оскільки їх опис подій</w:t>
      </w:r>
      <w:r w:rsidR="00D4256A" w:rsidRPr="000A38E5">
        <w:rPr>
          <w:lang w:val="ru-RU"/>
        </w:rPr>
        <w:t xml:space="preserve"> </w:t>
      </w:r>
      <w:r w:rsidR="00D4256A" w:rsidRPr="000A38E5">
        <w:rPr>
          <w:lang w:val="uk-UA"/>
        </w:rPr>
        <w:t>не давав підстав для чіткого висновку щодо походження їх травм</w:t>
      </w:r>
      <w:r w:rsidR="00D4256A" w:rsidRPr="000A38E5">
        <w:rPr>
          <w:lang w:val="ru-RU"/>
        </w:rPr>
        <w:t xml:space="preserve">. </w:t>
      </w:r>
      <w:r w:rsidR="00D4256A" w:rsidRPr="000A38E5">
        <w:rPr>
          <w:lang w:val="uk-UA"/>
        </w:rPr>
        <w:t>Зокрема, Уряд посилався на розпливчастість опису подій, представленого сьомим заявником в адміністративному суді</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admin_courts_trial \h  \* MERGEFORMAT ">
        <w:r w:rsidR="00D4256A" w:rsidRPr="000A38E5">
          <w:rPr>
            <w:noProof/>
            <w:lang w:val="ru-RU"/>
          </w:rPr>
          <w:t>90</w:t>
        </w:r>
      </w:fldSimple>
      <w:r w:rsidR="00D4256A" w:rsidRPr="000A38E5">
        <w:rPr>
          <w:lang w:val="ru-RU"/>
        </w:rPr>
        <w:t xml:space="preserve"> </w:t>
      </w:r>
      <w:r w:rsidR="00D4256A" w:rsidRPr="000A38E5">
        <w:rPr>
          <w:lang w:val="uk-UA"/>
        </w:rPr>
        <w:t>вище</w:t>
      </w:r>
      <w:r w:rsidR="00D4256A" w:rsidRPr="000A38E5">
        <w:rPr>
          <w:lang w:val="ru-RU"/>
        </w:rPr>
        <w:t>).</w:t>
      </w:r>
      <w:r w:rsidR="00D4256A" w:rsidRPr="000A38E5">
        <w:t> </w:t>
      </w:r>
      <w:r w:rsidR="00D4256A" w:rsidRPr="000A38E5">
        <w:rPr>
          <w:lang w:val="uk-UA"/>
        </w:rPr>
        <w:t>Було неможливо точно встановити, хто заподіяв травми заявникам, та чи це була особа, яку можна було вважати агентом держави, через неясний та непослідовний характер тверджень заявників</w:t>
      </w:r>
      <w:r w:rsidR="00D4256A" w:rsidRPr="000A38E5">
        <w:rPr>
          <w:lang w:val="ru-RU"/>
        </w:rPr>
        <w:t xml:space="preserve"> </w:t>
      </w:r>
      <w:r w:rsidR="00D4256A" w:rsidRPr="000A38E5">
        <w:rPr>
          <w:lang w:val="uk-UA"/>
        </w:rPr>
        <w:t>та хаотичні умови, за яких події відбулися</w:t>
      </w:r>
      <w:r w:rsidR="00D4256A" w:rsidRPr="000A38E5">
        <w:rPr>
          <w:lang w:val="ru-RU"/>
        </w:rPr>
        <w:t xml:space="preserve">. </w:t>
      </w:r>
      <w:r w:rsidR="00D4256A" w:rsidRPr="000A38E5">
        <w:rPr>
          <w:lang w:val="uk-UA"/>
        </w:rPr>
        <w:t>Крім того, заявники зазвичай не додавали доказів у цьому відношенні</w:t>
      </w:r>
      <w:r w:rsidR="00D4256A" w:rsidRPr="000A38E5">
        <w:rPr>
          <w:lang w:val="ru-RU"/>
        </w:rPr>
        <w:t xml:space="preserve">. </w:t>
      </w:r>
      <w:r w:rsidR="00D4256A" w:rsidRPr="000A38E5">
        <w:rPr>
          <w:lang w:val="uk-UA"/>
        </w:rPr>
        <w:t>Уряд цитував у цьому контексті справу</w:t>
      </w:r>
      <w:r w:rsidR="00D4256A" w:rsidRPr="000A38E5">
        <w:rPr>
          <w:lang w:val="ru-RU"/>
        </w:rPr>
        <w:t xml:space="preserve"> </w:t>
      </w:r>
      <w:proofErr w:type="spellStart"/>
      <w:r w:rsidR="00D4256A" w:rsidRPr="000A38E5">
        <w:rPr>
          <w:i/>
        </w:rPr>
        <w:t>Muradova</w:t>
      </w:r>
      <w:proofErr w:type="spellEnd"/>
      <w:r w:rsidR="00D4256A" w:rsidRPr="000A38E5">
        <w:rPr>
          <w:i/>
        </w:rPr>
        <w:t> v</w:t>
      </w:r>
      <w:r w:rsidR="00D4256A" w:rsidRPr="000A38E5">
        <w:rPr>
          <w:i/>
          <w:lang w:val="ru-RU"/>
        </w:rPr>
        <w:t>.</w:t>
      </w:r>
      <w:r w:rsidR="00D4256A" w:rsidRPr="000A38E5">
        <w:rPr>
          <w:i/>
        </w:rPr>
        <w:t> Azerbaijan</w:t>
      </w:r>
      <w:r w:rsidR="00D4256A" w:rsidRPr="000A38E5">
        <w:rPr>
          <w:lang w:val="ru-RU"/>
        </w:rPr>
        <w:t xml:space="preserve"> (</w:t>
      </w:r>
      <w:r w:rsidR="00D4256A" w:rsidRPr="000A38E5">
        <w:rPr>
          <w:lang w:val="uk-UA"/>
        </w:rPr>
        <w:t>№</w:t>
      </w:r>
      <w:r w:rsidR="00D4256A" w:rsidRPr="000A38E5">
        <w:t> </w:t>
      </w:r>
      <w:r w:rsidR="00D4256A" w:rsidRPr="000A38E5">
        <w:rPr>
          <w:lang w:val="ru-RU"/>
        </w:rPr>
        <w:t xml:space="preserve">22684/05, </w:t>
      </w:r>
      <w:r w:rsidR="00D4256A" w:rsidRPr="000A38E5">
        <w:rPr>
          <w:snapToGrid w:val="0"/>
          <w:lang w:val="ru-RU"/>
        </w:rPr>
        <w:t>§§</w:t>
      </w:r>
      <w:r w:rsidR="00D4256A" w:rsidRPr="000A38E5">
        <w:rPr>
          <w:snapToGrid w:val="0"/>
        </w:rPr>
        <w:t> </w:t>
      </w:r>
      <w:r w:rsidR="00D4256A" w:rsidRPr="000A38E5">
        <w:rPr>
          <w:snapToGrid w:val="0"/>
          <w:lang w:val="ru-RU"/>
        </w:rPr>
        <w:t xml:space="preserve">106 </w:t>
      </w:r>
      <w:r w:rsidR="00D4256A" w:rsidRPr="000A38E5">
        <w:rPr>
          <w:snapToGrid w:val="0"/>
          <w:lang w:val="uk-UA"/>
        </w:rPr>
        <w:t>та</w:t>
      </w:r>
      <w:r w:rsidR="00D4256A" w:rsidRPr="000A38E5">
        <w:rPr>
          <w:snapToGrid w:val="0"/>
          <w:lang w:val="ru-RU"/>
        </w:rPr>
        <w:t xml:space="preserve"> 107, 2 </w:t>
      </w:r>
      <w:r w:rsidR="00D4256A" w:rsidRPr="000A38E5">
        <w:rPr>
          <w:snapToGrid w:val="0"/>
          <w:lang w:val="uk-UA"/>
        </w:rPr>
        <w:t>квітня</w:t>
      </w:r>
      <w:r w:rsidR="00D4256A" w:rsidRPr="000A38E5">
        <w:rPr>
          <w:snapToGrid w:val="0"/>
          <w:lang w:val="ru-RU"/>
        </w:rPr>
        <w:t xml:space="preserve"> 2009)</w:t>
      </w:r>
      <w:r w:rsidR="00D4256A" w:rsidRPr="000A38E5">
        <w:rPr>
          <w:snapToGrid w:val="0"/>
          <w:lang w:val="uk-UA"/>
        </w:rPr>
        <w:t>,</w:t>
      </w:r>
      <w:r w:rsidR="00D4256A" w:rsidRPr="000A38E5">
        <w:rPr>
          <w:snapToGrid w:val="0"/>
          <w:lang w:val="ru-RU"/>
        </w:rPr>
        <w:t xml:space="preserve"> </w:t>
      </w:r>
      <w:r w:rsidR="00D4256A" w:rsidRPr="000A38E5">
        <w:rPr>
          <w:snapToGrid w:val="0"/>
          <w:lang w:val="uk-UA"/>
        </w:rPr>
        <w:t>в якій Суд визнав, що у контексті застосування сили для розгону демонстрації</w:t>
      </w:r>
      <w:r w:rsidR="00D4256A" w:rsidRPr="000A38E5">
        <w:rPr>
          <w:snapToGrid w:val="0"/>
          <w:lang w:val="ru-RU"/>
        </w:rPr>
        <w:t xml:space="preserve">, </w:t>
      </w:r>
      <w:r w:rsidR="00D4256A" w:rsidRPr="000A38E5">
        <w:rPr>
          <w:snapToGrid w:val="0"/>
          <w:lang w:val="uk-UA"/>
        </w:rPr>
        <w:t>тягар доведення полягав на заявникові, який повинен був продемонструвати,</w:t>
      </w:r>
      <w:r w:rsidR="00D4256A" w:rsidRPr="000A38E5">
        <w:rPr>
          <w:snapToGrid w:val="0"/>
          <w:lang w:val="ru-RU"/>
        </w:rPr>
        <w:t xml:space="preserve"> </w:t>
      </w:r>
      <w:r w:rsidR="00D4256A" w:rsidRPr="000A38E5">
        <w:rPr>
          <w:snapToGrid w:val="0"/>
          <w:lang w:val="uk-UA"/>
        </w:rPr>
        <w:t>що його травми стали результатом застосування сили поліцією</w:t>
      </w:r>
      <w:r w:rsidR="00D4256A" w:rsidRPr="000A38E5">
        <w:rPr>
          <w:snapToGrid w:val="0"/>
          <w:lang w:val="ru-RU"/>
        </w:rPr>
        <w:t xml:space="preserve">. </w:t>
      </w:r>
      <w:r w:rsidR="00D4256A" w:rsidRPr="000A38E5">
        <w:rPr>
          <w:snapToGrid w:val="0"/>
          <w:lang w:val="uk-UA"/>
        </w:rPr>
        <w:t>Заявник у тій справі виконав цю вимогу, в той час як заявники в даній справі її не виконали</w:t>
      </w:r>
      <w:r w:rsidR="00D4256A" w:rsidRPr="000A38E5">
        <w:rPr>
          <w:snapToGrid w:val="0"/>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143</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Зокрема, жодна з осіб, які були присутні на місці подій</w:t>
      </w:r>
      <w:r w:rsidR="00D4256A" w:rsidRPr="000A38E5">
        <w:rPr>
          <w:lang w:val="ru-RU"/>
        </w:rPr>
        <w:t xml:space="preserve"> (</w:t>
      </w:r>
      <w:r w:rsidR="00D4256A" w:rsidRPr="000A38E5">
        <w:rPr>
          <w:lang w:val="uk-UA"/>
        </w:rPr>
        <w:t>протестуючі, охоронці, робітники або міліціонери</w:t>
      </w:r>
      <w:r w:rsidR="00D4256A" w:rsidRPr="000A38E5">
        <w:rPr>
          <w:lang w:val="ru-RU"/>
        </w:rPr>
        <w:t xml:space="preserve">) </w:t>
      </w:r>
      <w:r w:rsidR="00D4256A" w:rsidRPr="000A38E5">
        <w:rPr>
          <w:lang w:val="uk-UA"/>
        </w:rPr>
        <w:t>не вказала, що сьомий та дев’ятий заявники постраждали від нападу</w:t>
      </w:r>
      <w:r w:rsidR="00D4256A" w:rsidRPr="000A38E5">
        <w:rPr>
          <w:lang w:val="ru-RU"/>
        </w:rPr>
        <w:t xml:space="preserve">, </w:t>
      </w:r>
      <w:r w:rsidR="00D4256A" w:rsidRPr="000A38E5">
        <w:rPr>
          <w:lang w:val="uk-UA"/>
        </w:rPr>
        <w:t>і тим більш, не вказала на винну сторону, якщо вона існувала</w:t>
      </w:r>
      <w:r w:rsidR="00D4256A" w:rsidRPr="000A38E5">
        <w:rPr>
          <w:lang w:val="ru-RU"/>
        </w:rPr>
        <w:t xml:space="preserve">. </w:t>
      </w:r>
      <w:r w:rsidR="00D4256A" w:rsidRPr="000A38E5">
        <w:rPr>
          <w:lang w:val="uk-UA"/>
        </w:rPr>
        <w:t>Надані заявниками медичні документи не демонстрували ані час отримання травм</w:t>
      </w:r>
      <w:r w:rsidR="00D4256A" w:rsidRPr="000A38E5">
        <w:rPr>
          <w:lang w:val="ru-RU"/>
        </w:rPr>
        <w:t xml:space="preserve">, </w:t>
      </w:r>
      <w:r w:rsidR="00D4256A" w:rsidRPr="000A38E5">
        <w:rPr>
          <w:lang w:val="uk-UA"/>
        </w:rPr>
        <w:t>ані характер їх отримання</w:t>
      </w:r>
      <w:r w:rsidR="00D4256A" w:rsidRPr="000A38E5">
        <w:rPr>
          <w:lang w:val="ru-RU"/>
        </w:rPr>
        <w:t xml:space="preserve">. </w:t>
      </w:r>
      <w:r w:rsidR="00D4256A" w:rsidRPr="000A38E5">
        <w:rPr>
          <w:lang w:val="uk-UA"/>
        </w:rPr>
        <w:t>Заявники не пройшли судово-медичну експертизу для встановлення цих фактів</w:t>
      </w:r>
      <w:r w:rsidR="00D4256A" w:rsidRPr="000A38E5">
        <w:rPr>
          <w:lang w:val="ru-RU"/>
        </w:rPr>
        <w:t xml:space="preserve">. </w:t>
      </w:r>
      <w:r w:rsidR="00D4256A" w:rsidRPr="000A38E5">
        <w:rPr>
          <w:lang w:val="uk-UA"/>
        </w:rPr>
        <w:t>Їх твердження були належним чином розслідувані,</w:t>
      </w:r>
      <w:r w:rsidR="00D4256A" w:rsidRPr="000A38E5">
        <w:rPr>
          <w:lang w:val="ru-RU"/>
        </w:rPr>
        <w:t xml:space="preserve"> </w:t>
      </w:r>
      <w:r w:rsidR="00D4256A" w:rsidRPr="000A38E5">
        <w:rPr>
          <w:lang w:val="uk-UA"/>
        </w:rPr>
        <w:t>і уповноважений орган, прокуратура, дійшов висновку, що вони необґрунтовані</w:t>
      </w:r>
      <w:r w:rsidR="00D4256A" w:rsidRPr="000A38E5">
        <w:rPr>
          <w:lang w:val="ru-RU"/>
        </w:rPr>
        <w:t>.</w:t>
      </w:r>
    </w:p>
    <w:p w:rsidR="00D4256A" w:rsidRPr="000A38E5" w:rsidRDefault="00D4256A" w:rsidP="00D4256A">
      <w:pPr>
        <w:pStyle w:val="ECHRHeading4"/>
        <w:rPr>
          <w:lang w:val="uk-UA"/>
        </w:rPr>
      </w:pPr>
      <w:r w:rsidRPr="000A38E5">
        <w:rPr>
          <w:lang w:val="ru-RU"/>
        </w:rPr>
        <w:t>(</w:t>
      </w:r>
      <w:r w:rsidRPr="000A38E5">
        <w:t>b</w:t>
      </w:r>
      <w:r w:rsidRPr="000A38E5">
        <w:rPr>
          <w:lang w:val="ru-RU"/>
        </w:rPr>
        <w:t>)</w:t>
      </w:r>
      <w:r w:rsidRPr="00E93710">
        <w:rPr>
          <w:lang w:val="ru-RU"/>
        </w:rPr>
        <w:t xml:space="preserve"> </w:t>
      </w:r>
      <w:r w:rsidRPr="000A38E5">
        <w:rPr>
          <w:lang w:val="uk-UA"/>
        </w:rPr>
        <w:t>Розслідування</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144</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Уряд стверджував, що розслідування тверджень заявників відповідало вимогам статті</w:t>
      </w:r>
      <w:r w:rsidR="00D4256A" w:rsidRPr="000A38E5">
        <w:rPr>
          <w:lang w:val="ru-RU"/>
        </w:rPr>
        <w:t xml:space="preserve"> 3. </w:t>
      </w:r>
      <w:r w:rsidR="00D4256A" w:rsidRPr="000A38E5">
        <w:rPr>
          <w:lang w:val="uk-UA"/>
        </w:rPr>
        <w:t>Розслідування було розпочато без затримок,</w:t>
      </w:r>
      <w:r w:rsidR="00D4256A" w:rsidRPr="000A38E5">
        <w:rPr>
          <w:lang w:val="ru-RU"/>
        </w:rPr>
        <w:t xml:space="preserve"> </w:t>
      </w:r>
      <w:r w:rsidR="00D4256A" w:rsidRPr="000A38E5">
        <w:rPr>
          <w:lang w:val="uk-UA"/>
        </w:rPr>
        <w:t>і перший свідок був допитаний 31 травня</w:t>
      </w:r>
      <w:r w:rsidR="00D4256A" w:rsidRPr="000A38E5">
        <w:rPr>
          <w:lang w:val="ru-RU"/>
        </w:rPr>
        <w:t xml:space="preserve"> 2010 року </w:t>
      </w:r>
      <w:r w:rsidR="00D4256A" w:rsidRPr="000A38E5">
        <w:rPr>
          <w:lang w:val="uk-UA"/>
        </w:rPr>
        <w:t>Органи влади допитали міліціонерів, працівників головного підрядника</w:t>
      </w:r>
      <w:r w:rsidR="00D4256A" w:rsidRPr="000A38E5">
        <w:rPr>
          <w:lang w:val="ru-RU"/>
        </w:rPr>
        <w:t xml:space="preserve"> </w:t>
      </w:r>
      <w:r w:rsidR="00D4256A" w:rsidRPr="000A38E5">
        <w:rPr>
          <w:lang w:val="uk-UA"/>
        </w:rPr>
        <w:t>та субпідрядників</w:t>
      </w:r>
      <w:r w:rsidR="00D4256A" w:rsidRPr="000A38E5">
        <w:rPr>
          <w:lang w:val="ru-RU"/>
        </w:rPr>
        <w:t xml:space="preserve">, </w:t>
      </w:r>
      <w:r w:rsidR="00D4256A" w:rsidRPr="000A38E5">
        <w:rPr>
          <w:lang w:val="uk-UA"/>
        </w:rPr>
        <w:t>сорок вісім протестуючих</w:t>
      </w:r>
      <w:r w:rsidR="00D4256A" w:rsidRPr="000A38E5">
        <w:rPr>
          <w:lang w:val="ru-RU"/>
        </w:rPr>
        <w:t xml:space="preserve">, </w:t>
      </w:r>
      <w:r w:rsidR="00D4256A" w:rsidRPr="000A38E5">
        <w:rPr>
          <w:lang w:val="uk-UA"/>
        </w:rPr>
        <w:t xml:space="preserve">працівників </w:t>
      </w:r>
      <w:proofErr w:type="spellStart"/>
      <w:r w:rsidR="00D4256A" w:rsidRPr="000A38E5">
        <w:rPr>
          <w:lang w:val="uk-UA"/>
        </w:rPr>
        <w:t>МО</w:t>
      </w:r>
      <w:proofErr w:type="spellEnd"/>
      <w:r w:rsidR="00D4256A" w:rsidRPr="000A38E5">
        <w:rPr>
          <w:lang w:val="uk-UA"/>
        </w:rPr>
        <w:t xml:space="preserve"> та інших охоронців</w:t>
      </w:r>
      <w:r w:rsidR="00D4256A" w:rsidRPr="000A38E5">
        <w:rPr>
          <w:lang w:val="ru-RU"/>
        </w:rPr>
        <w:t xml:space="preserve">, </w:t>
      </w:r>
      <w:r w:rsidR="00D4256A" w:rsidRPr="000A38E5">
        <w:rPr>
          <w:lang w:val="uk-UA"/>
        </w:rPr>
        <w:t>а також журналістів</w:t>
      </w:r>
      <w:r w:rsidR="00D4256A" w:rsidRPr="000A38E5">
        <w:rPr>
          <w:lang w:val="ru-RU"/>
        </w:rPr>
        <w:t xml:space="preserve">. </w:t>
      </w:r>
      <w:r w:rsidR="00D4256A" w:rsidRPr="000A38E5">
        <w:rPr>
          <w:lang w:val="uk-UA"/>
        </w:rPr>
        <w:t>Документи, які стосувалися видання дозволів на повалення дерев,</w:t>
      </w:r>
      <w:r w:rsidR="00D4256A" w:rsidRPr="000A38E5">
        <w:rPr>
          <w:lang w:val="ru-RU"/>
        </w:rPr>
        <w:t xml:space="preserve"> </w:t>
      </w:r>
      <w:r w:rsidR="00D4256A" w:rsidRPr="000A38E5">
        <w:rPr>
          <w:lang w:val="uk-UA"/>
        </w:rPr>
        <w:t>були зібрані та досліджені</w:t>
      </w:r>
      <w:r w:rsidR="00D4256A" w:rsidRPr="000A38E5">
        <w:rPr>
          <w:lang w:val="ru-RU"/>
        </w:rPr>
        <w:t xml:space="preserve">. </w:t>
      </w:r>
      <w:r w:rsidR="00D4256A" w:rsidRPr="000A38E5">
        <w:rPr>
          <w:lang w:val="uk-UA"/>
        </w:rPr>
        <w:t>Прокуратура ідентифікувала усіх працівників субпідрядника,</w:t>
      </w:r>
      <w:r w:rsidR="00D4256A" w:rsidRPr="000A38E5">
        <w:rPr>
          <w:lang w:val="ru-RU"/>
        </w:rPr>
        <w:t xml:space="preserve"> </w:t>
      </w:r>
      <w:r w:rsidR="00D4256A" w:rsidRPr="000A38E5">
        <w:rPr>
          <w:lang w:val="uk-UA"/>
        </w:rPr>
        <w:t>які мали право користуватися бензопилами</w:t>
      </w:r>
      <w:r w:rsidR="00D4256A" w:rsidRPr="000A38E5">
        <w:rPr>
          <w:lang w:val="ru-RU"/>
        </w:rPr>
        <w:t xml:space="preserve">, </w:t>
      </w:r>
      <w:r w:rsidR="00D4256A" w:rsidRPr="000A38E5">
        <w:rPr>
          <w:lang w:val="uk-UA"/>
        </w:rPr>
        <w:t>і два робітника, А. та К., були допитані</w:t>
      </w:r>
      <w:r w:rsidR="00D4256A" w:rsidRPr="000A38E5">
        <w:rPr>
          <w:lang w:val="ru-RU"/>
        </w:rPr>
        <w:t xml:space="preserve"> </w:t>
      </w:r>
      <w:r w:rsidR="00D4256A" w:rsidRPr="000A38E5">
        <w:rPr>
          <w:lang w:val="uk-UA"/>
        </w:rPr>
        <w:t>про твердження третього заявника</w:t>
      </w:r>
      <w:r w:rsidR="00D4256A" w:rsidRPr="000A38E5">
        <w:rPr>
          <w:lang w:val="ru-RU"/>
        </w:rPr>
        <w:t>.</w:t>
      </w:r>
      <w:r w:rsidR="00D4256A" w:rsidRPr="000A38E5">
        <w:t> </w:t>
      </w:r>
      <w:r w:rsidR="00D4256A" w:rsidRPr="000A38E5">
        <w:rPr>
          <w:lang w:val="uk-UA"/>
        </w:rPr>
        <w:t>Розслідування завершилося оперативно</w:t>
      </w:r>
      <w:r w:rsidR="00D4256A" w:rsidRPr="000A38E5">
        <w:rPr>
          <w:lang w:val="ru-RU"/>
        </w:rPr>
        <w:t>.</w:t>
      </w:r>
      <w:r w:rsidR="00D4256A" w:rsidRPr="000A38E5">
        <w:t> </w:t>
      </w:r>
      <w:r w:rsidR="00D4256A" w:rsidRPr="000A38E5">
        <w:rPr>
          <w:lang w:val="uk-UA"/>
        </w:rPr>
        <w:t>Хоча заявники скаржилися, що повноцінні кримінальні провадження не були порушені</w:t>
      </w:r>
      <w:r w:rsidR="00D4256A" w:rsidRPr="000A38E5">
        <w:rPr>
          <w:lang w:val="ru-RU"/>
        </w:rPr>
        <w:t xml:space="preserve">, </w:t>
      </w:r>
      <w:r w:rsidR="00D4256A" w:rsidRPr="000A38E5">
        <w:rPr>
          <w:lang w:val="uk-UA"/>
        </w:rPr>
        <w:t>вони не вказали слідчі заходи, які не були здійснені в результаті цього</w:t>
      </w:r>
      <w:r w:rsidR="00D4256A" w:rsidRPr="000A38E5">
        <w:rPr>
          <w:lang w:val="ru-RU"/>
        </w:rPr>
        <w:t>.</w:t>
      </w:r>
    </w:p>
    <w:p w:rsidR="00D4256A" w:rsidRPr="000A38E5" w:rsidRDefault="00D4256A" w:rsidP="00D4256A">
      <w:pPr>
        <w:pStyle w:val="ECHRHeading2"/>
        <w:rPr>
          <w:lang w:val="uk-UA"/>
        </w:rPr>
      </w:pPr>
      <w:r w:rsidRPr="000A38E5">
        <w:t>B</w:t>
      </w:r>
      <w:r w:rsidRPr="000A38E5">
        <w:rPr>
          <w:lang w:val="ru-RU"/>
        </w:rPr>
        <w:t>.</w:t>
      </w:r>
      <w:r w:rsidRPr="00E93710">
        <w:rPr>
          <w:lang w:val="ru-RU"/>
        </w:rPr>
        <w:t xml:space="preserve"> </w:t>
      </w:r>
      <w:r w:rsidRPr="000A38E5">
        <w:rPr>
          <w:lang w:val="uk-UA"/>
        </w:rPr>
        <w:t>Оцінка Суду</w:t>
      </w:r>
    </w:p>
    <w:p w:rsidR="00D4256A" w:rsidRPr="000A38E5" w:rsidRDefault="00D4256A" w:rsidP="00D4256A">
      <w:pPr>
        <w:pStyle w:val="ECHRHeading3"/>
        <w:rPr>
          <w:lang w:val="uk-UA"/>
        </w:rPr>
      </w:pPr>
      <w:r w:rsidRPr="000A38E5">
        <w:rPr>
          <w:lang w:val="ru-RU"/>
        </w:rPr>
        <w:t>1.</w:t>
      </w:r>
      <w:r w:rsidRPr="00E93710">
        <w:rPr>
          <w:lang w:val="ru-RU"/>
        </w:rPr>
        <w:t xml:space="preserve"> </w:t>
      </w:r>
      <w:r w:rsidRPr="000A38E5">
        <w:rPr>
          <w:lang w:val="uk-UA"/>
        </w:rPr>
        <w:t>Прийнятність</w:t>
      </w:r>
    </w:p>
    <w:p w:rsidR="00D4256A" w:rsidRPr="000A38E5" w:rsidRDefault="00D4256A" w:rsidP="00D4256A">
      <w:pPr>
        <w:pStyle w:val="ECHRHeading4"/>
        <w:rPr>
          <w:lang w:val="uk-UA"/>
        </w:rPr>
      </w:pPr>
      <w:r w:rsidRPr="000A38E5">
        <w:rPr>
          <w:lang w:val="uk-UA"/>
        </w:rPr>
        <w:t>(</w:t>
      </w:r>
      <w:r w:rsidRPr="000A38E5">
        <w:t>a</w:t>
      </w:r>
      <w:r w:rsidRPr="000A38E5">
        <w:rPr>
          <w:lang w:val="uk-UA"/>
        </w:rPr>
        <w:t>)</w:t>
      </w:r>
      <w:r w:rsidRPr="00E93710">
        <w:rPr>
          <w:lang w:val="ru-RU"/>
        </w:rPr>
        <w:t xml:space="preserve"> </w:t>
      </w:r>
      <w:r w:rsidRPr="000A38E5">
        <w:rPr>
          <w:lang w:val="uk-UA"/>
        </w:rPr>
        <w:t>Третій заявник</w:t>
      </w:r>
    </w:p>
    <w:p w:rsidR="00D4256A" w:rsidRPr="000A38E5" w:rsidRDefault="004E7608" w:rsidP="00D4256A">
      <w:pPr>
        <w:pStyle w:val="ECHRPara"/>
        <w:rPr>
          <w:lang w:val="uk-UA"/>
        </w:rPr>
      </w:pPr>
      <w:r w:rsidRPr="000A38E5">
        <w:fldChar w:fldCharType="begin"/>
      </w:r>
      <w:r w:rsidR="00D4256A" w:rsidRPr="000A38E5">
        <w:rPr>
          <w:lang w:val="uk-UA"/>
        </w:rPr>
        <w:instrText xml:space="preserve"> </w:instrText>
      </w:r>
      <w:r w:rsidR="00D4256A" w:rsidRPr="000A38E5">
        <w:instrText>SEQ</w:instrText>
      </w:r>
      <w:r w:rsidR="00D4256A" w:rsidRPr="000A38E5">
        <w:rPr>
          <w:lang w:val="uk-UA"/>
        </w:rPr>
        <w:instrText xml:space="preserve"> </w:instrText>
      </w:r>
      <w:r w:rsidR="00D4256A" w:rsidRPr="000A38E5">
        <w:instrText>level</w:instrText>
      </w:r>
      <w:r w:rsidR="00D4256A" w:rsidRPr="000A38E5">
        <w:rPr>
          <w:lang w:val="uk-UA"/>
        </w:rPr>
        <w:instrText>0 \*</w:instrText>
      </w:r>
      <w:r w:rsidR="00D4256A" w:rsidRPr="000A38E5">
        <w:instrText>arabic</w:instrText>
      </w:r>
      <w:r w:rsidR="00D4256A" w:rsidRPr="000A38E5">
        <w:rPr>
          <w:lang w:val="uk-UA"/>
        </w:rPr>
        <w:instrText xml:space="preserve"> </w:instrText>
      </w:r>
      <w:r w:rsidRPr="000A38E5">
        <w:fldChar w:fldCharType="separate"/>
      </w:r>
      <w:r w:rsidR="00D4256A" w:rsidRPr="000A38E5">
        <w:rPr>
          <w:noProof/>
          <w:lang w:val="ru-RU"/>
        </w:rPr>
        <w:t>145</w:t>
      </w:r>
      <w:r w:rsidRPr="000A38E5">
        <w:fldChar w:fldCharType="end"/>
      </w:r>
      <w:r w:rsidR="00D4256A" w:rsidRPr="000A38E5">
        <w:rPr>
          <w:lang w:val="uk-UA"/>
        </w:rPr>
        <w:t>.</w:t>
      </w:r>
      <w:r w:rsidR="00D4256A" w:rsidRPr="00E93710">
        <w:rPr>
          <w:lang w:val="ru-RU"/>
        </w:rPr>
        <w:t xml:space="preserve"> </w:t>
      </w:r>
      <w:r w:rsidR="00D4256A" w:rsidRPr="000A38E5">
        <w:rPr>
          <w:lang w:val="uk-UA"/>
        </w:rPr>
        <w:t>Що стосується третього заявника, Суд не вбачає підстав ставити під сумнів висновок національних органів влади про те, що 2 червня 2010 року він активно підійшов до працюючої бензопили, а робітник, який її використовував, не загрожував йому. Відеозапис, на який спирався заявник, щоб поставити це під сумнів,</w:t>
      </w:r>
      <w:r w:rsidR="00D4256A" w:rsidRPr="000A38E5">
        <w:rPr>
          <w:lang w:val="ru-RU"/>
        </w:rPr>
        <w:t xml:space="preserve"> </w:t>
      </w:r>
      <w:r w:rsidR="00D4256A" w:rsidRPr="000A38E5">
        <w:rPr>
          <w:lang w:val="uk-UA"/>
        </w:rPr>
        <w:t>навпаки, підтверджує оцінку ситуації, надану Урядом, а не заявником</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video_2_June \h  \* MERGEFORMAT ">
        <w:r w:rsidR="00D4256A" w:rsidRPr="000A38E5">
          <w:rPr>
            <w:noProof/>
            <w:lang w:val="ru-RU"/>
          </w:rPr>
          <w:t>42</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Крім того, оцінка національних органів стосовно того, що третій заявник навмисно</w:t>
      </w:r>
      <w:r w:rsidR="00D4256A" w:rsidRPr="000A38E5">
        <w:rPr>
          <w:lang w:val="ru-RU"/>
        </w:rPr>
        <w:t xml:space="preserve"> </w:t>
      </w:r>
      <w:r w:rsidR="00D4256A" w:rsidRPr="000A38E5">
        <w:rPr>
          <w:lang w:val="uk-UA"/>
        </w:rPr>
        <w:t>поставив себе під загрозу,</w:t>
      </w:r>
      <w:r w:rsidR="00D4256A" w:rsidRPr="000A38E5">
        <w:rPr>
          <w:lang w:val="ru-RU"/>
        </w:rPr>
        <w:t xml:space="preserve"> </w:t>
      </w:r>
      <w:r w:rsidR="00D4256A" w:rsidRPr="000A38E5">
        <w:rPr>
          <w:lang w:val="uk-UA"/>
        </w:rPr>
        <w:t>відповідала поведінці протестуючих, яка була показана на інших відео про інциденти у парку ім. Горького, наданих самими заявниками: як видається, їх тактика полягала у тому, щоб стати між робітниками з бензопилами та іншим обладнанням і деревами (див. докази подій 24, 25</w:t>
      </w:r>
      <w:r w:rsidR="00D4256A" w:rsidRPr="000A38E5">
        <w:t> </w:t>
      </w:r>
      <w:r w:rsidR="00D4256A" w:rsidRPr="000A38E5">
        <w:rPr>
          <w:lang w:val="uk-UA"/>
        </w:rPr>
        <w:t xml:space="preserve">та 27 травня у пунктах </w:t>
      </w:r>
      <w:fldSimple w:instr=" REF video_24_May \h  \* MERGEFORMAT ">
        <w:r w:rsidR="00D4256A" w:rsidRPr="000A38E5">
          <w:rPr>
            <w:noProof/>
            <w:lang w:val="ru-RU"/>
          </w:rPr>
          <w:t>34</w:t>
        </w:r>
      </w:fldSimple>
      <w:r w:rsidR="00D4256A" w:rsidRPr="000A38E5">
        <w:rPr>
          <w:lang w:val="uk-UA"/>
        </w:rPr>
        <w:t xml:space="preserve">, </w:t>
      </w:r>
      <w:fldSimple w:instr=" REF video_25_May \h  \* MERGEFORMAT ">
        <w:r w:rsidR="00D4256A" w:rsidRPr="000A38E5">
          <w:rPr>
            <w:noProof/>
            <w:lang w:val="ru-RU"/>
          </w:rPr>
          <w:t>35</w:t>
        </w:r>
      </w:fldSimple>
      <w:r w:rsidR="00D4256A" w:rsidRPr="000A38E5">
        <w:rPr>
          <w:lang w:val="uk-UA"/>
        </w:rPr>
        <w:t xml:space="preserve"> та </w:t>
      </w:r>
      <w:fldSimple w:instr=" REF video_27_May \h  \* MERGEFORMAT ">
        <w:r w:rsidR="00D4256A" w:rsidRPr="000A38E5">
          <w:rPr>
            <w:noProof/>
            <w:lang w:val="ru-RU"/>
          </w:rPr>
          <w:t>38</w:t>
        </w:r>
      </w:fldSimple>
      <w:r w:rsidR="00D4256A" w:rsidRPr="000A38E5">
        <w:rPr>
          <w:lang w:val="uk-UA"/>
        </w:rPr>
        <w:t xml:space="preserve"> вище). У будь-якому випадку, принаймні, матеріали справи не містять переконливих елементів, які б </w:t>
      </w:r>
      <w:r w:rsidR="00D4256A" w:rsidRPr="000A38E5">
        <w:rPr>
          <w:lang w:val="uk-UA"/>
        </w:rPr>
        <w:lastRenderedPageBreak/>
        <w:t>дозволили Суду поставити під сумнів висновки національних органів влади стосовно інциденту між А. та третім заявником.</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146</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За таких обставин Суд вважає встановленим, що третій заявник</w:t>
      </w:r>
      <w:r w:rsidR="00D4256A" w:rsidRPr="000A38E5">
        <w:rPr>
          <w:lang w:val="ru-RU"/>
        </w:rPr>
        <w:t xml:space="preserve"> </w:t>
      </w:r>
      <w:r w:rsidR="00D4256A" w:rsidRPr="000A38E5">
        <w:rPr>
          <w:lang w:val="uk-UA"/>
        </w:rPr>
        <w:t>підійшов на небезпечну дистанцію до працюючої бензопили</w:t>
      </w:r>
      <w:r w:rsidR="00D4256A" w:rsidRPr="000A38E5">
        <w:rPr>
          <w:lang w:val="ru-RU"/>
        </w:rPr>
        <w:t xml:space="preserve"> </w:t>
      </w:r>
      <w:r w:rsidR="00D4256A" w:rsidRPr="000A38E5">
        <w:rPr>
          <w:lang w:val="uk-UA"/>
        </w:rPr>
        <w:t>добровільно</w:t>
      </w:r>
      <w:r w:rsidR="00D4256A" w:rsidRPr="000A38E5">
        <w:rPr>
          <w:lang w:val="ru-RU"/>
        </w:rPr>
        <w:t xml:space="preserve">. </w:t>
      </w:r>
      <w:r w:rsidR="00D4256A" w:rsidRPr="000A38E5">
        <w:rPr>
          <w:lang w:val="uk-UA"/>
        </w:rPr>
        <w:t>Тому його ризик потрапляння до небезпеки не може вважатися результатом дій А</w:t>
      </w:r>
      <w:r w:rsidR="00D4256A" w:rsidRPr="000A38E5">
        <w:rPr>
          <w:lang w:val="ru-RU"/>
        </w:rPr>
        <w:t xml:space="preserve">. </w:t>
      </w:r>
      <w:r w:rsidR="00D4256A" w:rsidRPr="000A38E5">
        <w:rPr>
          <w:lang w:val="uk-UA"/>
        </w:rPr>
        <w:t>Дійсно, А. міг негайно вимкнути свою бензопилу, коли підійшов заявник та інші протестуючі</w:t>
      </w:r>
      <w:r w:rsidR="00D4256A" w:rsidRPr="000A38E5">
        <w:rPr>
          <w:lang w:val="ru-RU"/>
        </w:rPr>
        <w:t xml:space="preserve">. </w:t>
      </w:r>
      <w:r w:rsidR="00D4256A" w:rsidRPr="000A38E5">
        <w:rPr>
          <w:lang w:val="uk-UA"/>
        </w:rPr>
        <w:t>Однак, беручи до уваги напружену атмосферу</w:t>
      </w:r>
      <w:r w:rsidR="00D4256A" w:rsidRPr="000A38E5">
        <w:rPr>
          <w:lang w:val="ru-RU"/>
        </w:rPr>
        <w:t xml:space="preserve">, </w:t>
      </w:r>
      <w:r w:rsidR="00D4256A" w:rsidRPr="000A38E5">
        <w:rPr>
          <w:lang w:val="uk-UA"/>
        </w:rPr>
        <w:t>про яку говорять матеріали справи</w:t>
      </w:r>
      <w:r w:rsidR="00D4256A" w:rsidRPr="000A38E5">
        <w:rPr>
          <w:lang w:val="ru-RU"/>
        </w:rPr>
        <w:t xml:space="preserve">, </w:t>
      </w:r>
      <w:r w:rsidR="00D4256A" w:rsidRPr="000A38E5">
        <w:rPr>
          <w:lang w:val="uk-UA"/>
        </w:rPr>
        <w:t>Суд не готовий поставити під сумнів оцінку з боку національних органів цього рішення робітника та їх думку,</w:t>
      </w:r>
      <w:r w:rsidR="00D4256A" w:rsidRPr="000A38E5">
        <w:rPr>
          <w:lang w:val="ru-RU"/>
        </w:rPr>
        <w:t xml:space="preserve"> </w:t>
      </w:r>
      <w:r w:rsidR="00D4256A" w:rsidRPr="000A38E5">
        <w:rPr>
          <w:lang w:val="uk-UA"/>
        </w:rPr>
        <w:t>що він сам міг відчувати загрозу через поведінку заявника</w:t>
      </w:r>
      <w:r w:rsidR="00D4256A" w:rsidRPr="000A38E5">
        <w:rPr>
          <w:lang w:val="ru-RU"/>
        </w:rPr>
        <w:t xml:space="preserve">. </w:t>
      </w:r>
      <w:r w:rsidR="00D4256A" w:rsidRPr="000A38E5">
        <w:rPr>
          <w:lang w:val="uk-UA"/>
        </w:rPr>
        <w:t>У будь-якому випадку, третій заявник міг уникнути будь-якого ризику, який міг стати результатом цієї ситуації, якщо б він відступив</w:t>
      </w:r>
      <w:r w:rsidR="00D4256A" w:rsidRPr="000A38E5">
        <w:rPr>
          <w:lang w:val="ru-RU"/>
        </w:rPr>
        <w:t xml:space="preserve">. </w:t>
      </w:r>
      <w:r w:rsidR="00D4256A" w:rsidRPr="000A38E5">
        <w:rPr>
          <w:lang w:val="uk-UA"/>
        </w:rPr>
        <w:t>Нарешті, важливо, що ситуація тривала лише декілька секунд</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147</w:t>
      </w:r>
      <w:r w:rsidRPr="000A38E5">
        <w:fldChar w:fldCharType="end"/>
      </w:r>
      <w:r w:rsidR="00D4256A" w:rsidRPr="000A38E5">
        <w:rPr>
          <w:lang w:val="ru-RU"/>
        </w:rPr>
        <w:t>.</w:t>
      </w:r>
      <w:r w:rsidR="00D4256A" w:rsidRPr="00E93710">
        <w:rPr>
          <w:lang w:val="ru-RU"/>
        </w:rPr>
        <w:t xml:space="preserve"> </w:t>
      </w:r>
      <w:r w:rsidR="00D4256A" w:rsidRPr="000A38E5">
        <w:rPr>
          <w:lang w:val="uk-UA"/>
        </w:rPr>
        <w:t>Відповідно, скарга третього заявника є явно необґрунтованою та повинна бути відхилена</w:t>
      </w:r>
      <w:r w:rsidR="00D4256A" w:rsidRPr="000A38E5">
        <w:rPr>
          <w:lang w:val="ru-RU"/>
        </w:rPr>
        <w:t xml:space="preserve">, </w:t>
      </w:r>
      <w:r w:rsidR="00D4256A" w:rsidRPr="000A38E5">
        <w:rPr>
          <w:lang w:val="uk-UA"/>
        </w:rPr>
        <w:t>відповідно до статті</w:t>
      </w:r>
      <w:r w:rsidR="00D4256A" w:rsidRPr="000A38E5">
        <w:rPr>
          <w:lang w:val="ru-RU"/>
        </w:rPr>
        <w:t xml:space="preserve"> 35 §§ 3 (</w:t>
      </w:r>
      <w:r w:rsidR="00D4256A" w:rsidRPr="000A38E5">
        <w:t>a</w:t>
      </w:r>
      <w:r w:rsidR="00D4256A" w:rsidRPr="000A38E5">
        <w:rPr>
          <w:lang w:val="ru-RU"/>
        </w:rPr>
        <w:t xml:space="preserve">) </w:t>
      </w:r>
      <w:r w:rsidR="00D4256A" w:rsidRPr="000A38E5">
        <w:rPr>
          <w:lang w:val="uk-UA"/>
        </w:rPr>
        <w:t>та 4 Конвенції</w:t>
      </w:r>
      <w:r w:rsidR="00D4256A" w:rsidRPr="000A38E5">
        <w:rPr>
          <w:lang w:val="ru-RU"/>
        </w:rPr>
        <w:t>.</w:t>
      </w:r>
    </w:p>
    <w:p w:rsidR="00D4256A" w:rsidRPr="000A38E5" w:rsidRDefault="00D4256A" w:rsidP="00D4256A">
      <w:pPr>
        <w:pStyle w:val="ECHRHeading4"/>
        <w:rPr>
          <w:lang w:val="uk-UA"/>
        </w:rPr>
      </w:pPr>
      <w:r w:rsidRPr="000A38E5">
        <w:rPr>
          <w:lang w:val="ru-RU"/>
        </w:rPr>
        <w:t>(</w:t>
      </w:r>
      <w:r w:rsidRPr="000A38E5">
        <w:t>b</w:t>
      </w:r>
      <w:r w:rsidRPr="000A38E5">
        <w:rPr>
          <w:lang w:val="ru-RU"/>
        </w:rPr>
        <w:t>)</w:t>
      </w:r>
      <w:r w:rsidRPr="00E93710">
        <w:rPr>
          <w:lang w:val="ru-RU"/>
        </w:rPr>
        <w:t xml:space="preserve"> </w:t>
      </w:r>
      <w:r w:rsidRPr="000A38E5">
        <w:rPr>
          <w:lang w:val="uk-UA"/>
        </w:rPr>
        <w:t>Сьомий та дев’ятий заявники</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148</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На відміну від попереднього, Суд зазначає, що скарги сьомого та дев’ятого заявників відповідно до статті</w:t>
      </w:r>
      <w:r w:rsidR="00D4256A" w:rsidRPr="000A38E5">
        <w:rPr>
          <w:lang w:val="ru-RU"/>
        </w:rPr>
        <w:t xml:space="preserve"> 3 </w:t>
      </w:r>
      <w:r w:rsidR="00D4256A" w:rsidRPr="000A38E5">
        <w:rPr>
          <w:lang w:val="uk-UA"/>
        </w:rPr>
        <w:t>не є явно необґрунтованими у розумінні статті</w:t>
      </w:r>
      <w:r w:rsidR="00D4256A" w:rsidRPr="000A38E5">
        <w:rPr>
          <w:lang w:val="ru-RU"/>
        </w:rPr>
        <w:t xml:space="preserve"> 35 § 3 (</w:t>
      </w:r>
      <w:r w:rsidR="00D4256A" w:rsidRPr="000A38E5">
        <w:t>a</w:t>
      </w:r>
      <w:r w:rsidR="00D4256A" w:rsidRPr="000A38E5">
        <w:rPr>
          <w:lang w:val="ru-RU"/>
        </w:rPr>
        <w:t xml:space="preserve">) </w:t>
      </w:r>
      <w:r w:rsidR="00D4256A" w:rsidRPr="000A38E5">
        <w:rPr>
          <w:lang w:val="uk-UA"/>
        </w:rPr>
        <w:t>Конвенції</w:t>
      </w:r>
      <w:r w:rsidR="00D4256A" w:rsidRPr="000A38E5">
        <w:rPr>
          <w:lang w:val="ru-RU"/>
        </w:rPr>
        <w:t xml:space="preserve">. </w:t>
      </w:r>
      <w:r w:rsidR="00D4256A" w:rsidRPr="000A38E5">
        <w:rPr>
          <w:lang w:val="uk-UA"/>
        </w:rPr>
        <w:t>Він також зазначає, що вони не є неприйнятними за будь-яких інших підстав</w:t>
      </w:r>
      <w:r w:rsidR="00D4256A" w:rsidRPr="000A38E5">
        <w:rPr>
          <w:lang w:val="ru-RU"/>
        </w:rPr>
        <w:t xml:space="preserve">. </w:t>
      </w:r>
      <w:r w:rsidR="00D4256A" w:rsidRPr="000A38E5">
        <w:rPr>
          <w:lang w:val="uk-UA"/>
        </w:rPr>
        <w:t>Тому ця частина заяви повинна бути оголошена прийнятною</w:t>
      </w:r>
      <w:r w:rsidR="00D4256A" w:rsidRPr="000A38E5">
        <w:rPr>
          <w:lang w:val="ru-RU"/>
        </w:rPr>
        <w:t>.</w:t>
      </w:r>
    </w:p>
    <w:p w:rsidR="00D4256A" w:rsidRPr="000A38E5" w:rsidRDefault="00D4256A" w:rsidP="00D4256A">
      <w:pPr>
        <w:pStyle w:val="ECHRHeading3"/>
        <w:rPr>
          <w:lang w:val="uk-UA"/>
        </w:rPr>
      </w:pPr>
      <w:r w:rsidRPr="000A38E5">
        <w:rPr>
          <w:lang w:val="ru-RU"/>
        </w:rPr>
        <w:t>2.</w:t>
      </w:r>
      <w:r w:rsidRPr="00E93710">
        <w:rPr>
          <w:lang w:val="ru-RU"/>
        </w:rPr>
        <w:t xml:space="preserve"> </w:t>
      </w:r>
      <w:r w:rsidRPr="000A38E5">
        <w:rPr>
          <w:lang w:val="uk-UA"/>
        </w:rPr>
        <w:t>Суть справи</w:t>
      </w:r>
    </w:p>
    <w:p w:rsidR="00D4256A" w:rsidRPr="000A38E5" w:rsidRDefault="00D4256A" w:rsidP="00D4256A">
      <w:pPr>
        <w:pStyle w:val="ECHRHeading4"/>
        <w:rPr>
          <w:lang w:val="uk-UA"/>
        </w:rPr>
      </w:pPr>
      <w:r w:rsidRPr="000A38E5">
        <w:rPr>
          <w:lang w:val="ru-RU"/>
        </w:rPr>
        <w:t>(</w:t>
      </w:r>
      <w:r w:rsidRPr="000A38E5">
        <w:t>a</w:t>
      </w:r>
      <w:r w:rsidRPr="000A38E5">
        <w:rPr>
          <w:lang w:val="ru-RU"/>
        </w:rPr>
        <w:t>)</w:t>
      </w:r>
      <w:r w:rsidRPr="00E93710">
        <w:rPr>
          <w:lang w:val="ru-RU"/>
        </w:rPr>
        <w:t xml:space="preserve"> </w:t>
      </w:r>
      <w:r w:rsidRPr="000A38E5">
        <w:rPr>
          <w:lang w:val="uk-UA"/>
        </w:rPr>
        <w:t>Матеріальний аспект скарги</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149</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Суд повторює, що жорстоке поводження повинно досягти мінімального рівня</w:t>
      </w:r>
      <w:r w:rsidR="00D4256A" w:rsidRPr="000A38E5">
        <w:rPr>
          <w:lang w:val="ru-RU"/>
        </w:rPr>
        <w:t xml:space="preserve"> </w:t>
      </w:r>
      <w:r w:rsidR="00D4256A" w:rsidRPr="000A38E5">
        <w:rPr>
          <w:lang w:val="uk-UA"/>
        </w:rPr>
        <w:t>жорстокості, аби потрапити до сфери дії статті</w:t>
      </w:r>
      <w:r w:rsidR="00D4256A" w:rsidRPr="000A38E5">
        <w:rPr>
          <w:lang w:val="ru-RU"/>
        </w:rPr>
        <w:t xml:space="preserve"> 3. </w:t>
      </w:r>
      <w:r w:rsidR="00D4256A" w:rsidRPr="000A38E5">
        <w:rPr>
          <w:lang w:val="uk-UA"/>
        </w:rPr>
        <w:t>Оцінка цього мінімуму є відносною</w:t>
      </w:r>
      <w:r w:rsidR="00D4256A" w:rsidRPr="000A38E5">
        <w:rPr>
          <w:lang w:val="ru-RU"/>
        </w:rPr>
        <w:t xml:space="preserve">: </w:t>
      </w:r>
      <w:r w:rsidR="00D4256A" w:rsidRPr="000A38E5">
        <w:rPr>
          <w:lang w:val="uk-UA"/>
        </w:rPr>
        <w:t>вона залежить від усіх обставин справи, таких, як характер</w:t>
      </w:r>
      <w:r w:rsidR="00D4256A" w:rsidRPr="000A38E5">
        <w:rPr>
          <w:lang w:val="ru-RU"/>
        </w:rPr>
        <w:t xml:space="preserve"> </w:t>
      </w:r>
      <w:r w:rsidR="00D4256A" w:rsidRPr="000A38E5">
        <w:rPr>
          <w:lang w:val="uk-UA"/>
        </w:rPr>
        <w:t>та контекст поводження</w:t>
      </w:r>
      <w:r w:rsidR="00D4256A" w:rsidRPr="000A38E5">
        <w:rPr>
          <w:lang w:val="ru-RU"/>
        </w:rPr>
        <w:t xml:space="preserve">, </w:t>
      </w:r>
      <w:r w:rsidR="00D4256A" w:rsidRPr="000A38E5">
        <w:rPr>
          <w:lang w:val="uk-UA"/>
        </w:rPr>
        <w:t>його тривалість, його фізичний та психологічний вплив</w:t>
      </w:r>
      <w:r w:rsidR="00D4256A" w:rsidRPr="000A38E5">
        <w:rPr>
          <w:lang w:val="ru-RU"/>
        </w:rPr>
        <w:t xml:space="preserve">, </w:t>
      </w:r>
      <w:r w:rsidR="00D4256A" w:rsidRPr="000A38E5">
        <w:rPr>
          <w:lang w:val="uk-UA"/>
        </w:rPr>
        <w:t>а в деяких випадках також стать, вік та стан здоров’я постраждалого</w:t>
      </w:r>
      <w:r w:rsidR="00D4256A" w:rsidRPr="000A38E5">
        <w:rPr>
          <w:lang w:val="ru-RU"/>
        </w:rPr>
        <w:t xml:space="preserve"> (</w:t>
      </w:r>
      <w:r w:rsidR="00D4256A" w:rsidRPr="000A38E5">
        <w:rPr>
          <w:lang w:val="uk-UA"/>
        </w:rPr>
        <w:t>див.</w:t>
      </w:r>
      <w:r w:rsidR="00D4256A" w:rsidRPr="000A38E5">
        <w:rPr>
          <w:lang w:val="ru-RU"/>
        </w:rPr>
        <w:t xml:space="preserve"> </w:t>
      </w:r>
      <w:r w:rsidR="00D4256A" w:rsidRPr="000A38E5">
        <w:rPr>
          <w:i/>
        </w:rPr>
        <w:t>T</w:t>
      </w:r>
      <w:r w:rsidR="00D4256A" w:rsidRPr="000A38E5">
        <w:rPr>
          <w:i/>
          <w:lang w:val="ru-RU"/>
        </w:rPr>
        <w:t>.</w:t>
      </w:r>
      <w:r w:rsidR="00D4256A" w:rsidRPr="000A38E5">
        <w:rPr>
          <w:i/>
        </w:rPr>
        <w:t>M</w:t>
      </w:r>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C</w:t>
      </w:r>
      <w:r w:rsidR="00D4256A" w:rsidRPr="000A38E5">
        <w:rPr>
          <w:i/>
          <w:lang w:val="ru-RU"/>
        </w:rPr>
        <w:t>.</w:t>
      </w:r>
      <w:r w:rsidR="00D4256A" w:rsidRPr="000A38E5">
        <w:rPr>
          <w:i/>
        </w:rPr>
        <w:t>M</w:t>
      </w:r>
      <w:r w:rsidR="00D4256A" w:rsidRPr="000A38E5">
        <w:rPr>
          <w:i/>
          <w:lang w:val="ru-RU"/>
        </w:rPr>
        <w:t>.</w:t>
      </w:r>
      <w:r w:rsidR="00D4256A" w:rsidRPr="000A38E5">
        <w:rPr>
          <w:lang w:val="ru-RU"/>
        </w:rPr>
        <w:t xml:space="preserve"> </w:t>
      </w:r>
      <w:r w:rsidR="00D4256A" w:rsidRPr="000A38E5">
        <w:rPr>
          <w:i/>
        </w:rPr>
        <w:t>v</w:t>
      </w:r>
      <w:r w:rsidR="00D4256A" w:rsidRPr="000A38E5">
        <w:rPr>
          <w:i/>
          <w:lang w:val="ru-RU"/>
        </w:rPr>
        <w:t xml:space="preserve">. </w:t>
      </w:r>
      <w:r w:rsidR="00D4256A" w:rsidRPr="000A38E5">
        <w:rPr>
          <w:i/>
        </w:rPr>
        <w:t>the</w:t>
      </w:r>
      <w:r w:rsidR="00D4256A" w:rsidRPr="000A38E5">
        <w:rPr>
          <w:i/>
          <w:lang w:val="ru-RU"/>
        </w:rPr>
        <w:t xml:space="preserve"> </w:t>
      </w:r>
      <w:r w:rsidR="00D4256A" w:rsidRPr="000A38E5">
        <w:rPr>
          <w:i/>
        </w:rPr>
        <w:t>Republic</w:t>
      </w:r>
      <w:r w:rsidR="00D4256A" w:rsidRPr="000A38E5">
        <w:rPr>
          <w:i/>
          <w:lang w:val="ru-RU"/>
        </w:rPr>
        <w:t xml:space="preserve"> </w:t>
      </w:r>
      <w:r w:rsidR="00D4256A" w:rsidRPr="000A38E5">
        <w:rPr>
          <w:i/>
        </w:rPr>
        <w:t>of</w:t>
      </w:r>
      <w:r w:rsidR="00D4256A" w:rsidRPr="000A38E5">
        <w:rPr>
          <w:i/>
          <w:lang w:val="ru-RU"/>
        </w:rPr>
        <w:t xml:space="preserve"> </w:t>
      </w:r>
      <w:r w:rsidR="00D4256A" w:rsidRPr="000A38E5">
        <w:rPr>
          <w:i/>
        </w:rPr>
        <w:t>Moldova</w:t>
      </w:r>
      <w:r w:rsidR="00D4256A" w:rsidRPr="000A38E5">
        <w:rPr>
          <w:snapToGrid w:val="0"/>
          <w:lang w:val="ru-RU"/>
        </w:rPr>
        <w:t xml:space="preserve">, </w:t>
      </w:r>
      <w:r w:rsidR="00D4256A" w:rsidRPr="000A38E5">
        <w:rPr>
          <w:lang w:val="uk-UA"/>
        </w:rPr>
        <w:t>№</w:t>
      </w:r>
      <w:r w:rsidR="00D4256A" w:rsidRPr="000A38E5">
        <w:rPr>
          <w:lang w:val="ru-RU"/>
        </w:rPr>
        <w:t xml:space="preserve"> 26608/11</w:t>
      </w:r>
      <w:r w:rsidR="00D4256A" w:rsidRPr="000A38E5">
        <w:rPr>
          <w:snapToGrid w:val="0"/>
          <w:lang w:val="ru-RU"/>
        </w:rPr>
        <w:t>, §</w:t>
      </w:r>
      <w:r w:rsidR="00D4256A" w:rsidRPr="000A38E5">
        <w:rPr>
          <w:snapToGrid w:val="0"/>
        </w:rPr>
        <w:t> </w:t>
      </w:r>
      <w:r w:rsidR="00D4256A" w:rsidRPr="000A38E5">
        <w:rPr>
          <w:snapToGrid w:val="0"/>
          <w:lang w:val="ru-RU"/>
        </w:rPr>
        <w:t>35, 28</w:t>
      </w:r>
      <w:r w:rsidR="00D4256A" w:rsidRPr="000A38E5">
        <w:rPr>
          <w:snapToGrid w:val="0"/>
        </w:rPr>
        <w:t> </w:t>
      </w:r>
      <w:r w:rsidR="00D4256A" w:rsidRPr="000A38E5">
        <w:rPr>
          <w:snapToGrid w:val="0"/>
          <w:lang w:val="uk-UA"/>
        </w:rPr>
        <w:t>січня</w:t>
      </w:r>
      <w:r w:rsidR="00D4256A" w:rsidRPr="000A38E5">
        <w:rPr>
          <w:snapToGrid w:val="0"/>
          <w:lang w:val="ru-RU"/>
        </w:rPr>
        <w:t xml:space="preserve"> 2014, </w:t>
      </w:r>
      <w:r w:rsidR="00D4256A" w:rsidRPr="000A38E5">
        <w:rPr>
          <w:snapToGrid w:val="0"/>
          <w:lang w:val="uk-UA"/>
        </w:rPr>
        <w:t>з подальшими посиланнями</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150</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Суд також повторює, що стаття 1 Конвенції у сукупності зі статтею</w:t>
      </w:r>
      <w:r w:rsidR="00D4256A" w:rsidRPr="000A38E5">
        <w:rPr>
          <w:lang w:val="ru-RU"/>
        </w:rPr>
        <w:t xml:space="preserve"> 3 </w:t>
      </w:r>
      <w:r w:rsidR="00D4256A" w:rsidRPr="000A38E5">
        <w:rPr>
          <w:lang w:val="uk-UA"/>
        </w:rPr>
        <w:t>накладає на державу позитивний обов’язок щодо забезпечення</w:t>
      </w:r>
      <w:r w:rsidR="00D4256A" w:rsidRPr="000A38E5">
        <w:rPr>
          <w:lang w:val="ru-RU"/>
        </w:rPr>
        <w:t xml:space="preserve"> </w:t>
      </w:r>
      <w:r w:rsidR="00D4256A" w:rsidRPr="000A38E5">
        <w:rPr>
          <w:lang w:val="uk-UA"/>
        </w:rPr>
        <w:t>усім особам в межах її юрисдикції захисту від усіх видів</w:t>
      </w:r>
      <w:r w:rsidR="00D4256A" w:rsidRPr="000A38E5">
        <w:rPr>
          <w:lang w:val="ru-RU"/>
        </w:rPr>
        <w:t xml:space="preserve"> </w:t>
      </w:r>
      <w:r w:rsidR="00D4256A" w:rsidRPr="000A38E5">
        <w:rPr>
          <w:lang w:val="uk-UA"/>
        </w:rPr>
        <w:t>жорстокого поводження, заборонених відповідно до статті</w:t>
      </w:r>
      <w:r w:rsidR="00D4256A" w:rsidRPr="000A38E5">
        <w:rPr>
          <w:lang w:val="ru-RU"/>
        </w:rPr>
        <w:t xml:space="preserve"> 3, </w:t>
      </w:r>
      <w:r w:rsidR="00D4256A" w:rsidRPr="000A38E5">
        <w:rPr>
          <w:lang w:val="uk-UA"/>
        </w:rPr>
        <w:t>у тому числі, якщо таке поводження здійснюють приватні особи</w:t>
      </w:r>
      <w:r w:rsidR="00D4256A" w:rsidRPr="000A38E5">
        <w:rPr>
          <w:lang w:val="ru-RU"/>
        </w:rPr>
        <w:t xml:space="preserve">. </w:t>
      </w:r>
      <w:r w:rsidR="00D4256A" w:rsidRPr="000A38E5">
        <w:rPr>
          <w:lang w:val="uk-UA"/>
        </w:rPr>
        <w:t>Цей обов’язок повинен включати ефективний захист, зокрема, ідентифікованої особи або осіб від злочинних дій</w:t>
      </w:r>
      <w:r w:rsidR="00D4256A" w:rsidRPr="000A38E5">
        <w:rPr>
          <w:lang w:val="ru-RU"/>
        </w:rPr>
        <w:t xml:space="preserve"> </w:t>
      </w:r>
      <w:r w:rsidR="00D4256A" w:rsidRPr="000A38E5">
        <w:rPr>
          <w:lang w:val="uk-UA"/>
        </w:rPr>
        <w:t>третьої сторони</w:t>
      </w:r>
      <w:r w:rsidR="00D4256A" w:rsidRPr="000A38E5">
        <w:rPr>
          <w:lang w:val="ru-RU"/>
        </w:rPr>
        <w:t xml:space="preserve">, </w:t>
      </w:r>
      <w:r w:rsidR="00D4256A" w:rsidRPr="000A38E5">
        <w:rPr>
          <w:lang w:val="uk-UA"/>
        </w:rPr>
        <w:t>а також розумні кроки для запобігання жорстокому поводженню,</w:t>
      </w:r>
      <w:r w:rsidR="00D4256A" w:rsidRPr="000A38E5">
        <w:rPr>
          <w:lang w:val="ru-RU"/>
        </w:rPr>
        <w:t xml:space="preserve"> </w:t>
      </w:r>
      <w:r w:rsidR="00D4256A" w:rsidRPr="000A38E5">
        <w:rPr>
          <w:lang w:val="uk-UA"/>
        </w:rPr>
        <w:t>про яке органи влади знають або повинні були знати</w:t>
      </w:r>
      <w:r w:rsidR="00D4256A" w:rsidRPr="000A38E5">
        <w:rPr>
          <w:lang w:val="ru-RU"/>
        </w:rPr>
        <w:t xml:space="preserve"> (</w:t>
      </w:r>
      <w:r w:rsidR="00D4256A" w:rsidRPr="000A38E5">
        <w:rPr>
          <w:lang w:val="uk-UA"/>
        </w:rPr>
        <w:t>там же</w:t>
      </w:r>
      <w:r w:rsidR="00D4256A" w:rsidRPr="000A38E5">
        <w:rPr>
          <w:lang w:val="ru-RU"/>
        </w:rPr>
        <w:t>, § 36).</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151</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Твердження про жорстоке поводження повинні підтримуватися належними доказами</w:t>
      </w:r>
      <w:r w:rsidR="00D4256A" w:rsidRPr="000A38E5">
        <w:rPr>
          <w:lang w:val="ru-RU"/>
        </w:rPr>
        <w:t xml:space="preserve">. </w:t>
      </w:r>
      <w:r w:rsidR="00D4256A" w:rsidRPr="000A38E5">
        <w:rPr>
          <w:lang w:val="uk-UA"/>
        </w:rPr>
        <w:t>Для оцінки цих доказів Суд використовує стандарт доведення «поза розумним сумнівом»</w:t>
      </w:r>
      <w:r w:rsidR="00D4256A" w:rsidRPr="000A38E5">
        <w:rPr>
          <w:lang w:val="ru-RU"/>
        </w:rPr>
        <w:t xml:space="preserve"> </w:t>
      </w:r>
      <w:r w:rsidR="00D4256A" w:rsidRPr="000A38E5">
        <w:rPr>
          <w:lang w:val="uk-UA"/>
        </w:rPr>
        <w:t>і такий доказ може випливати зі співіснування достатньо сильних</w:t>
      </w:r>
      <w:r w:rsidR="00D4256A" w:rsidRPr="000A38E5">
        <w:rPr>
          <w:lang w:val="ru-RU"/>
        </w:rPr>
        <w:t xml:space="preserve">, </w:t>
      </w:r>
      <w:r w:rsidR="00D4256A" w:rsidRPr="000A38E5">
        <w:rPr>
          <w:lang w:val="uk-UA"/>
        </w:rPr>
        <w:t>чітких та узгоджених висновків</w:t>
      </w:r>
      <w:r w:rsidR="00D4256A" w:rsidRPr="000A38E5">
        <w:rPr>
          <w:lang w:val="ru-RU"/>
        </w:rPr>
        <w:t xml:space="preserve"> </w:t>
      </w:r>
      <w:r w:rsidR="00D4256A" w:rsidRPr="000A38E5">
        <w:rPr>
          <w:lang w:val="uk-UA"/>
        </w:rPr>
        <w:t xml:space="preserve">або аналогічних </w:t>
      </w:r>
      <w:proofErr w:type="spellStart"/>
      <w:r w:rsidR="00D4256A" w:rsidRPr="000A38E5">
        <w:rPr>
          <w:lang w:val="uk-UA"/>
        </w:rPr>
        <w:t>неспростованих</w:t>
      </w:r>
      <w:proofErr w:type="spellEnd"/>
      <w:r w:rsidR="00D4256A" w:rsidRPr="000A38E5">
        <w:rPr>
          <w:lang w:val="uk-UA"/>
        </w:rPr>
        <w:t xml:space="preserve"> фактичних </w:t>
      </w:r>
      <w:proofErr w:type="spellStart"/>
      <w:r w:rsidR="00D4256A" w:rsidRPr="000A38E5">
        <w:rPr>
          <w:lang w:val="uk-UA"/>
        </w:rPr>
        <w:t>презумпцій</w:t>
      </w:r>
      <w:proofErr w:type="spellEnd"/>
      <w:r w:rsidR="00D4256A" w:rsidRPr="000A38E5">
        <w:rPr>
          <w:lang w:val="uk-UA"/>
        </w:rPr>
        <w:t xml:space="preserve"> </w:t>
      </w:r>
      <w:r w:rsidR="00D4256A" w:rsidRPr="000A38E5">
        <w:rPr>
          <w:lang w:val="ru-RU"/>
        </w:rPr>
        <w:t>(</w:t>
      </w:r>
      <w:r w:rsidR="00D4256A" w:rsidRPr="000A38E5">
        <w:rPr>
          <w:lang w:val="uk-UA"/>
        </w:rPr>
        <w:t>див.</w:t>
      </w:r>
      <w:r w:rsidR="00D4256A" w:rsidRPr="000A38E5">
        <w:rPr>
          <w:lang w:val="ru-RU"/>
        </w:rPr>
        <w:t xml:space="preserve"> </w:t>
      </w:r>
      <w:proofErr w:type="spellStart"/>
      <w:r w:rsidR="00D4256A" w:rsidRPr="000A38E5">
        <w:rPr>
          <w:i/>
        </w:rPr>
        <w:t>Khlaifia</w:t>
      </w:r>
      <w:proofErr w:type="spellEnd"/>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Others</w:t>
      </w:r>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Italy</w:t>
      </w:r>
      <w:r w:rsidR="00D4256A" w:rsidRPr="000A38E5">
        <w:rPr>
          <w:i/>
          <w:lang w:val="ru-RU"/>
        </w:rPr>
        <w:t xml:space="preserve"> </w:t>
      </w:r>
      <w:r w:rsidR="00D4256A" w:rsidRPr="000A38E5">
        <w:rPr>
          <w:lang w:val="ru-RU"/>
        </w:rPr>
        <w:t>[</w:t>
      </w:r>
      <w:r w:rsidR="00D4256A" w:rsidRPr="000A38E5">
        <w:t>GC</w:t>
      </w:r>
      <w:r w:rsidR="00D4256A" w:rsidRPr="000A38E5">
        <w:rPr>
          <w:lang w:val="ru-RU"/>
        </w:rPr>
        <w:t xml:space="preserve">], </w:t>
      </w:r>
      <w:r w:rsidR="00D4256A" w:rsidRPr="000A38E5">
        <w:rPr>
          <w:lang w:val="uk-UA"/>
        </w:rPr>
        <w:t>№</w:t>
      </w:r>
      <w:r w:rsidR="00D4256A" w:rsidRPr="000A38E5">
        <w:t> </w:t>
      </w:r>
      <w:r w:rsidR="00D4256A" w:rsidRPr="000A38E5">
        <w:rPr>
          <w:lang w:val="ru-RU"/>
        </w:rPr>
        <w:t xml:space="preserve">16483/12, § 168, </w:t>
      </w:r>
      <w:r w:rsidR="00D4256A" w:rsidRPr="000A38E5">
        <w:t>ECHR</w:t>
      </w:r>
      <w:r w:rsidR="00D4256A" w:rsidRPr="000A38E5">
        <w:rPr>
          <w:lang w:val="ru-RU"/>
        </w:rPr>
        <w:t xml:space="preserve"> 2016 (</w:t>
      </w:r>
      <w:r w:rsidR="00D4256A" w:rsidRPr="000A38E5">
        <w:rPr>
          <w:lang w:val="uk-UA"/>
        </w:rPr>
        <w:t>витяги</w:t>
      </w:r>
      <w:r w:rsidR="00D4256A" w:rsidRPr="000A38E5">
        <w:rPr>
          <w:lang w:val="ru-RU"/>
        </w:rPr>
        <w:t>)).</w:t>
      </w:r>
    </w:p>
    <w:p w:rsidR="00D4256A" w:rsidRPr="000A38E5" w:rsidRDefault="004E7608" w:rsidP="00D4256A">
      <w:pPr>
        <w:pStyle w:val="ECHRPara"/>
        <w:rPr>
          <w:lang w:val="uk-UA"/>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152</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 xml:space="preserve">Суд повинен підкреслити, що ця справа відрізняється від тих, де відповідною інформацією володіють виключно органи влади. Існує багато фото та відеоматеріалів з місця подій, і ці матеріали, у свою чергу, говорять про присутність багатьох свідків, у тому числі – серед протестуючих (див., наприклад, пункти </w:t>
      </w:r>
      <w:fldSimple w:instr=" REF video_27_May \h  \* MERGEFORMAT ">
        <w:r w:rsidR="00D4256A" w:rsidRPr="000A38E5">
          <w:rPr>
            <w:noProof/>
            <w:lang w:val="uk-UA"/>
          </w:rPr>
          <w:t>38</w:t>
        </w:r>
      </w:fldSimple>
      <w:r w:rsidR="00D4256A" w:rsidRPr="000A38E5">
        <w:rPr>
          <w:lang w:val="uk-UA"/>
        </w:rPr>
        <w:t xml:space="preserve"> та </w:t>
      </w:r>
      <w:fldSimple w:instr=" REF video_31_May \h  \* MERGEFORMAT ">
        <w:r w:rsidR="00D4256A" w:rsidRPr="000A38E5">
          <w:rPr>
            <w:noProof/>
            <w:lang w:val="uk-UA"/>
          </w:rPr>
          <w:t>40</w:t>
        </w:r>
      </w:fldSimple>
      <w:r w:rsidR="00D4256A" w:rsidRPr="000A38E5">
        <w:rPr>
          <w:lang w:val="uk-UA"/>
        </w:rPr>
        <w:t xml:space="preserve"> вище). Незважаючи на це, не були знайдені жодні докази, які б пов’язували конкретну особу з травмами заявників (порівняйте </w:t>
      </w:r>
      <w:proofErr w:type="spellStart"/>
      <w:r w:rsidR="00D4256A" w:rsidRPr="000A38E5">
        <w:rPr>
          <w:i/>
          <w:iCs/>
        </w:rPr>
        <w:t>Hentschel</w:t>
      </w:r>
      <w:proofErr w:type="spellEnd"/>
      <w:r w:rsidR="00D4256A" w:rsidRPr="000A38E5">
        <w:rPr>
          <w:i/>
          <w:iCs/>
          <w:lang w:val="uk-UA"/>
        </w:rPr>
        <w:t xml:space="preserve"> </w:t>
      </w:r>
      <w:r w:rsidR="00D4256A" w:rsidRPr="000A38E5">
        <w:rPr>
          <w:i/>
          <w:iCs/>
        </w:rPr>
        <w:t>and</w:t>
      </w:r>
      <w:r w:rsidR="00D4256A" w:rsidRPr="000A38E5">
        <w:rPr>
          <w:i/>
          <w:iCs/>
          <w:lang w:val="uk-UA"/>
        </w:rPr>
        <w:t xml:space="preserve"> </w:t>
      </w:r>
      <w:r w:rsidR="00D4256A" w:rsidRPr="000A38E5">
        <w:rPr>
          <w:i/>
          <w:iCs/>
        </w:rPr>
        <w:t>Stark</w:t>
      </w:r>
      <w:r w:rsidR="00D4256A" w:rsidRPr="000A38E5">
        <w:rPr>
          <w:i/>
          <w:iCs/>
          <w:lang w:val="uk-UA"/>
        </w:rPr>
        <w:t xml:space="preserve"> </w:t>
      </w:r>
      <w:r w:rsidR="00D4256A" w:rsidRPr="000A38E5">
        <w:rPr>
          <w:i/>
          <w:iCs/>
        </w:rPr>
        <w:t>v</w:t>
      </w:r>
      <w:r w:rsidR="00D4256A" w:rsidRPr="000A38E5">
        <w:rPr>
          <w:i/>
          <w:iCs/>
          <w:lang w:val="uk-UA"/>
        </w:rPr>
        <w:t>.</w:t>
      </w:r>
      <w:r w:rsidR="00D4256A" w:rsidRPr="000A38E5">
        <w:rPr>
          <w:i/>
          <w:iCs/>
        </w:rPr>
        <w:t> Germany</w:t>
      </w:r>
      <w:r w:rsidR="00D4256A" w:rsidRPr="000A38E5">
        <w:rPr>
          <w:lang w:val="uk-UA"/>
        </w:rPr>
        <w:t>, №</w:t>
      </w:r>
      <w:r w:rsidR="00D4256A" w:rsidRPr="000A38E5">
        <w:t> </w:t>
      </w:r>
      <w:r w:rsidR="00D4256A" w:rsidRPr="000A38E5">
        <w:rPr>
          <w:lang w:val="uk-UA"/>
        </w:rPr>
        <w:t>47274/15, § 75, 9 листопада 2017).</w:t>
      </w:r>
    </w:p>
    <w:p w:rsidR="00D4256A" w:rsidRPr="000A38E5" w:rsidRDefault="004E7608" w:rsidP="00D4256A">
      <w:pPr>
        <w:pStyle w:val="ECHRPara"/>
        <w:rPr>
          <w:lang w:val="uk-UA"/>
        </w:rPr>
      </w:pPr>
      <w:r w:rsidRPr="000A38E5">
        <w:fldChar w:fldCharType="begin"/>
      </w:r>
      <w:r w:rsidR="00D4256A" w:rsidRPr="000A38E5">
        <w:rPr>
          <w:lang w:val="uk-UA"/>
        </w:rPr>
        <w:instrText xml:space="preserve"> </w:instrText>
      </w:r>
      <w:r w:rsidR="00D4256A" w:rsidRPr="000A38E5">
        <w:instrText>SEQ</w:instrText>
      </w:r>
      <w:r w:rsidR="00D4256A" w:rsidRPr="000A38E5">
        <w:rPr>
          <w:lang w:val="uk-UA"/>
        </w:rPr>
        <w:instrText xml:space="preserve"> </w:instrText>
      </w:r>
      <w:r w:rsidR="00D4256A" w:rsidRPr="000A38E5">
        <w:instrText>level</w:instrText>
      </w:r>
      <w:r w:rsidR="00D4256A" w:rsidRPr="000A38E5">
        <w:rPr>
          <w:lang w:val="uk-UA"/>
        </w:rPr>
        <w:instrText>0 \*</w:instrText>
      </w:r>
      <w:r w:rsidR="00D4256A" w:rsidRPr="000A38E5">
        <w:instrText>arabic</w:instrText>
      </w:r>
      <w:r w:rsidR="00D4256A" w:rsidRPr="000A38E5">
        <w:rPr>
          <w:lang w:val="uk-UA"/>
        </w:rPr>
        <w:instrText xml:space="preserve"> </w:instrText>
      </w:r>
      <w:r w:rsidRPr="000A38E5">
        <w:fldChar w:fldCharType="separate"/>
      </w:r>
      <w:r w:rsidR="00D4256A" w:rsidRPr="000A38E5">
        <w:rPr>
          <w:noProof/>
          <w:lang w:val="uk-UA"/>
        </w:rPr>
        <w:t>153</w:t>
      </w:r>
      <w:r w:rsidRPr="000A38E5">
        <w:rPr>
          <w:noProof/>
        </w:rPr>
        <w:fldChar w:fldCharType="end"/>
      </w:r>
      <w:r w:rsidR="00D4256A" w:rsidRPr="000A38E5">
        <w:rPr>
          <w:lang w:val="uk-UA"/>
        </w:rPr>
        <w:t>.</w:t>
      </w:r>
      <w:r w:rsidR="00D4256A" w:rsidRPr="00E93710">
        <w:rPr>
          <w:lang w:val="uk-UA"/>
        </w:rPr>
        <w:t xml:space="preserve"> </w:t>
      </w:r>
      <w:r w:rsidR="00D4256A" w:rsidRPr="000A38E5">
        <w:rPr>
          <w:lang w:val="uk-UA"/>
        </w:rPr>
        <w:t xml:space="preserve">Крім того, на відміну від інших справ, розглянутих Судом, немає доказів того, що міліціонери або інші особи, за дії яких могла нести відповідальність держава, використовували </w:t>
      </w:r>
      <w:proofErr w:type="spellStart"/>
      <w:r w:rsidR="00D4256A" w:rsidRPr="000A38E5">
        <w:rPr>
          <w:lang w:val="uk-UA"/>
        </w:rPr>
        <w:t>сльозогінний</w:t>
      </w:r>
      <w:proofErr w:type="spellEnd"/>
      <w:r w:rsidR="00D4256A" w:rsidRPr="000A38E5">
        <w:rPr>
          <w:lang w:val="uk-UA"/>
        </w:rPr>
        <w:t xml:space="preserve"> газ, кийки, або інші тяжкі засоби для розгону натовпу, що разом з характером травм </w:t>
      </w:r>
      <w:r w:rsidR="00D4256A" w:rsidRPr="000A38E5">
        <w:rPr>
          <w:lang w:val="uk-UA"/>
        </w:rPr>
        <w:lastRenderedPageBreak/>
        <w:t xml:space="preserve">заявників могло б дозволити дійти висновку, що травми були заподіяні цими засобами (порівняйте, наприклад, </w:t>
      </w:r>
      <w:r w:rsidR="00D4256A" w:rsidRPr="000A38E5">
        <w:rPr>
          <w:i/>
        </w:rPr>
        <w:t>S</w:t>
      </w:r>
      <w:r w:rsidR="00D4256A" w:rsidRPr="000A38E5">
        <w:rPr>
          <w:i/>
          <w:lang w:val="uk-UA"/>
        </w:rPr>
        <w:t>ü</w:t>
      </w:r>
      <w:proofErr w:type="spellStart"/>
      <w:r w:rsidR="00D4256A" w:rsidRPr="000A38E5">
        <w:rPr>
          <w:i/>
        </w:rPr>
        <w:t>leyman</w:t>
      </w:r>
      <w:proofErr w:type="spellEnd"/>
      <w:r w:rsidR="00D4256A" w:rsidRPr="000A38E5">
        <w:rPr>
          <w:i/>
          <w:lang w:val="uk-UA"/>
        </w:rPr>
        <w:t xml:space="preserve"> Ç</w:t>
      </w:r>
      <w:proofErr w:type="spellStart"/>
      <w:r w:rsidR="00D4256A" w:rsidRPr="000A38E5">
        <w:rPr>
          <w:i/>
        </w:rPr>
        <w:t>elebi</w:t>
      </w:r>
      <w:proofErr w:type="spellEnd"/>
      <w:r w:rsidR="00D4256A" w:rsidRPr="000A38E5">
        <w:rPr>
          <w:lang w:val="uk-UA"/>
        </w:rPr>
        <w:t xml:space="preserve"> </w:t>
      </w:r>
      <w:r w:rsidR="00D4256A" w:rsidRPr="000A38E5">
        <w:rPr>
          <w:i/>
        </w:rPr>
        <w:t>and</w:t>
      </w:r>
      <w:r w:rsidR="00D4256A" w:rsidRPr="000A38E5">
        <w:rPr>
          <w:i/>
          <w:lang w:val="uk-UA"/>
        </w:rPr>
        <w:t xml:space="preserve"> </w:t>
      </w:r>
      <w:r w:rsidR="00D4256A" w:rsidRPr="000A38E5">
        <w:rPr>
          <w:i/>
        </w:rPr>
        <w:t>Others</w:t>
      </w:r>
      <w:r w:rsidR="00D4256A" w:rsidRPr="000A38E5">
        <w:rPr>
          <w:i/>
          <w:lang w:val="uk-UA"/>
        </w:rPr>
        <w:t xml:space="preserve"> </w:t>
      </w:r>
      <w:r w:rsidR="00D4256A" w:rsidRPr="000A38E5">
        <w:rPr>
          <w:i/>
        </w:rPr>
        <w:t>v</w:t>
      </w:r>
      <w:r w:rsidR="00D4256A" w:rsidRPr="000A38E5">
        <w:rPr>
          <w:i/>
          <w:lang w:val="uk-UA"/>
        </w:rPr>
        <w:t>.</w:t>
      </w:r>
      <w:r w:rsidR="00D4256A" w:rsidRPr="000A38E5">
        <w:rPr>
          <w:i/>
        </w:rPr>
        <w:t> Turkey</w:t>
      </w:r>
      <w:r w:rsidR="00D4256A" w:rsidRPr="000A38E5">
        <w:rPr>
          <w:lang w:val="uk-UA"/>
        </w:rPr>
        <w:t>, № 37273/10 та 17</w:t>
      </w:r>
      <w:r w:rsidR="00D4256A" w:rsidRPr="000A38E5">
        <w:t> </w:t>
      </w:r>
      <w:r w:rsidR="00D4256A" w:rsidRPr="000A38E5">
        <w:rPr>
          <w:lang w:val="uk-UA"/>
        </w:rPr>
        <w:t>інших, §§</w:t>
      </w:r>
      <w:r w:rsidR="00D4256A" w:rsidRPr="000A38E5">
        <w:t> </w:t>
      </w:r>
      <w:r w:rsidR="00D4256A" w:rsidRPr="000A38E5">
        <w:rPr>
          <w:lang w:val="uk-UA"/>
        </w:rPr>
        <w:t>75-79, 24 травня 2016).</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154</w:t>
      </w:r>
      <w:r w:rsidRPr="000A38E5">
        <w:fldChar w:fldCharType="end"/>
      </w:r>
      <w:r w:rsidR="00D4256A" w:rsidRPr="000A38E5">
        <w:rPr>
          <w:lang w:val="ru-RU"/>
        </w:rPr>
        <w:t>.</w:t>
      </w:r>
      <w:r w:rsidR="00D4256A" w:rsidRPr="00E93710">
        <w:rPr>
          <w:lang w:val="ru-RU"/>
        </w:rPr>
        <w:t xml:space="preserve"> </w:t>
      </w:r>
      <w:r w:rsidR="00D4256A" w:rsidRPr="000A38E5">
        <w:rPr>
          <w:lang w:val="uk-UA"/>
        </w:rPr>
        <w:t>Докази заявників демонструють, що у дні, коли вони були поранені</w:t>
      </w:r>
      <w:r w:rsidR="00D4256A" w:rsidRPr="000A38E5">
        <w:rPr>
          <w:lang w:val="ru-RU"/>
        </w:rPr>
        <w:t xml:space="preserve"> (</w:t>
      </w:r>
      <w:r w:rsidR="00D4256A" w:rsidRPr="000A38E5">
        <w:rPr>
          <w:lang w:val="uk-UA"/>
        </w:rPr>
        <w:t>див. пункти</w:t>
      </w:r>
      <w:r w:rsidR="00D4256A" w:rsidRPr="000A38E5">
        <w:rPr>
          <w:lang w:val="ru-RU"/>
        </w:rPr>
        <w:t xml:space="preserve"> </w:t>
      </w:r>
      <w:fldSimple w:instr=" REF video_27_May \h  \* MERGEFORMAT ">
        <w:r w:rsidR="00D4256A" w:rsidRPr="000A38E5">
          <w:rPr>
            <w:noProof/>
            <w:lang w:val="ru-RU"/>
          </w:rPr>
          <w:t>38</w:t>
        </w:r>
      </w:fldSimple>
      <w:r w:rsidR="00D4256A" w:rsidRPr="000A38E5">
        <w:rPr>
          <w:lang w:val="ru-RU"/>
        </w:rPr>
        <w:t xml:space="preserve"> </w:t>
      </w:r>
      <w:r w:rsidR="00D4256A" w:rsidRPr="000A38E5">
        <w:rPr>
          <w:lang w:val="uk-UA"/>
        </w:rPr>
        <w:t>та</w:t>
      </w:r>
      <w:r w:rsidR="00D4256A" w:rsidRPr="000A38E5">
        <w:rPr>
          <w:lang w:val="ru-RU"/>
        </w:rPr>
        <w:t xml:space="preserve"> </w:t>
      </w:r>
      <w:fldSimple w:instr=" REF video_31_May \h  \* MERGEFORMAT ">
        <w:r w:rsidR="00D4256A" w:rsidRPr="000A38E5">
          <w:rPr>
            <w:noProof/>
            <w:lang w:val="ru-RU"/>
          </w:rPr>
          <w:t>40</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протестуючі активно намагалися втрутитися в роботу працюючого будівельного обладнання,</w:t>
      </w:r>
      <w:r w:rsidR="00D4256A" w:rsidRPr="000A38E5">
        <w:rPr>
          <w:lang w:val="ru-RU"/>
        </w:rPr>
        <w:t xml:space="preserve"> </w:t>
      </w:r>
      <w:r w:rsidR="00D4256A" w:rsidRPr="000A38E5">
        <w:rPr>
          <w:lang w:val="uk-UA"/>
        </w:rPr>
        <w:t>а заходи проти протесту складалися лише зі спроб видалити протестуючих</w:t>
      </w:r>
      <w:r w:rsidR="00D4256A" w:rsidRPr="000A38E5">
        <w:rPr>
          <w:lang w:val="ru-RU"/>
        </w:rPr>
        <w:t xml:space="preserve"> </w:t>
      </w:r>
      <w:r w:rsidR="00D4256A" w:rsidRPr="000A38E5">
        <w:rPr>
          <w:lang w:val="uk-UA"/>
        </w:rPr>
        <w:t>з місця роботи</w:t>
      </w:r>
      <w:r w:rsidR="00D4256A" w:rsidRPr="000A38E5">
        <w:rPr>
          <w:lang w:val="ru-RU"/>
        </w:rPr>
        <w:t xml:space="preserve">, </w:t>
      </w:r>
      <w:r w:rsidR="00D4256A" w:rsidRPr="000A38E5">
        <w:rPr>
          <w:lang w:val="uk-UA"/>
        </w:rPr>
        <w:t>що не можна вважати жорстоким поводженням</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155</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За таких обставин Суд не може встановити</w:t>
      </w:r>
      <w:r w:rsidR="00D4256A" w:rsidRPr="000A38E5">
        <w:rPr>
          <w:lang w:val="ru-RU"/>
        </w:rPr>
        <w:t xml:space="preserve"> </w:t>
      </w:r>
      <w:r w:rsidR="00D4256A" w:rsidRPr="000A38E5">
        <w:rPr>
          <w:lang w:val="uk-UA"/>
        </w:rPr>
        <w:t>з необхідним стандартом доведення, що сьомий та дев’ятий заявники</w:t>
      </w:r>
      <w:r w:rsidR="00D4256A" w:rsidRPr="000A38E5">
        <w:rPr>
          <w:lang w:val="ru-RU"/>
        </w:rPr>
        <w:t xml:space="preserve"> </w:t>
      </w:r>
      <w:r w:rsidR="00D4256A" w:rsidRPr="000A38E5">
        <w:rPr>
          <w:lang w:val="uk-UA"/>
        </w:rPr>
        <w:t>зазнали жорстокого поводження, яке досягло рівня, необхідного для застосування статті</w:t>
      </w:r>
      <w:r w:rsidR="00D4256A" w:rsidRPr="000A38E5">
        <w:rPr>
          <w:lang w:val="ru-RU"/>
        </w:rPr>
        <w:t xml:space="preserve"> 3</w:t>
      </w:r>
      <w:r w:rsidR="00D4256A" w:rsidRPr="000A38E5">
        <w:rPr>
          <w:lang w:val="uk-UA"/>
        </w:rPr>
        <w:t>,</w:t>
      </w:r>
      <w:r w:rsidR="00D4256A" w:rsidRPr="000A38E5">
        <w:rPr>
          <w:lang w:val="ru-RU"/>
        </w:rPr>
        <w:t xml:space="preserve"> </w:t>
      </w:r>
      <w:r w:rsidR="00D4256A" w:rsidRPr="000A38E5">
        <w:rPr>
          <w:lang w:val="uk-UA"/>
        </w:rPr>
        <w:t>і вимагало, щоб органи влади захистили заявників від нього</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156</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Відповідно, не було порушення статті 3 Конвенції у її матеріальному аспекті</w:t>
      </w:r>
      <w:r w:rsidR="00D4256A" w:rsidRPr="000A38E5">
        <w:rPr>
          <w:lang w:val="ru-RU"/>
        </w:rPr>
        <w:t xml:space="preserve"> </w:t>
      </w:r>
      <w:r w:rsidR="00D4256A" w:rsidRPr="000A38E5">
        <w:rPr>
          <w:lang w:val="uk-UA"/>
        </w:rPr>
        <w:t>по відношенню до сьомого та дев’ятого заявника</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157</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Цей висновок не визначає наперед оцінку Судом</w:t>
      </w:r>
      <w:r w:rsidR="00D4256A" w:rsidRPr="000A38E5">
        <w:rPr>
          <w:lang w:val="ru-RU"/>
        </w:rPr>
        <w:t xml:space="preserve"> </w:t>
      </w:r>
      <w:r w:rsidR="00D4256A" w:rsidRPr="000A38E5">
        <w:rPr>
          <w:lang w:val="uk-UA"/>
        </w:rPr>
        <w:t>того, чи держава-відповідач виконала свої обов’язки</w:t>
      </w:r>
      <w:r w:rsidR="00D4256A" w:rsidRPr="000A38E5">
        <w:rPr>
          <w:lang w:val="ru-RU"/>
        </w:rPr>
        <w:t xml:space="preserve"> </w:t>
      </w:r>
      <w:r w:rsidR="00D4256A" w:rsidRPr="000A38E5">
        <w:rPr>
          <w:lang w:val="uk-UA"/>
        </w:rPr>
        <w:t>щодо забезпечення мирного характеру протестів</w:t>
      </w:r>
      <w:r w:rsidR="00D4256A" w:rsidRPr="000A38E5">
        <w:rPr>
          <w:lang w:val="ru-RU"/>
        </w:rPr>
        <w:t xml:space="preserve"> (</w:t>
      </w:r>
      <w:r w:rsidR="00D4256A" w:rsidRPr="000A38E5">
        <w:rPr>
          <w:lang w:val="uk-UA"/>
        </w:rPr>
        <w:t>див. пункти</w:t>
      </w:r>
      <w:r w:rsidR="00D4256A" w:rsidRPr="000A38E5">
        <w:rPr>
          <w:lang w:val="ru-RU"/>
        </w:rPr>
        <w:t xml:space="preserve"> </w:t>
      </w:r>
      <w:fldSimple w:instr=" REF A11_peaceful_nature_start \h  \* MERGEFORMAT ">
        <w:r w:rsidR="00D4256A" w:rsidRPr="000A38E5">
          <w:rPr>
            <w:noProof/>
            <w:lang w:val="ru-RU"/>
          </w:rPr>
          <w:t>270</w:t>
        </w:r>
      </w:fldSimple>
      <w:r w:rsidR="00D4256A" w:rsidRPr="000A38E5">
        <w:rPr>
          <w:lang w:val="ru-RU"/>
        </w:rPr>
        <w:t xml:space="preserve"> </w:t>
      </w:r>
      <w:r w:rsidR="00D4256A" w:rsidRPr="000A38E5">
        <w:rPr>
          <w:lang w:val="uk-UA"/>
        </w:rPr>
        <w:t>-</w:t>
      </w:r>
      <w:r w:rsidR="00D4256A" w:rsidRPr="000A38E5">
        <w:rPr>
          <w:lang w:val="ru-RU"/>
        </w:rPr>
        <w:t xml:space="preserve"> </w:t>
      </w:r>
      <w:fldSimple w:instr=" REF A11_peaceful_nature_end \h  \* MERGEFORMAT ">
        <w:r w:rsidR="00D4256A" w:rsidRPr="000A38E5">
          <w:rPr>
            <w:noProof/>
            <w:lang w:val="ru-RU"/>
          </w:rPr>
          <w:t>282</w:t>
        </w:r>
      </w:fldSimple>
      <w:r w:rsidR="00D4256A" w:rsidRPr="000A38E5">
        <w:rPr>
          <w:lang w:val="ru-RU"/>
        </w:rPr>
        <w:t xml:space="preserve"> </w:t>
      </w:r>
      <w:r w:rsidR="00D4256A" w:rsidRPr="000A38E5">
        <w:rPr>
          <w:lang w:val="uk-UA"/>
        </w:rPr>
        <w:t>нижче</w:t>
      </w:r>
      <w:r w:rsidR="00D4256A" w:rsidRPr="000A38E5">
        <w:rPr>
          <w:lang w:val="ru-RU"/>
        </w:rPr>
        <w:t>).</w:t>
      </w:r>
    </w:p>
    <w:p w:rsidR="00D4256A" w:rsidRPr="000A38E5" w:rsidRDefault="00D4256A" w:rsidP="00D4256A">
      <w:pPr>
        <w:pStyle w:val="ECHRHeading4"/>
        <w:rPr>
          <w:lang w:val="uk-UA"/>
        </w:rPr>
      </w:pPr>
      <w:r w:rsidRPr="000A38E5">
        <w:rPr>
          <w:lang w:val="ru-RU"/>
        </w:rPr>
        <w:t>(</w:t>
      </w:r>
      <w:r w:rsidRPr="000A38E5">
        <w:t>b</w:t>
      </w:r>
      <w:r w:rsidRPr="000A38E5">
        <w:rPr>
          <w:lang w:val="ru-RU"/>
        </w:rPr>
        <w:t>)</w:t>
      </w:r>
      <w:r w:rsidRPr="00E93710">
        <w:rPr>
          <w:lang w:val="ru-RU"/>
        </w:rPr>
        <w:t xml:space="preserve"> </w:t>
      </w:r>
      <w:r w:rsidRPr="000A38E5">
        <w:rPr>
          <w:lang w:val="uk-UA"/>
        </w:rPr>
        <w:t>Процесуальний аспект скарги</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158</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Стаття 3 вимагає, щоб органи влади провели ефективне офіційне розслідування</w:t>
      </w:r>
      <w:r w:rsidR="00D4256A" w:rsidRPr="000A38E5">
        <w:rPr>
          <w:lang w:val="ru-RU"/>
        </w:rPr>
        <w:t xml:space="preserve"> </w:t>
      </w:r>
      <w:proofErr w:type="spellStart"/>
      <w:r w:rsidR="00D4256A" w:rsidRPr="000A38E5">
        <w:rPr>
          <w:lang w:val="uk-UA"/>
        </w:rPr>
        <w:t>стверджуваного</w:t>
      </w:r>
      <w:proofErr w:type="spellEnd"/>
      <w:r w:rsidR="00D4256A" w:rsidRPr="000A38E5">
        <w:rPr>
          <w:lang w:val="uk-UA"/>
        </w:rPr>
        <w:t xml:space="preserve"> жорстокого поводження</w:t>
      </w:r>
      <w:r w:rsidR="00D4256A" w:rsidRPr="000A38E5">
        <w:rPr>
          <w:lang w:val="ru-RU"/>
        </w:rPr>
        <w:t xml:space="preserve">, </w:t>
      </w:r>
      <w:r w:rsidR="00D4256A" w:rsidRPr="000A38E5">
        <w:rPr>
          <w:lang w:val="uk-UA"/>
        </w:rPr>
        <w:t>навіть якщо таке поводження було заподіяно приватними особами</w:t>
      </w:r>
      <w:r w:rsidR="00D4256A" w:rsidRPr="000A38E5">
        <w:rPr>
          <w:lang w:val="ru-RU"/>
        </w:rPr>
        <w:t xml:space="preserve"> (</w:t>
      </w:r>
      <w:r w:rsidR="00D4256A" w:rsidRPr="000A38E5">
        <w:rPr>
          <w:lang w:val="uk-UA"/>
        </w:rPr>
        <w:t>див., наприклад</w:t>
      </w:r>
      <w:r w:rsidR="00D4256A" w:rsidRPr="000A38E5">
        <w:rPr>
          <w:lang w:val="ru-RU"/>
        </w:rPr>
        <w:t xml:space="preserve">, </w:t>
      </w:r>
      <w:r w:rsidR="00D4256A" w:rsidRPr="000A38E5">
        <w:rPr>
          <w:i/>
        </w:rPr>
        <w:t>T</w:t>
      </w:r>
      <w:r w:rsidR="00D4256A" w:rsidRPr="000A38E5">
        <w:rPr>
          <w:i/>
          <w:lang w:val="ru-RU"/>
        </w:rPr>
        <w:t>.</w:t>
      </w:r>
      <w:r w:rsidR="00D4256A" w:rsidRPr="000A38E5">
        <w:rPr>
          <w:i/>
        </w:rPr>
        <w:t>M</w:t>
      </w:r>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C</w:t>
      </w:r>
      <w:r w:rsidR="00D4256A" w:rsidRPr="000A38E5">
        <w:rPr>
          <w:i/>
          <w:lang w:val="ru-RU"/>
        </w:rPr>
        <w:t>.</w:t>
      </w:r>
      <w:r w:rsidR="00D4256A" w:rsidRPr="000A38E5">
        <w:rPr>
          <w:i/>
        </w:rPr>
        <w:t>M</w:t>
      </w:r>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the</w:t>
      </w:r>
      <w:r w:rsidR="00D4256A" w:rsidRPr="000A38E5">
        <w:rPr>
          <w:i/>
          <w:lang w:val="ru-RU"/>
        </w:rPr>
        <w:t xml:space="preserve"> </w:t>
      </w:r>
      <w:r w:rsidR="00D4256A" w:rsidRPr="000A38E5">
        <w:rPr>
          <w:i/>
        </w:rPr>
        <w:t>Republic</w:t>
      </w:r>
      <w:r w:rsidR="00D4256A" w:rsidRPr="000A38E5">
        <w:rPr>
          <w:i/>
          <w:lang w:val="ru-RU"/>
        </w:rPr>
        <w:t xml:space="preserve"> </w:t>
      </w:r>
      <w:r w:rsidR="00D4256A" w:rsidRPr="000A38E5">
        <w:rPr>
          <w:i/>
        </w:rPr>
        <w:t>of</w:t>
      </w:r>
      <w:r w:rsidR="00D4256A" w:rsidRPr="000A38E5">
        <w:rPr>
          <w:i/>
          <w:lang w:val="ru-RU"/>
        </w:rPr>
        <w:t xml:space="preserve"> </w:t>
      </w:r>
      <w:r w:rsidR="00D4256A" w:rsidRPr="000A38E5">
        <w:rPr>
          <w:i/>
        </w:rPr>
        <w:t>Moldova</w:t>
      </w:r>
      <w:r w:rsidR="00D4256A" w:rsidRPr="000A38E5">
        <w:rPr>
          <w:lang w:val="ru-RU"/>
        </w:rPr>
        <w:t xml:space="preserve">, </w:t>
      </w:r>
      <w:proofErr w:type="spellStart"/>
      <w:r w:rsidR="00D4256A" w:rsidRPr="000A38E5">
        <w:rPr>
          <w:lang w:val="uk-UA"/>
        </w:rPr>
        <w:t>цит</w:t>
      </w:r>
      <w:proofErr w:type="spellEnd"/>
      <w:r w:rsidR="00D4256A" w:rsidRPr="000A38E5">
        <w:rPr>
          <w:lang w:val="uk-UA"/>
        </w:rPr>
        <w:t>. вище</w:t>
      </w:r>
      <w:r w:rsidR="00D4256A" w:rsidRPr="000A38E5">
        <w:rPr>
          <w:lang w:val="ru-RU"/>
        </w:rPr>
        <w:t>, § 38).</w:t>
      </w:r>
    </w:p>
    <w:p w:rsidR="00D4256A" w:rsidRPr="000A38E5" w:rsidRDefault="004E7608" w:rsidP="00D4256A">
      <w:pPr>
        <w:pStyle w:val="ECHRPara"/>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159</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Розслідування серйозних тверджень про жорстоке поводження</w:t>
      </w:r>
      <w:r w:rsidR="00D4256A" w:rsidRPr="000A38E5">
        <w:rPr>
          <w:lang w:val="ru-RU"/>
        </w:rPr>
        <w:t xml:space="preserve"> </w:t>
      </w:r>
      <w:r w:rsidR="00D4256A" w:rsidRPr="000A38E5">
        <w:rPr>
          <w:lang w:val="uk-UA"/>
        </w:rPr>
        <w:t>повинно бути оперативним та ретельним</w:t>
      </w:r>
      <w:r w:rsidR="00D4256A" w:rsidRPr="000A38E5">
        <w:rPr>
          <w:lang w:val="ru-RU"/>
        </w:rPr>
        <w:t xml:space="preserve">. </w:t>
      </w:r>
      <w:r w:rsidR="00D4256A" w:rsidRPr="000A38E5">
        <w:rPr>
          <w:lang w:val="uk-UA"/>
        </w:rPr>
        <w:t>Це означає, що органи влади повинні завжди робити серйозні спроби</w:t>
      </w:r>
      <w:r w:rsidR="00D4256A" w:rsidRPr="000A38E5">
        <w:rPr>
          <w:lang w:val="ru-RU"/>
        </w:rPr>
        <w:t xml:space="preserve"> </w:t>
      </w:r>
      <w:r w:rsidR="00D4256A" w:rsidRPr="000A38E5">
        <w:rPr>
          <w:lang w:val="uk-UA"/>
        </w:rPr>
        <w:t>встановити, що трапилося, і не повинні спиратися на поспішні</w:t>
      </w:r>
      <w:r w:rsidR="00D4256A" w:rsidRPr="000A38E5">
        <w:rPr>
          <w:lang w:val="ru-RU"/>
        </w:rPr>
        <w:t xml:space="preserve"> </w:t>
      </w:r>
      <w:r w:rsidR="00D4256A" w:rsidRPr="000A38E5">
        <w:rPr>
          <w:lang w:val="uk-UA"/>
        </w:rPr>
        <w:t>або необґрунтовані висновки для закриття розслідування</w:t>
      </w:r>
      <w:r w:rsidR="00D4256A" w:rsidRPr="000A38E5">
        <w:rPr>
          <w:lang w:val="ru-RU"/>
        </w:rPr>
        <w:t xml:space="preserve"> </w:t>
      </w:r>
      <w:r w:rsidR="00D4256A" w:rsidRPr="000A38E5">
        <w:rPr>
          <w:lang w:val="uk-UA"/>
        </w:rPr>
        <w:t>або використовувати їх в якості основи для своїх рішень</w:t>
      </w:r>
      <w:r w:rsidR="00D4256A" w:rsidRPr="000A38E5">
        <w:rPr>
          <w:lang w:val="ru-RU"/>
        </w:rPr>
        <w:t xml:space="preserve">. </w:t>
      </w:r>
      <w:r w:rsidR="00D4256A" w:rsidRPr="000A38E5">
        <w:rPr>
          <w:lang w:val="uk-UA"/>
        </w:rPr>
        <w:t>Вони повинні зробити усі доступні їм розумні кроки</w:t>
      </w:r>
      <w:r w:rsidR="00D4256A" w:rsidRPr="000A38E5">
        <w:rPr>
          <w:lang w:val="ru-RU"/>
        </w:rPr>
        <w:t xml:space="preserve"> </w:t>
      </w:r>
      <w:r w:rsidR="00D4256A" w:rsidRPr="000A38E5">
        <w:rPr>
          <w:lang w:val="uk-UA"/>
        </w:rPr>
        <w:t>для забезпечення доказів стосовно інциденту</w:t>
      </w:r>
      <w:r w:rsidR="00D4256A" w:rsidRPr="000A38E5">
        <w:rPr>
          <w:lang w:val="ru-RU"/>
        </w:rPr>
        <w:t xml:space="preserve">, </w:t>
      </w:r>
      <w:r w:rsidR="00D4256A" w:rsidRPr="000A38E5">
        <w:rPr>
          <w:lang w:val="uk-UA"/>
        </w:rPr>
        <w:t>у тому числі, зокрема</w:t>
      </w:r>
      <w:r w:rsidR="00D4256A" w:rsidRPr="000A38E5">
        <w:rPr>
          <w:lang w:val="ru-RU"/>
        </w:rPr>
        <w:t xml:space="preserve">, </w:t>
      </w:r>
      <w:r w:rsidR="00D4256A" w:rsidRPr="000A38E5">
        <w:rPr>
          <w:lang w:val="uk-UA"/>
        </w:rPr>
        <w:t>свідчень очевидців та результатів судово-медичної експертизи</w:t>
      </w:r>
      <w:r w:rsidR="00D4256A" w:rsidRPr="000A38E5">
        <w:rPr>
          <w:lang w:val="ru-RU"/>
        </w:rPr>
        <w:t xml:space="preserve"> (</w:t>
      </w:r>
      <w:r w:rsidR="00D4256A" w:rsidRPr="000A38E5">
        <w:rPr>
          <w:lang w:val="uk-UA"/>
        </w:rPr>
        <w:t>див.</w:t>
      </w:r>
      <w:r w:rsidR="00D4256A" w:rsidRPr="000A38E5">
        <w:rPr>
          <w:lang w:val="ru-RU"/>
        </w:rPr>
        <w:t xml:space="preserve"> </w:t>
      </w:r>
      <w:r w:rsidR="00D4256A" w:rsidRPr="000A38E5">
        <w:rPr>
          <w:i/>
        </w:rPr>
        <w:t>El</w:t>
      </w:r>
      <w:r w:rsidR="00D4256A" w:rsidRPr="000A38E5">
        <w:rPr>
          <w:i/>
          <w:lang w:val="en-US"/>
        </w:rPr>
        <w:t>-</w:t>
      </w:r>
      <w:proofErr w:type="spellStart"/>
      <w:r w:rsidR="00D4256A" w:rsidRPr="000A38E5">
        <w:rPr>
          <w:i/>
        </w:rPr>
        <w:t>Masri</w:t>
      </w:r>
      <w:proofErr w:type="spellEnd"/>
      <w:r w:rsidR="00D4256A" w:rsidRPr="000A38E5">
        <w:rPr>
          <w:i/>
          <w:lang w:val="en-US"/>
        </w:rPr>
        <w:t xml:space="preserve"> </w:t>
      </w:r>
      <w:r w:rsidR="00D4256A" w:rsidRPr="000A38E5">
        <w:rPr>
          <w:i/>
        </w:rPr>
        <w:t>v</w:t>
      </w:r>
      <w:r w:rsidR="00D4256A" w:rsidRPr="000A38E5">
        <w:rPr>
          <w:i/>
          <w:lang w:val="en-US"/>
        </w:rPr>
        <w:t xml:space="preserve">. </w:t>
      </w:r>
      <w:r w:rsidR="00D4256A" w:rsidRPr="000A38E5">
        <w:rPr>
          <w:i/>
        </w:rPr>
        <w:t>the</w:t>
      </w:r>
      <w:r w:rsidR="00D4256A" w:rsidRPr="000A38E5">
        <w:rPr>
          <w:i/>
          <w:lang w:val="en-US"/>
        </w:rPr>
        <w:t xml:space="preserve"> </w:t>
      </w:r>
      <w:r w:rsidR="00D4256A" w:rsidRPr="000A38E5">
        <w:rPr>
          <w:i/>
        </w:rPr>
        <w:t>former</w:t>
      </w:r>
      <w:r w:rsidR="00D4256A" w:rsidRPr="000A38E5">
        <w:rPr>
          <w:i/>
          <w:lang w:val="en-US"/>
        </w:rPr>
        <w:t xml:space="preserve"> </w:t>
      </w:r>
      <w:r w:rsidR="00D4256A" w:rsidRPr="000A38E5">
        <w:rPr>
          <w:i/>
        </w:rPr>
        <w:t>Yugoslav</w:t>
      </w:r>
      <w:r w:rsidR="00D4256A" w:rsidRPr="000A38E5">
        <w:rPr>
          <w:i/>
          <w:lang w:val="en-US"/>
        </w:rPr>
        <w:t xml:space="preserve"> </w:t>
      </w:r>
      <w:r w:rsidR="00D4256A" w:rsidRPr="000A38E5">
        <w:rPr>
          <w:i/>
        </w:rPr>
        <w:t>Republic</w:t>
      </w:r>
      <w:r w:rsidR="00D4256A" w:rsidRPr="000A38E5">
        <w:rPr>
          <w:i/>
          <w:lang w:val="en-US"/>
        </w:rPr>
        <w:t xml:space="preserve"> </w:t>
      </w:r>
      <w:r w:rsidR="00D4256A" w:rsidRPr="000A38E5">
        <w:rPr>
          <w:i/>
        </w:rPr>
        <w:t>of</w:t>
      </w:r>
      <w:r w:rsidR="00D4256A" w:rsidRPr="000A38E5">
        <w:rPr>
          <w:i/>
          <w:lang w:val="en-US"/>
        </w:rPr>
        <w:t xml:space="preserve"> </w:t>
      </w:r>
      <w:r w:rsidR="00D4256A" w:rsidRPr="000A38E5">
        <w:rPr>
          <w:i/>
        </w:rPr>
        <w:t>Macedonia</w:t>
      </w:r>
      <w:r w:rsidR="00D4256A" w:rsidRPr="000A38E5">
        <w:rPr>
          <w:i/>
          <w:lang w:val="en-US"/>
        </w:rPr>
        <w:t xml:space="preserve"> </w:t>
      </w:r>
      <w:r w:rsidR="00D4256A" w:rsidRPr="000A38E5">
        <w:rPr>
          <w:lang w:val="en-US"/>
        </w:rPr>
        <w:t>[</w:t>
      </w:r>
      <w:r w:rsidR="00D4256A" w:rsidRPr="000A38E5">
        <w:t>GC</w:t>
      </w:r>
      <w:r w:rsidR="00D4256A" w:rsidRPr="000A38E5">
        <w:rPr>
          <w:lang w:val="en-US"/>
        </w:rPr>
        <w:t xml:space="preserve">], </w:t>
      </w:r>
      <w:r w:rsidR="00D4256A" w:rsidRPr="000A38E5">
        <w:rPr>
          <w:lang w:val="uk-UA"/>
        </w:rPr>
        <w:t>№</w:t>
      </w:r>
      <w:r w:rsidR="00D4256A" w:rsidRPr="000A38E5">
        <w:t> </w:t>
      </w:r>
      <w:r w:rsidR="00D4256A" w:rsidRPr="000A38E5">
        <w:rPr>
          <w:lang w:val="en-US"/>
        </w:rPr>
        <w:t>39630/09, §§</w:t>
      </w:r>
      <w:r w:rsidR="00D4256A" w:rsidRPr="000A38E5">
        <w:t> </w:t>
      </w:r>
      <w:r w:rsidR="00D4256A" w:rsidRPr="000A38E5">
        <w:rPr>
          <w:lang w:val="en-US"/>
        </w:rPr>
        <w:t xml:space="preserve">183 </w:t>
      </w:r>
      <w:r w:rsidR="00D4256A" w:rsidRPr="000A38E5">
        <w:rPr>
          <w:lang w:val="uk-UA"/>
        </w:rPr>
        <w:t>та</w:t>
      </w:r>
      <w:r w:rsidR="00D4256A" w:rsidRPr="000A38E5">
        <w:rPr>
          <w:lang w:val="en-US"/>
        </w:rPr>
        <w:t xml:space="preserve"> 184, </w:t>
      </w:r>
      <w:r w:rsidR="00D4256A" w:rsidRPr="000A38E5">
        <w:t>ECHR</w:t>
      </w:r>
      <w:r w:rsidR="00D4256A" w:rsidRPr="000A38E5">
        <w:rPr>
          <w:lang w:val="en-US"/>
        </w:rPr>
        <w:t xml:space="preserve"> 2012). </w:t>
      </w:r>
      <w:r w:rsidR="00D4256A" w:rsidRPr="000A38E5">
        <w:rPr>
          <w:lang w:val="uk-UA"/>
        </w:rPr>
        <w:t>Постраждалі повинні мати можливість ефективно приймати участь у розслідуванні</w:t>
      </w:r>
      <w:r w:rsidR="00D4256A" w:rsidRPr="000A38E5">
        <w:t xml:space="preserve"> (</w:t>
      </w:r>
      <w:r w:rsidR="00D4256A" w:rsidRPr="000A38E5">
        <w:rPr>
          <w:lang w:val="uk-UA"/>
        </w:rPr>
        <w:t>там же</w:t>
      </w:r>
      <w:r w:rsidR="00D4256A" w:rsidRPr="000A38E5">
        <w:t xml:space="preserve">, § 185, </w:t>
      </w:r>
      <w:r w:rsidR="00D4256A" w:rsidRPr="000A38E5">
        <w:rPr>
          <w:lang w:val="uk-UA"/>
        </w:rPr>
        <w:t>і</w:t>
      </w:r>
      <w:r w:rsidR="00D4256A" w:rsidRPr="000A38E5">
        <w:t xml:space="preserve"> </w:t>
      </w:r>
      <w:proofErr w:type="spellStart"/>
      <w:r w:rsidR="00D4256A" w:rsidRPr="000A38E5">
        <w:rPr>
          <w:i/>
        </w:rPr>
        <w:t>Mocanu</w:t>
      </w:r>
      <w:proofErr w:type="spellEnd"/>
      <w:r w:rsidR="00D4256A" w:rsidRPr="000A38E5">
        <w:rPr>
          <w:i/>
        </w:rPr>
        <w:t xml:space="preserve"> and Others v. Romania </w:t>
      </w:r>
      <w:r w:rsidR="00D4256A" w:rsidRPr="000A38E5">
        <w:rPr>
          <w:snapToGrid w:val="0"/>
        </w:rPr>
        <w:t xml:space="preserve">[GC], </w:t>
      </w:r>
      <w:r w:rsidR="00D4256A" w:rsidRPr="000A38E5">
        <w:rPr>
          <w:snapToGrid w:val="0"/>
          <w:lang w:val="uk-UA"/>
        </w:rPr>
        <w:t>№№</w:t>
      </w:r>
      <w:r w:rsidR="00D4256A" w:rsidRPr="000A38E5">
        <w:rPr>
          <w:snapToGrid w:val="0"/>
        </w:rPr>
        <w:t> 10865/09</w:t>
      </w:r>
      <w:r w:rsidR="00D4256A" w:rsidRPr="000A38E5">
        <w:t xml:space="preserve"> </w:t>
      </w:r>
      <w:r w:rsidR="00D4256A" w:rsidRPr="000A38E5">
        <w:rPr>
          <w:lang w:val="uk-UA"/>
        </w:rPr>
        <w:t>та 2 інших</w:t>
      </w:r>
      <w:r w:rsidR="00D4256A" w:rsidRPr="000A38E5">
        <w:t>, § 324, ECHR 2014 (</w:t>
      </w:r>
      <w:r w:rsidR="00D4256A" w:rsidRPr="000A38E5">
        <w:rPr>
          <w:lang w:val="uk-UA"/>
        </w:rPr>
        <w:t>витяги</w:t>
      </w:r>
      <w:r w:rsidR="00D4256A" w:rsidRPr="000A38E5">
        <w:t>)).</w:t>
      </w:r>
    </w:p>
    <w:p w:rsidR="00D4256A" w:rsidRPr="000A38E5" w:rsidRDefault="004E7608" w:rsidP="00D4256A">
      <w:pPr>
        <w:pStyle w:val="ECHRPara"/>
        <w:rPr>
          <w:i/>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160</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Суд зазначає з самого початку, що твердження сьомого та дев’ятого заявника про жорстоке поводження</w:t>
      </w:r>
      <w:r w:rsidR="00D4256A" w:rsidRPr="000A38E5">
        <w:rPr>
          <w:lang w:val="ru-RU"/>
        </w:rPr>
        <w:t xml:space="preserve"> </w:t>
      </w:r>
      <w:r w:rsidR="00D4256A" w:rsidRPr="000A38E5">
        <w:rPr>
          <w:lang w:val="uk-UA"/>
        </w:rPr>
        <w:t>в ході протестів у парку ім. Горького підтверджувалися медичними доказами ушкоджень. Не ставиться під сумнів, що заявники були присутні на місці сутичок у парку ім. Горького у відповідні дні, і що травми були отримані там. Це означає, що їх скарги були небезпідставними для цілей статті</w:t>
      </w:r>
      <w:r w:rsidR="00D4256A" w:rsidRPr="000A38E5">
        <w:rPr>
          <w:lang w:val="ru-RU"/>
        </w:rPr>
        <w:t xml:space="preserve"> 3 </w:t>
      </w:r>
      <w:r w:rsidR="00D4256A" w:rsidRPr="000A38E5">
        <w:rPr>
          <w:lang w:val="uk-UA"/>
        </w:rPr>
        <w:t>Конвенції</w:t>
      </w:r>
      <w:r w:rsidR="00D4256A" w:rsidRPr="000A38E5">
        <w:rPr>
          <w:lang w:val="ru-RU"/>
        </w:rPr>
        <w:t xml:space="preserve">, </w:t>
      </w:r>
      <w:r w:rsidR="00D4256A" w:rsidRPr="000A38E5">
        <w:rPr>
          <w:lang w:val="uk-UA"/>
        </w:rPr>
        <w:t>що вимагало, щоб національні органи влади провели ефективне розслідування</w:t>
      </w:r>
      <w:r w:rsidR="00D4256A" w:rsidRPr="000A38E5">
        <w:rPr>
          <w:lang w:val="ru-RU"/>
        </w:rPr>
        <w:t xml:space="preserve">. </w:t>
      </w:r>
      <w:r w:rsidR="00D4256A" w:rsidRPr="000A38E5">
        <w:rPr>
          <w:lang w:val="uk-UA"/>
        </w:rPr>
        <w:t>У цьому зв’язку важливо підкреслити, що термін «небезпідставне твердження»</w:t>
      </w:r>
      <w:r w:rsidR="00D4256A" w:rsidRPr="000A38E5">
        <w:rPr>
          <w:lang w:val="ru-RU"/>
        </w:rPr>
        <w:t xml:space="preserve"> </w:t>
      </w:r>
      <w:r w:rsidR="00D4256A" w:rsidRPr="000A38E5">
        <w:rPr>
          <w:lang w:val="uk-UA"/>
        </w:rPr>
        <w:t>не може дорівнювати визнанню порушення статті 3 у її матеріальному аспекті</w:t>
      </w:r>
      <w:r w:rsidR="00D4256A" w:rsidRPr="000A38E5">
        <w:rPr>
          <w:lang w:val="ru-RU"/>
        </w:rPr>
        <w:t xml:space="preserve"> (</w:t>
      </w:r>
      <w:r w:rsidR="00D4256A" w:rsidRPr="000A38E5">
        <w:rPr>
          <w:lang w:val="uk-UA"/>
        </w:rPr>
        <w:t>див.</w:t>
      </w:r>
      <w:r w:rsidR="00D4256A" w:rsidRPr="000A38E5">
        <w:rPr>
          <w:lang w:val="ru-RU"/>
        </w:rPr>
        <w:t xml:space="preserve"> </w:t>
      </w:r>
      <w:proofErr w:type="spellStart"/>
      <w:r w:rsidR="00D4256A" w:rsidRPr="000A38E5">
        <w:rPr>
          <w:i/>
          <w:iCs/>
        </w:rPr>
        <w:t>Hentschel</w:t>
      </w:r>
      <w:proofErr w:type="spellEnd"/>
      <w:r w:rsidR="00D4256A" w:rsidRPr="000A38E5">
        <w:rPr>
          <w:i/>
          <w:iCs/>
          <w:lang w:val="ru-RU"/>
        </w:rPr>
        <w:t xml:space="preserve"> </w:t>
      </w:r>
      <w:r w:rsidR="00D4256A" w:rsidRPr="000A38E5">
        <w:rPr>
          <w:i/>
          <w:iCs/>
        </w:rPr>
        <w:t>and</w:t>
      </w:r>
      <w:r w:rsidR="00D4256A" w:rsidRPr="000A38E5">
        <w:rPr>
          <w:i/>
          <w:iCs/>
          <w:lang w:val="ru-RU"/>
        </w:rPr>
        <w:t xml:space="preserve"> </w:t>
      </w:r>
      <w:r w:rsidR="00D4256A" w:rsidRPr="000A38E5">
        <w:rPr>
          <w:i/>
          <w:iCs/>
        </w:rPr>
        <w:t>Stark</w:t>
      </w:r>
      <w:r w:rsidR="00D4256A" w:rsidRPr="000A38E5">
        <w:rPr>
          <w:lang w:val="ru-RU" w:eastAsia="en-GB"/>
        </w:rPr>
        <w:t xml:space="preserve">, </w:t>
      </w:r>
      <w:proofErr w:type="spellStart"/>
      <w:r w:rsidR="00D4256A" w:rsidRPr="000A38E5">
        <w:rPr>
          <w:lang w:val="uk-UA" w:eastAsia="en-GB"/>
        </w:rPr>
        <w:t>цит</w:t>
      </w:r>
      <w:proofErr w:type="spellEnd"/>
      <w:r w:rsidR="00D4256A" w:rsidRPr="000A38E5">
        <w:rPr>
          <w:lang w:val="uk-UA" w:eastAsia="en-GB"/>
        </w:rPr>
        <w:t>. вище</w:t>
      </w:r>
      <w:r w:rsidR="00D4256A" w:rsidRPr="000A38E5">
        <w:rPr>
          <w:lang w:val="ru-RU" w:eastAsia="en-GB"/>
        </w:rPr>
        <w:t xml:space="preserve">, </w:t>
      </w:r>
      <w:r w:rsidR="00D4256A" w:rsidRPr="000A38E5">
        <w:rPr>
          <w:lang w:val="ru-RU"/>
        </w:rPr>
        <w:t>§ 82)</w:t>
      </w:r>
      <w:r w:rsidR="00D4256A" w:rsidRPr="000A38E5">
        <w:rPr>
          <w:lang w:val="uk-UA"/>
        </w:rPr>
        <w:t>,</w:t>
      </w:r>
      <w:r w:rsidR="00D4256A" w:rsidRPr="000A38E5">
        <w:rPr>
          <w:lang w:val="ru-RU"/>
        </w:rPr>
        <w:t xml:space="preserve"> </w:t>
      </w:r>
      <w:r w:rsidR="00D4256A" w:rsidRPr="000A38E5">
        <w:rPr>
          <w:lang w:val="uk-UA"/>
        </w:rPr>
        <w:t xml:space="preserve">або навіть визнанню матеріальної скарги </w:t>
      </w:r>
      <w:proofErr w:type="spellStart"/>
      <w:r w:rsidR="00D4256A" w:rsidRPr="000A38E5">
        <w:rPr>
          <w:lang w:val="uk-UA"/>
        </w:rPr>
        <w:t>обгрунтованою</w:t>
      </w:r>
      <w:proofErr w:type="spellEnd"/>
      <w:r w:rsidR="00D4256A" w:rsidRPr="000A38E5">
        <w:rPr>
          <w:lang w:val="ru-RU"/>
        </w:rPr>
        <w:t xml:space="preserve"> </w:t>
      </w:r>
      <w:r w:rsidR="00D4256A" w:rsidRPr="000A38E5">
        <w:rPr>
          <w:lang w:val="uk-UA"/>
        </w:rPr>
        <w:t>на стадії проваджень у Суді</w:t>
      </w:r>
      <w:r w:rsidR="00D4256A" w:rsidRPr="000A38E5">
        <w:rPr>
          <w:lang w:val="ru-RU"/>
        </w:rPr>
        <w:t xml:space="preserve"> (</w:t>
      </w:r>
      <w:r w:rsidR="00D4256A" w:rsidRPr="000A38E5">
        <w:rPr>
          <w:lang w:val="uk-UA"/>
        </w:rPr>
        <w:t>див.</w:t>
      </w:r>
      <w:r w:rsidR="00D4256A" w:rsidRPr="000A38E5">
        <w:rPr>
          <w:lang w:val="ru-RU"/>
        </w:rPr>
        <w:t xml:space="preserve"> </w:t>
      </w:r>
      <w:proofErr w:type="spellStart"/>
      <w:r w:rsidR="00D4256A" w:rsidRPr="000A38E5">
        <w:rPr>
          <w:i/>
        </w:rPr>
        <w:t>Alpar</w:t>
      </w:r>
      <w:proofErr w:type="spellEnd"/>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Turkey</w:t>
      </w:r>
      <w:r w:rsidR="00D4256A" w:rsidRPr="000A38E5">
        <w:rPr>
          <w:lang w:val="ru-RU"/>
        </w:rPr>
        <w:t xml:space="preserve">, </w:t>
      </w:r>
      <w:r w:rsidR="00D4256A" w:rsidRPr="000A38E5">
        <w:rPr>
          <w:lang w:val="uk-UA"/>
        </w:rPr>
        <w:t>№</w:t>
      </w:r>
      <w:r w:rsidR="00D4256A" w:rsidRPr="000A38E5">
        <w:rPr>
          <w:lang w:val="ru-RU"/>
        </w:rPr>
        <w:t xml:space="preserve"> 22643/07, §</w:t>
      </w:r>
      <w:r w:rsidR="00D4256A" w:rsidRPr="000A38E5">
        <w:t> </w:t>
      </w:r>
      <w:r w:rsidR="00D4256A" w:rsidRPr="000A38E5">
        <w:rPr>
          <w:lang w:val="ru-RU"/>
        </w:rPr>
        <w:t>42, 26</w:t>
      </w:r>
      <w:r w:rsidR="00D4256A" w:rsidRPr="000A38E5">
        <w:t> </w:t>
      </w:r>
      <w:r w:rsidR="00D4256A" w:rsidRPr="000A38E5">
        <w:rPr>
          <w:lang w:val="uk-UA"/>
        </w:rPr>
        <w:t>січня</w:t>
      </w:r>
      <w:r w:rsidR="00D4256A" w:rsidRPr="000A38E5">
        <w:rPr>
          <w:lang w:val="ru-RU"/>
        </w:rPr>
        <w:t xml:space="preserve"> 2016, </w:t>
      </w:r>
      <w:r w:rsidR="00D4256A" w:rsidRPr="000A38E5">
        <w:rPr>
          <w:lang w:val="uk-UA"/>
        </w:rPr>
        <w:t>та</w:t>
      </w:r>
      <w:r w:rsidR="00D4256A" w:rsidRPr="000A38E5">
        <w:rPr>
          <w:lang w:val="ru-RU"/>
        </w:rPr>
        <w:t xml:space="preserve"> </w:t>
      </w:r>
      <w:proofErr w:type="spellStart"/>
      <w:r w:rsidR="00D4256A" w:rsidRPr="000A38E5">
        <w:rPr>
          <w:i/>
        </w:rPr>
        <w:t>Skant</w:t>
      </w:r>
      <w:proofErr w:type="spellEnd"/>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Ukraine</w:t>
      </w:r>
      <w:r w:rsidR="00D4256A" w:rsidRPr="000A38E5">
        <w:rPr>
          <w:lang w:val="ru-RU"/>
        </w:rPr>
        <w:t xml:space="preserve"> (</w:t>
      </w:r>
      <w:proofErr w:type="spellStart"/>
      <w:r w:rsidR="00D4256A" w:rsidRPr="000A38E5">
        <w:t>dec</w:t>
      </w:r>
      <w:proofErr w:type="spellEnd"/>
      <w:r w:rsidR="00D4256A" w:rsidRPr="000A38E5">
        <w:rPr>
          <w:lang w:val="ru-RU"/>
        </w:rPr>
        <w:t xml:space="preserve">.), </w:t>
      </w:r>
      <w:r w:rsidR="00D4256A" w:rsidRPr="000A38E5">
        <w:rPr>
          <w:lang w:val="uk-UA"/>
        </w:rPr>
        <w:t>№</w:t>
      </w:r>
      <w:r w:rsidR="00D4256A" w:rsidRPr="000A38E5">
        <w:t> </w:t>
      </w:r>
      <w:r w:rsidR="00D4256A" w:rsidRPr="000A38E5">
        <w:rPr>
          <w:lang w:val="ru-RU"/>
        </w:rPr>
        <w:t>25922/09, §</w:t>
      </w:r>
      <w:r w:rsidR="00D4256A" w:rsidRPr="000A38E5">
        <w:t> </w:t>
      </w:r>
      <w:r w:rsidR="00D4256A" w:rsidRPr="000A38E5">
        <w:rPr>
          <w:lang w:val="ru-RU"/>
        </w:rPr>
        <w:t>43, 6</w:t>
      </w:r>
      <w:r w:rsidR="00D4256A" w:rsidRPr="000A38E5">
        <w:t> </w:t>
      </w:r>
      <w:r w:rsidR="00D4256A" w:rsidRPr="000A38E5">
        <w:rPr>
          <w:lang w:val="uk-UA"/>
        </w:rPr>
        <w:t>вересня</w:t>
      </w:r>
      <w:r w:rsidR="00D4256A" w:rsidRPr="000A38E5">
        <w:rPr>
          <w:lang w:val="ru-RU"/>
        </w:rPr>
        <w:t xml:space="preserve"> 2016).</w:t>
      </w:r>
    </w:p>
    <w:p w:rsidR="00D4256A" w:rsidRPr="000A38E5" w:rsidRDefault="004E7608" w:rsidP="00D4256A">
      <w:pPr>
        <w:pStyle w:val="ECHRPara"/>
        <w:rPr>
          <w:lang w:val="uk-UA"/>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161</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Матеріали справи демонструють, що ключове національне розслідування</w:t>
      </w:r>
      <w:r w:rsidR="00D4256A" w:rsidRPr="000A38E5">
        <w:rPr>
          <w:lang w:val="ru-RU"/>
        </w:rPr>
        <w:t xml:space="preserve"> </w:t>
      </w:r>
      <w:r w:rsidR="00D4256A" w:rsidRPr="000A38E5">
        <w:rPr>
          <w:lang w:val="uk-UA"/>
        </w:rPr>
        <w:t>подій у парку ім. Горького у травні та червні 2010 року проводилося у рамках дослідчої перевірки прокуратурою, що закінчилося рішенням про відмову у порушенні кримінальних проваджень від 9 серпня 2010 року. Це рішення та значна кількість матеріалів, зібраних у ході процедури, були надані Суду.</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162</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Однак, це рішення не стосувалося остаточно саме справ сьомого та дев’ятого заявників,</w:t>
      </w:r>
      <w:r w:rsidR="00D4256A" w:rsidRPr="000A38E5">
        <w:rPr>
          <w:lang w:val="ru-RU"/>
        </w:rPr>
        <w:t xml:space="preserve"> </w:t>
      </w:r>
      <w:r w:rsidR="00D4256A" w:rsidRPr="000A38E5">
        <w:rPr>
          <w:lang w:val="uk-UA"/>
        </w:rPr>
        <w:t>оскільки їх скарги розслідувалися міліцією</w:t>
      </w:r>
      <w:r w:rsidR="00D4256A" w:rsidRPr="000A38E5">
        <w:rPr>
          <w:lang w:val="ru-RU"/>
        </w:rPr>
        <w:t xml:space="preserve">. </w:t>
      </w:r>
      <w:r w:rsidR="00D4256A" w:rsidRPr="000A38E5">
        <w:rPr>
          <w:lang w:val="uk-UA"/>
        </w:rPr>
        <w:t>Це розслідування закінчилося рішеннями про відмову в порушенні кримінальної справи від 13 серпня</w:t>
      </w:r>
      <w:r w:rsidR="00D4256A" w:rsidRPr="000A38E5">
        <w:rPr>
          <w:lang w:val="ru-RU"/>
        </w:rPr>
        <w:t xml:space="preserve"> 2010 року (</w:t>
      </w:r>
      <w:r w:rsidR="00D4256A" w:rsidRPr="000A38E5">
        <w:rPr>
          <w:lang w:val="uk-UA"/>
        </w:rPr>
        <w:t>стосовно лише сьомого заявника</w:t>
      </w:r>
      <w:r w:rsidR="00D4256A" w:rsidRPr="000A38E5">
        <w:rPr>
          <w:lang w:val="ru-RU"/>
        </w:rPr>
        <w:t xml:space="preserve">) </w:t>
      </w:r>
      <w:r w:rsidR="00D4256A" w:rsidRPr="000A38E5">
        <w:rPr>
          <w:lang w:val="uk-UA"/>
        </w:rPr>
        <w:t>та 20 серпня</w:t>
      </w:r>
      <w:r w:rsidR="00D4256A" w:rsidRPr="000A38E5">
        <w:rPr>
          <w:lang w:val="ru-RU"/>
        </w:rPr>
        <w:t xml:space="preserve"> 2010 р. (</w:t>
      </w:r>
      <w:r w:rsidR="00D4256A" w:rsidRPr="000A38E5">
        <w:rPr>
          <w:lang w:val="uk-UA"/>
        </w:rPr>
        <w:t>див. пункти</w:t>
      </w:r>
      <w:r w:rsidR="00D4256A" w:rsidRPr="000A38E5">
        <w:rPr>
          <w:lang w:val="ru-RU"/>
        </w:rPr>
        <w:t xml:space="preserve"> </w:t>
      </w:r>
      <w:fldSimple w:instr=" REF investigation_decision_13aug \h  \* MERGEFORMAT ">
        <w:r w:rsidR="00D4256A" w:rsidRPr="000A38E5">
          <w:rPr>
            <w:noProof/>
            <w:lang w:val="ru-RU"/>
          </w:rPr>
          <w:t>87</w:t>
        </w:r>
      </w:fldSimple>
      <w:r w:rsidR="00D4256A" w:rsidRPr="000A38E5">
        <w:rPr>
          <w:lang w:val="ru-RU"/>
        </w:rPr>
        <w:t xml:space="preserve"> </w:t>
      </w:r>
      <w:r w:rsidR="00D4256A" w:rsidRPr="000A38E5">
        <w:rPr>
          <w:lang w:val="uk-UA"/>
        </w:rPr>
        <w:t>та</w:t>
      </w:r>
      <w:r w:rsidR="00D4256A" w:rsidRPr="000A38E5">
        <w:rPr>
          <w:lang w:val="ru-RU"/>
        </w:rPr>
        <w:t xml:space="preserve"> </w:t>
      </w:r>
      <w:fldSimple w:instr=" REF investigation_decision_20aug \h  \* MERGEFORMAT ">
        <w:r w:rsidR="00D4256A" w:rsidRPr="000A38E5">
          <w:rPr>
            <w:noProof/>
            <w:lang w:val="ru-RU"/>
          </w:rPr>
          <w:t>88</w:t>
        </w:r>
      </w:fldSimple>
      <w:r w:rsidR="00D4256A" w:rsidRPr="000A38E5">
        <w:rPr>
          <w:lang w:val="ru-RU"/>
        </w:rPr>
        <w:t xml:space="preserve"> </w:t>
      </w:r>
      <w:r w:rsidR="00D4256A" w:rsidRPr="000A38E5">
        <w:rPr>
          <w:lang w:val="uk-UA"/>
        </w:rPr>
        <w:t>вище</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163</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На жаль, останнє з цих рішень не було надано до Суду</w:t>
      </w:r>
      <w:r w:rsidR="00D4256A" w:rsidRPr="000A38E5">
        <w:rPr>
          <w:lang w:val="ru-RU"/>
        </w:rPr>
        <w:t xml:space="preserve">. </w:t>
      </w:r>
      <w:r w:rsidR="00D4256A" w:rsidRPr="000A38E5">
        <w:rPr>
          <w:lang w:val="uk-UA"/>
        </w:rPr>
        <w:t>Підстави для цього невідомі</w:t>
      </w:r>
      <w:r w:rsidR="00D4256A" w:rsidRPr="000A38E5">
        <w:rPr>
          <w:lang w:val="ru-RU"/>
        </w:rPr>
        <w:t xml:space="preserve">. </w:t>
      </w:r>
      <w:r w:rsidR="00D4256A" w:rsidRPr="000A38E5">
        <w:rPr>
          <w:lang w:val="uk-UA"/>
        </w:rPr>
        <w:t>Ця нездатність надати записи розслідування позбавила Суд повної можливості</w:t>
      </w:r>
      <w:r w:rsidR="00D4256A" w:rsidRPr="000A38E5">
        <w:rPr>
          <w:lang w:val="ru-RU"/>
        </w:rPr>
        <w:t xml:space="preserve"> </w:t>
      </w:r>
      <w:r w:rsidR="00D4256A" w:rsidRPr="000A38E5">
        <w:rPr>
          <w:lang w:val="uk-UA"/>
        </w:rPr>
        <w:t>розглянути кроки, зроблені органами влади для розслідування</w:t>
      </w:r>
      <w:r w:rsidR="00D4256A" w:rsidRPr="000A38E5">
        <w:rPr>
          <w:lang w:val="ru-RU"/>
        </w:rPr>
        <w:t xml:space="preserve"> </w:t>
      </w:r>
      <w:r w:rsidR="00D4256A" w:rsidRPr="000A38E5">
        <w:rPr>
          <w:lang w:val="uk-UA"/>
        </w:rPr>
        <w:t>тверджень заявників</w:t>
      </w:r>
      <w:r w:rsidR="00D4256A" w:rsidRPr="000A38E5">
        <w:rPr>
          <w:lang w:val="ru-RU"/>
        </w:rPr>
        <w:t xml:space="preserve"> (</w:t>
      </w:r>
      <w:r w:rsidR="00D4256A" w:rsidRPr="000A38E5">
        <w:rPr>
          <w:lang w:val="uk-UA"/>
        </w:rPr>
        <w:t>див.</w:t>
      </w:r>
      <w:r w:rsidR="00D4256A" w:rsidRPr="000A38E5">
        <w:rPr>
          <w:lang w:val="ru-RU"/>
        </w:rPr>
        <w:t xml:space="preserve"> </w:t>
      </w:r>
      <w:proofErr w:type="spellStart"/>
      <w:r w:rsidR="00D4256A" w:rsidRPr="000A38E5">
        <w:rPr>
          <w:i/>
        </w:rPr>
        <w:t>Davydov</w:t>
      </w:r>
      <w:proofErr w:type="spellEnd"/>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Others</w:t>
      </w:r>
      <w:r w:rsidR="00D4256A" w:rsidRPr="000A38E5">
        <w:rPr>
          <w:lang w:val="ru-RU"/>
        </w:rPr>
        <w:t xml:space="preserve">, </w:t>
      </w:r>
      <w:proofErr w:type="spellStart"/>
      <w:r w:rsidR="00D4256A" w:rsidRPr="000A38E5">
        <w:rPr>
          <w:lang w:val="uk-UA"/>
        </w:rPr>
        <w:t>цит</w:t>
      </w:r>
      <w:proofErr w:type="spellEnd"/>
      <w:r w:rsidR="00D4256A" w:rsidRPr="000A38E5">
        <w:rPr>
          <w:lang w:val="uk-UA"/>
        </w:rPr>
        <w:t>. вище</w:t>
      </w:r>
      <w:r w:rsidR="00D4256A" w:rsidRPr="000A38E5">
        <w:rPr>
          <w:lang w:val="ru-RU"/>
        </w:rPr>
        <w:t xml:space="preserve">, § 281). </w:t>
      </w:r>
      <w:r w:rsidR="00D4256A" w:rsidRPr="000A38E5">
        <w:rPr>
          <w:lang w:val="uk-UA"/>
        </w:rPr>
        <w:t xml:space="preserve">Однак заявники стверджували, і це твердження залишається </w:t>
      </w:r>
      <w:proofErr w:type="spellStart"/>
      <w:r w:rsidR="00D4256A" w:rsidRPr="000A38E5">
        <w:rPr>
          <w:lang w:val="uk-UA"/>
        </w:rPr>
        <w:t>неспростованим</w:t>
      </w:r>
      <w:proofErr w:type="spellEnd"/>
      <w:r w:rsidR="00D4256A" w:rsidRPr="000A38E5">
        <w:rPr>
          <w:lang w:val="ru-RU"/>
        </w:rPr>
        <w:t xml:space="preserve">, </w:t>
      </w:r>
      <w:r w:rsidR="00D4256A" w:rsidRPr="000A38E5">
        <w:rPr>
          <w:lang w:val="uk-UA"/>
        </w:rPr>
        <w:t xml:space="preserve">що </w:t>
      </w:r>
      <w:r w:rsidR="00D4256A" w:rsidRPr="000A38E5">
        <w:rPr>
          <w:lang w:val="uk-UA"/>
        </w:rPr>
        <w:lastRenderedPageBreak/>
        <w:t>вони взнали про це рішення лише з заперечень Уряду,</w:t>
      </w:r>
      <w:r w:rsidR="00D4256A" w:rsidRPr="000A38E5">
        <w:rPr>
          <w:lang w:val="ru-RU"/>
        </w:rPr>
        <w:t xml:space="preserve"> </w:t>
      </w:r>
      <w:r w:rsidR="00D4256A" w:rsidRPr="000A38E5">
        <w:rPr>
          <w:lang w:val="uk-UA"/>
        </w:rPr>
        <w:t>і що копія цього рішення не була їм видана</w:t>
      </w:r>
      <w:r w:rsidR="00D4256A" w:rsidRPr="000A38E5">
        <w:rPr>
          <w:lang w:val="ru-RU"/>
        </w:rPr>
        <w:t xml:space="preserve">, </w:t>
      </w:r>
      <w:r w:rsidR="00D4256A" w:rsidRPr="000A38E5">
        <w:rPr>
          <w:lang w:val="uk-UA"/>
        </w:rPr>
        <w:t>навіть після того, як вони узнали про нього і намагалися отримати копію</w:t>
      </w:r>
      <w:r w:rsidR="00D4256A" w:rsidRPr="000A38E5">
        <w:rPr>
          <w:lang w:val="ru-RU"/>
        </w:rPr>
        <w:t xml:space="preserve">. </w:t>
      </w:r>
      <w:r w:rsidR="00D4256A" w:rsidRPr="000A38E5">
        <w:rPr>
          <w:lang w:val="uk-UA"/>
        </w:rPr>
        <w:t>Їх твердження підтверджується доказами, що вони вимагали інформацію</w:t>
      </w:r>
      <w:r w:rsidR="00D4256A" w:rsidRPr="000A38E5">
        <w:rPr>
          <w:lang w:val="ru-RU"/>
        </w:rPr>
        <w:t xml:space="preserve"> </w:t>
      </w:r>
      <w:r w:rsidR="00D4256A" w:rsidRPr="000A38E5">
        <w:rPr>
          <w:lang w:val="uk-UA"/>
        </w:rPr>
        <w:t>від органів влади, і Уряд не заперечував конкретно проти цього</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investigation_decision_20aug \h  \* MERGEFORMAT ">
        <w:r w:rsidR="00D4256A" w:rsidRPr="000A38E5">
          <w:rPr>
            <w:noProof/>
            <w:lang w:val="ru-RU"/>
          </w:rPr>
          <w:t>88</w:t>
        </w:r>
      </w:fldSimple>
      <w:r w:rsidR="00D4256A" w:rsidRPr="000A38E5">
        <w:rPr>
          <w:lang w:val="ru-RU"/>
        </w:rPr>
        <w:t xml:space="preserve"> </w:t>
      </w:r>
      <w:r w:rsidR="00D4256A" w:rsidRPr="000A38E5">
        <w:rPr>
          <w:lang w:val="uk-UA"/>
        </w:rPr>
        <w:t>вище</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164</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За таких обставин Суд вважає встановленим,</w:t>
      </w:r>
      <w:r w:rsidR="00D4256A" w:rsidRPr="000A38E5">
        <w:rPr>
          <w:lang w:val="ru-RU"/>
        </w:rPr>
        <w:t xml:space="preserve"> </w:t>
      </w:r>
      <w:r w:rsidR="00D4256A" w:rsidRPr="000A38E5">
        <w:rPr>
          <w:lang w:val="uk-UA"/>
        </w:rPr>
        <w:t>що заявникам не вдалося в знати результат розслідування їх скарг</w:t>
      </w:r>
      <w:r w:rsidR="00D4256A" w:rsidRPr="000A38E5">
        <w:rPr>
          <w:lang w:val="ru-RU"/>
        </w:rPr>
        <w:t>.</w:t>
      </w:r>
    </w:p>
    <w:p w:rsidR="00D4256A" w:rsidRPr="000A38E5" w:rsidRDefault="004E7608" w:rsidP="00D4256A">
      <w:pPr>
        <w:pStyle w:val="ECHRPara"/>
        <w:rPr>
          <w:lang w:val="uk-UA"/>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165</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Суд вже визнав порушення статті</w:t>
      </w:r>
      <w:r w:rsidR="00D4256A" w:rsidRPr="000A38E5">
        <w:rPr>
          <w:lang w:val="ru-RU"/>
        </w:rPr>
        <w:t xml:space="preserve"> 3 </w:t>
      </w:r>
      <w:r w:rsidR="00D4256A" w:rsidRPr="000A38E5">
        <w:rPr>
          <w:lang w:val="uk-UA"/>
        </w:rPr>
        <w:t>у ряді справ</w:t>
      </w:r>
      <w:r w:rsidR="00D4256A" w:rsidRPr="000A38E5">
        <w:rPr>
          <w:lang w:val="ru-RU"/>
        </w:rPr>
        <w:t xml:space="preserve">, </w:t>
      </w:r>
      <w:r w:rsidR="00D4256A" w:rsidRPr="000A38E5">
        <w:rPr>
          <w:lang w:val="uk-UA"/>
        </w:rPr>
        <w:t>принаймні частково, на підставі того,</w:t>
      </w:r>
      <w:r w:rsidR="00D4256A" w:rsidRPr="000A38E5">
        <w:rPr>
          <w:lang w:val="ru-RU"/>
        </w:rPr>
        <w:t xml:space="preserve"> </w:t>
      </w:r>
      <w:r w:rsidR="00D4256A" w:rsidRPr="000A38E5">
        <w:rPr>
          <w:lang w:val="uk-UA"/>
        </w:rPr>
        <w:t xml:space="preserve">що право заявників на ефективну участь у розслідуванні не було забезпечено (див., наприклад, </w:t>
      </w:r>
      <w:r w:rsidR="00D4256A" w:rsidRPr="000A38E5">
        <w:rPr>
          <w:i/>
        </w:rPr>
        <w:t>B</w:t>
      </w:r>
      <w:r w:rsidR="00D4256A" w:rsidRPr="000A38E5">
        <w:rPr>
          <w:i/>
          <w:lang w:val="uk-UA"/>
        </w:rPr>
        <w:t>ü</w:t>
      </w:r>
      <w:r w:rsidR="00D4256A" w:rsidRPr="000A38E5">
        <w:rPr>
          <w:i/>
        </w:rPr>
        <w:t>y</w:t>
      </w:r>
      <w:r w:rsidR="00D4256A" w:rsidRPr="000A38E5">
        <w:rPr>
          <w:i/>
          <w:lang w:val="uk-UA"/>
        </w:rPr>
        <w:t>ü</w:t>
      </w:r>
      <w:proofErr w:type="spellStart"/>
      <w:r w:rsidR="00D4256A" w:rsidRPr="000A38E5">
        <w:rPr>
          <w:i/>
        </w:rPr>
        <w:t>kda</w:t>
      </w:r>
      <w:proofErr w:type="spellEnd"/>
      <w:r w:rsidR="00D4256A" w:rsidRPr="000A38E5">
        <w:rPr>
          <w:i/>
          <w:lang w:val="uk-UA"/>
        </w:rPr>
        <w:t xml:space="preserve">ğ </w:t>
      </w:r>
      <w:r w:rsidR="00D4256A" w:rsidRPr="000A38E5">
        <w:rPr>
          <w:i/>
        </w:rPr>
        <w:t>v</w:t>
      </w:r>
      <w:r w:rsidR="00D4256A" w:rsidRPr="000A38E5">
        <w:rPr>
          <w:i/>
          <w:lang w:val="uk-UA"/>
        </w:rPr>
        <w:t xml:space="preserve">. </w:t>
      </w:r>
      <w:r w:rsidR="00D4256A" w:rsidRPr="000A38E5">
        <w:rPr>
          <w:i/>
        </w:rPr>
        <w:t>Turkey</w:t>
      </w:r>
      <w:r w:rsidR="00D4256A" w:rsidRPr="000A38E5">
        <w:rPr>
          <w:lang w:val="uk-UA"/>
        </w:rPr>
        <w:t>, №</w:t>
      </w:r>
      <w:r w:rsidR="00D4256A" w:rsidRPr="000A38E5">
        <w:t> </w:t>
      </w:r>
      <w:r w:rsidR="00D4256A" w:rsidRPr="000A38E5">
        <w:rPr>
          <w:lang w:val="uk-UA"/>
        </w:rPr>
        <w:t>28340/95, §§ 67-69, 21</w:t>
      </w:r>
      <w:r w:rsidR="00D4256A" w:rsidRPr="000A38E5">
        <w:t> </w:t>
      </w:r>
      <w:r w:rsidR="00D4256A" w:rsidRPr="000A38E5">
        <w:rPr>
          <w:lang w:val="uk-UA"/>
        </w:rPr>
        <w:t xml:space="preserve">грудня 2000; </w:t>
      </w:r>
      <w:proofErr w:type="spellStart"/>
      <w:r w:rsidR="00D4256A" w:rsidRPr="000A38E5">
        <w:rPr>
          <w:i/>
        </w:rPr>
        <w:t>Dedovskiy</w:t>
      </w:r>
      <w:proofErr w:type="spellEnd"/>
      <w:r w:rsidR="00D4256A" w:rsidRPr="000A38E5">
        <w:rPr>
          <w:i/>
          <w:lang w:val="uk-UA"/>
        </w:rPr>
        <w:t xml:space="preserve"> </w:t>
      </w:r>
      <w:r w:rsidR="00D4256A" w:rsidRPr="000A38E5">
        <w:rPr>
          <w:i/>
        </w:rPr>
        <w:t>and Others</w:t>
      </w:r>
      <w:r w:rsidR="00D4256A" w:rsidRPr="000A38E5">
        <w:rPr>
          <w:i/>
          <w:lang w:val="uk-UA"/>
        </w:rPr>
        <w:t xml:space="preserve"> </w:t>
      </w:r>
      <w:r w:rsidR="00D4256A" w:rsidRPr="000A38E5">
        <w:rPr>
          <w:i/>
        </w:rPr>
        <w:t>v</w:t>
      </w:r>
      <w:r w:rsidR="00D4256A" w:rsidRPr="000A38E5">
        <w:rPr>
          <w:i/>
          <w:lang w:val="uk-UA"/>
        </w:rPr>
        <w:t xml:space="preserve">. </w:t>
      </w:r>
      <w:r w:rsidR="00D4256A" w:rsidRPr="000A38E5">
        <w:rPr>
          <w:i/>
        </w:rPr>
        <w:t>Russia</w:t>
      </w:r>
      <w:r w:rsidR="00D4256A" w:rsidRPr="000A38E5">
        <w:rPr>
          <w:lang w:val="uk-UA"/>
        </w:rPr>
        <w:t>, № 7178/03, § 92, 15</w:t>
      </w:r>
      <w:r w:rsidR="00D4256A" w:rsidRPr="000A38E5">
        <w:t> </w:t>
      </w:r>
      <w:r w:rsidR="00D4256A" w:rsidRPr="000A38E5">
        <w:rPr>
          <w:lang w:val="uk-UA"/>
        </w:rPr>
        <w:t xml:space="preserve">травня 2008; та </w:t>
      </w:r>
      <w:proofErr w:type="spellStart"/>
      <w:r w:rsidR="00D4256A" w:rsidRPr="000A38E5">
        <w:rPr>
          <w:i/>
        </w:rPr>
        <w:t>Oleksiy</w:t>
      </w:r>
      <w:proofErr w:type="spellEnd"/>
      <w:r w:rsidR="00D4256A" w:rsidRPr="000A38E5">
        <w:rPr>
          <w:i/>
        </w:rPr>
        <w:t> </w:t>
      </w:r>
      <w:proofErr w:type="spellStart"/>
      <w:r w:rsidR="00D4256A" w:rsidRPr="000A38E5">
        <w:rPr>
          <w:i/>
        </w:rPr>
        <w:t>Mykhaylovych</w:t>
      </w:r>
      <w:proofErr w:type="spellEnd"/>
      <w:r w:rsidR="00D4256A" w:rsidRPr="000A38E5">
        <w:rPr>
          <w:i/>
          <w:lang w:val="uk-UA"/>
        </w:rPr>
        <w:t xml:space="preserve"> </w:t>
      </w:r>
      <w:proofErr w:type="spellStart"/>
      <w:r w:rsidR="00D4256A" w:rsidRPr="000A38E5">
        <w:rPr>
          <w:i/>
        </w:rPr>
        <w:t>Zakharkin</w:t>
      </w:r>
      <w:proofErr w:type="spellEnd"/>
      <w:r w:rsidR="00D4256A" w:rsidRPr="000A38E5">
        <w:rPr>
          <w:i/>
          <w:lang w:val="uk-UA"/>
        </w:rPr>
        <w:t xml:space="preserve"> </w:t>
      </w:r>
      <w:r w:rsidR="00D4256A" w:rsidRPr="000A38E5">
        <w:rPr>
          <w:i/>
        </w:rPr>
        <w:t>v</w:t>
      </w:r>
      <w:r w:rsidR="00D4256A" w:rsidRPr="000A38E5">
        <w:rPr>
          <w:i/>
          <w:lang w:val="uk-UA"/>
        </w:rPr>
        <w:t xml:space="preserve">. </w:t>
      </w:r>
      <w:r w:rsidR="00D4256A" w:rsidRPr="000A38E5">
        <w:rPr>
          <w:i/>
        </w:rPr>
        <w:t>Ukraine</w:t>
      </w:r>
      <w:r w:rsidR="00D4256A" w:rsidRPr="000A38E5">
        <w:rPr>
          <w:lang w:val="uk-UA"/>
        </w:rPr>
        <w:t>, №</w:t>
      </w:r>
      <w:r w:rsidR="00D4256A" w:rsidRPr="000A38E5">
        <w:t> </w:t>
      </w:r>
      <w:r w:rsidR="00D4256A" w:rsidRPr="000A38E5">
        <w:rPr>
          <w:lang w:val="uk-UA"/>
        </w:rPr>
        <w:t>1727/04, §§ 73 та 74, 24</w:t>
      </w:r>
      <w:r w:rsidR="00D4256A" w:rsidRPr="000A38E5">
        <w:t> </w:t>
      </w:r>
      <w:r w:rsidR="00D4256A" w:rsidRPr="000A38E5">
        <w:rPr>
          <w:lang w:val="uk-UA"/>
        </w:rPr>
        <w:t xml:space="preserve">червня 2010), зокрема, коли це заважало заявникам користуватися засобами правового захисту, доступними відповідно до національного законодавства, та оскаржувати належність національного розслідування (див. </w:t>
      </w:r>
      <w:proofErr w:type="spellStart"/>
      <w:r w:rsidR="00D4256A" w:rsidRPr="000A38E5">
        <w:rPr>
          <w:i/>
        </w:rPr>
        <w:t>Basenko</w:t>
      </w:r>
      <w:proofErr w:type="spellEnd"/>
      <w:r w:rsidR="00D4256A" w:rsidRPr="000A38E5">
        <w:rPr>
          <w:lang w:val="uk-UA"/>
        </w:rPr>
        <w:t xml:space="preserve">, </w:t>
      </w:r>
      <w:proofErr w:type="spellStart"/>
      <w:r w:rsidR="00D4256A" w:rsidRPr="000A38E5">
        <w:rPr>
          <w:lang w:val="uk-UA"/>
        </w:rPr>
        <w:t>цит</w:t>
      </w:r>
      <w:proofErr w:type="spellEnd"/>
      <w:r w:rsidR="00D4256A" w:rsidRPr="000A38E5">
        <w:rPr>
          <w:lang w:val="uk-UA"/>
        </w:rPr>
        <w:t>. вище, §§</w:t>
      </w:r>
      <w:r w:rsidR="00D4256A" w:rsidRPr="000A38E5">
        <w:t> </w:t>
      </w:r>
      <w:r w:rsidR="00D4256A" w:rsidRPr="000A38E5">
        <w:rPr>
          <w:lang w:val="uk-UA"/>
        </w:rPr>
        <w:t>69</w:t>
      </w:r>
      <w:r w:rsidR="00D4256A" w:rsidRPr="000A38E5">
        <w:rPr>
          <w:lang w:val="uk-UA"/>
        </w:rPr>
        <w:noBreakHyphen/>
        <w:t>71).</w:t>
      </w:r>
    </w:p>
    <w:p w:rsidR="00D4256A" w:rsidRPr="000A38E5" w:rsidRDefault="004E7608" w:rsidP="00D4256A">
      <w:pPr>
        <w:pStyle w:val="ECHRPara"/>
        <w:rPr>
          <w:lang w:val="ru-RU"/>
        </w:rPr>
      </w:pPr>
      <w:r w:rsidRPr="000A38E5">
        <w:fldChar w:fldCharType="begin"/>
      </w:r>
      <w:r w:rsidR="00D4256A" w:rsidRPr="000A38E5">
        <w:rPr>
          <w:lang w:val="uk-UA"/>
        </w:rPr>
        <w:instrText xml:space="preserve"> </w:instrText>
      </w:r>
      <w:r w:rsidR="00D4256A" w:rsidRPr="000A38E5">
        <w:instrText>SEQ</w:instrText>
      </w:r>
      <w:r w:rsidR="00D4256A" w:rsidRPr="000A38E5">
        <w:rPr>
          <w:lang w:val="uk-UA"/>
        </w:rPr>
        <w:instrText xml:space="preserve"> </w:instrText>
      </w:r>
      <w:r w:rsidR="00D4256A" w:rsidRPr="000A38E5">
        <w:instrText>level</w:instrText>
      </w:r>
      <w:r w:rsidR="00D4256A" w:rsidRPr="000A38E5">
        <w:rPr>
          <w:lang w:val="uk-UA"/>
        </w:rPr>
        <w:instrText>0 \*</w:instrText>
      </w:r>
      <w:r w:rsidR="00D4256A" w:rsidRPr="000A38E5">
        <w:instrText>arabic</w:instrText>
      </w:r>
      <w:r w:rsidR="00D4256A" w:rsidRPr="000A38E5">
        <w:rPr>
          <w:lang w:val="uk-UA"/>
        </w:rPr>
        <w:instrText xml:space="preserve"> </w:instrText>
      </w:r>
      <w:r w:rsidRPr="000A38E5">
        <w:fldChar w:fldCharType="separate"/>
      </w:r>
      <w:r w:rsidR="00D4256A" w:rsidRPr="000A38E5">
        <w:rPr>
          <w:noProof/>
          <w:lang w:val="uk-UA"/>
        </w:rPr>
        <w:t>166</w:t>
      </w:r>
      <w:r w:rsidRPr="000A38E5">
        <w:rPr>
          <w:noProof/>
        </w:rPr>
        <w:fldChar w:fldCharType="end"/>
      </w:r>
      <w:r w:rsidR="00D4256A" w:rsidRPr="000A38E5">
        <w:rPr>
          <w:lang w:val="uk-UA"/>
        </w:rPr>
        <w:t>.</w:t>
      </w:r>
      <w:r w:rsidR="00D4256A" w:rsidRPr="00E93710">
        <w:rPr>
          <w:lang w:val="uk-UA"/>
        </w:rPr>
        <w:t xml:space="preserve"> </w:t>
      </w:r>
      <w:r w:rsidR="00D4256A" w:rsidRPr="000A38E5">
        <w:rPr>
          <w:lang w:val="uk-UA"/>
        </w:rPr>
        <w:t xml:space="preserve">Саме це відбулося в даній справі. Докази заявників демонструють, що органи влади постійно приховували від заявників інформацію про свої рішення, або принаймні надавали таку інформацію зі значними затримками (див. пункти </w:t>
      </w:r>
      <w:fldSimple w:instr=" REF investigation_decision_9aug_obtained \h  \* MERGEFORMAT ">
        <w:r w:rsidR="00D4256A" w:rsidRPr="000A38E5">
          <w:rPr>
            <w:noProof/>
            <w:lang w:val="uk-UA"/>
          </w:rPr>
          <w:t>86</w:t>
        </w:r>
      </w:fldSimple>
      <w:r w:rsidR="00D4256A" w:rsidRPr="000A38E5">
        <w:rPr>
          <w:lang w:val="uk-UA"/>
        </w:rPr>
        <w:t xml:space="preserve"> - </w:t>
      </w:r>
      <w:fldSimple w:instr=" REF investigation_decision_20aug \h  \* MERGEFORMAT ">
        <w:r w:rsidR="00D4256A" w:rsidRPr="000A38E5">
          <w:rPr>
            <w:noProof/>
            <w:lang w:val="uk-UA"/>
          </w:rPr>
          <w:t>88</w:t>
        </w:r>
      </w:fldSimple>
      <w:r w:rsidR="00D4256A" w:rsidRPr="000A38E5">
        <w:rPr>
          <w:lang w:val="uk-UA"/>
        </w:rPr>
        <w:t xml:space="preserve"> вище), незважаючи на існуючу в національному законодавстві явну вимогу про їх інформування (стаття 99 Кримінально-процесуального кодексу 1960 р., див. пункт</w:t>
      </w:r>
      <w:r w:rsidR="00D4256A" w:rsidRPr="000A38E5">
        <w:t> </w:t>
      </w:r>
      <w:fldSimple w:instr=" REF preinvestigation_enquiries_CPC \h  \* MERGEFORMAT ">
        <w:r w:rsidR="00D4256A" w:rsidRPr="000A38E5">
          <w:rPr>
            <w:noProof/>
            <w:lang w:val="uk-UA"/>
          </w:rPr>
          <w:t>101</w:t>
        </w:r>
      </w:fldSimple>
      <w:r w:rsidR="00D4256A" w:rsidRPr="000A38E5">
        <w:rPr>
          <w:lang w:val="uk-UA"/>
        </w:rPr>
        <w:t xml:space="preserve"> вище). За таких обставин рішення від 20 серпня</w:t>
      </w:r>
      <w:r w:rsidR="00D4256A" w:rsidRPr="000A38E5">
        <w:rPr>
          <w:lang w:val="ru-RU"/>
        </w:rPr>
        <w:t xml:space="preserve"> 2010 </w:t>
      </w:r>
      <w:r w:rsidR="00D4256A" w:rsidRPr="000A38E5">
        <w:rPr>
          <w:lang w:val="uk-UA"/>
        </w:rPr>
        <w:t>року не було розглянутим національними судами</w:t>
      </w:r>
      <w:r w:rsidR="00D4256A" w:rsidRPr="000A38E5">
        <w:rPr>
          <w:lang w:val="ru-RU"/>
        </w:rPr>
        <w:t xml:space="preserve">. </w:t>
      </w:r>
      <w:r w:rsidR="00D4256A" w:rsidRPr="000A38E5">
        <w:rPr>
          <w:lang w:val="uk-UA"/>
        </w:rPr>
        <w:t>Це також означає, що висновок національного суду</w:t>
      </w:r>
      <w:r w:rsidR="00D4256A" w:rsidRPr="000A38E5">
        <w:rPr>
          <w:lang w:val="ru-RU"/>
        </w:rPr>
        <w:t xml:space="preserve"> </w:t>
      </w:r>
      <w:r w:rsidR="00D4256A" w:rsidRPr="000A38E5">
        <w:rPr>
          <w:lang w:val="uk-UA"/>
        </w:rPr>
        <w:t>про те, що рішення від 13 серпня</w:t>
      </w:r>
      <w:r w:rsidR="00D4256A" w:rsidRPr="000A38E5">
        <w:rPr>
          <w:lang w:val="ru-RU"/>
        </w:rPr>
        <w:t xml:space="preserve"> 2010 року </w:t>
      </w:r>
      <w:r w:rsidR="00D4256A" w:rsidRPr="000A38E5">
        <w:rPr>
          <w:lang w:val="uk-UA"/>
        </w:rPr>
        <w:t>було повністю необґрунтованим</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decision_no_proceedings_13_Aug_10 \h  \* MERGEFORMAT ">
        <w:r w:rsidR="00D4256A" w:rsidRPr="000A38E5">
          <w:rPr>
            <w:noProof/>
            <w:lang w:val="ru-RU"/>
          </w:rPr>
          <w:t>87</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 xml:space="preserve">залишилося </w:t>
      </w:r>
      <w:proofErr w:type="spellStart"/>
      <w:r w:rsidR="00D4256A" w:rsidRPr="000A38E5">
        <w:rPr>
          <w:lang w:val="uk-UA"/>
        </w:rPr>
        <w:t>неспростованим</w:t>
      </w:r>
      <w:proofErr w:type="spellEnd"/>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167</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Суд відмічає аргумент Уряду про те, що заявники</w:t>
      </w:r>
      <w:r w:rsidR="00D4256A" w:rsidRPr="000A38E5">
        <w:rPr>
          <w:lang w:val="ru-RU"/>
        </w:rPr>
        <w:t xml:space="preserve"> </w:t>
      </w:r>
      <w:r w:rsidR="00D4256A" w:rsidRPr="000A38E5">
        <w:rPr>
          <w:lang w:val="uk-UA"/>
        </w:rPr>
        <w:t>не пройшли судово-медичну експертизу для встановлення</w:t>
      </w:r>
      <w:r w:rsidR="00D4256A" w:rsidRPr="000A38E5">
        <w:rPr>
          <w:lang w:val="ru-RU"/>
        </w:rPr>
        <w:t xml:space="preserve"> </w:t>
      </w:r>
      <w:r w:rsidR="00D4256A" w:rsidRPr="000A38E5">
        <w:rPr>
          <w:lang w:val="uk-UA"/>
        </w:rPr>
        <w:t>способу отримання ними травм</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Govt_no_forensic_medical \h  \* MERGEFORMAT ">
        <w:r w:rsidR="00D4256A" w:rsidRPr="000A38E5">
          <w:rPr>
            <w:noProof/>
            <w:lang w:val="ru-RU"/>
          </w:rPr>
          <w:t>143</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У цьому контексті Суд зазначає, що усталеним принципом практики Суду є те, що органи влади повинні діяти за власною ініціативою</w:t>
      </w:r>
      <w:r w:rsidR="00D4256A" w:rsidRPr="000A38E5">
        <w:rPr>
          <w:lang w:val="ru-RU"/>
        </w:rPr>
        <w:t xml:space="preserve"> (</w:t>
      </w:r>
      <w:r w:rsidR="00D4256A" w:rsidRPr="000A38E5">
        <w:rPr>
          <w:lang w:val="uk-UA"/>
        </w:rPr>
        <w:t>див.</w:t>
      </w:r>
      <w:r w:rsidR="00D4256A" w:rsidRPr="000A38E5">
        <w:rPr>
          <w:lang w:val="ru-RU"/>
        </w:rPr>
        <w:t xml:space="preserve"> </w:t>
      </w:r>
      <w:proofErr w:type="spellStart"/>
      <w:r w:rsidR="00D4256A" w:rsidRPr="000A38E5">
        <w:rPr>
          <w:i/>
        </w:rPr>
        <w:t>Mihhailov</w:t>
      </w:r>
      <w:proofErr w:type="spellEnd"/>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Estonia</w:t>
      </w:r>
      <w:r w:rsidR="00D4256A" w:rsidRPr="000A38E5">
        <w:rPr>
          <w:lang w:val="ru-RU"/>
        </w:rPr>
        <w:t xml:space="preserve">, </w:t>
      </w:r>
      <w:r w:rsidR="00D4256A" w:rsidRPr="000A38E5">
        <w:rPr>
          <w:lang w:val="uk-UA"/>
        </w:rPr>
        <w:t>№</w:t>
      </w:r>
      <w:r w:rsidR="00D4256A" w:rsidRPr="000A38E5">
        <w:rPr>
          <w:lang w:val="ru-RU"/>
        </w:rPr>
        <w:t xml:space="preserve"> 64418/10, § 126, 30 </w:t>
      </w:r>
      <w:r w:rsidR="00D4256A" w:rsidRPr="000A38E5">
        <w:rPr>
          <w:lang w:val="uk-UA"/>
        </w:rPr>
        <w:t>серпня</w:t>
      </w:r>
      <w:r w:rsidR="00D4256A" w:rsidRPr="000A38E5">
        <w:rPr>
          <w:lang w:val="ru-RU"/>
        </w:rPr>
        <w:t xml:space="preserve"> 2016, </w:t>
      </w:r>
      <w:r w:rsidR="00D4256A" w:rsidRPr="000A38E5">
        <w:rPr>
          <w:lang w:val="uk-UA"/>
        </w:rPr>
        <w:t>та</w:t>
      </w:r>
      <w:r w:rsidR="00D4256A" w:rsidRPr="000A38E5">
        <w:rPr>
          <w:lang w:val="ru-RU"/>
        </w:rPr>
        <w:t xml:space="preserve"> </w:t>
      </w:r>
      <w:proofErr w:type="spellStart"/>
      <w:r w:rsidR="00D4256A" w:rsidRPr="000A38E5">
        <w:rPr>
          <w:i/>
        </w:rPr>
        <w:t>Mocanu</w:t>
      </w:r>
      <w:proofErr w:type="spellEnd"/>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Others</w:t>
      </w:r>
      <w:r w:rsidR="00D4256A" w:rsidRPr="000A38E5">
        <w:rPr>
          <w:lang w:val="ru-RU"/>
        </w:rPr>
        <w:t xml:space="preserve">, </w:t>
      </w:r>
      <w:proofErr w:type="spellStart"/>
      <w:r w:rsidR="00D4256A" w:rsidRPr="000A38E5">
        <w:rPr>
          <w:lang w:val="uk-UA"/>
        </w:rPr>
        <w:t>цит</w:t>
      </w:r>
      <w:proofErr w:type="spellEnd"/>
      <w:r w:rsidR="00D4256A" w:rsidRPr="000A38E5">
        <w:rPr>
          <w:lang w:val="uk-UA"/>
        </w:rPr>
        <w:t>. вище</w:t>
      </w:r>
      <w:r w:rsidR="00D4256A" w:rsidRPr="000A38E5">
        <w:rPr>
          <w:lang w:val="ru-RU"/>
        </w:rPr>
        <w:t xml:space="preserve">, § 321). </w:t>
      </w:r>
      <w:r w:rsidR="00D4256A" w:rsidRPr="000A38E5">
        <w:rPr>
          <w:lang w:val="uk-UA"/>
        </w:rPr>
        <w:t>Ніщо не вказує, що заявники були направлені або закликані органами влади пройти судово-медичну експертизу</w:t>
      </w:r>
      <w:r w:rsidR="00D4256A" w:rsidRPr="000A38E5">
        <w:rPr>
          <w:lang w:val="ru-RU"/>
        </w:rPr>
        <w:t xml:space="preserve">. </w:t>
      </w:r>
      <w:r w:rsidR="00D4256A" w:rsidRPr="000A38E5">
        <w:rPr>
          <w:lang w:val="uk-UA"/>
        </w:rPr>
        <w:t>Крім того, національне розслідування завжди залишалося у рамках</w:t>
      </w:r>
      <w:r w:rsidR="00D4256A" w:rsidRPr="000A38E5">
        <w:rPr>
          <w:lang w:val="ru-RU"/>
        </w:rPr>
        <w:t xml:space="preserve"> </w:t>
      </w:r>
      <w:r w:rsidR="00D4256A" w:rsidRPr="000A38E5">
        <w:rPr>
          <w:lang w:val="uk-UA"/>
        </w:rPr>
        <w:t>процедури дослідчої перевірки</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preinvestigation_enquiries_CPC \h  \* MERGEFORMAT ">
        <w:r w:rsidR="00D4256A" w:rsidRPr="000A38E5">
          <w:rPr>
            <w:noProof/>
            <w:lang w:val="ru-RU"/>
          </w:rPr>
          <w:t>101</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В ряді рішень проти України Суд постановив,</w:t>
      </w:r>
      <w:r w:rsidR="00D4256A" w:rsidRPr="000A38E5">
        <w:rPr>
          <w:lang w:val="ru-RU"/>
        </w:rPr>
        <w:t xml:space="preserve"> </w:t>
      </w:r>
      <w:r w:rsidR="00D4256A" w:rsidRPr="000A38E5">
        <w:rPr>
          <w:lang w:val="uk-UA"/>
        </w:rPr>
        <w:t>що сам характер цієї процедури не давав можливості постановити провести повноцінний експертний огляд таких медичних питань</w:t>
      </w:r>
      <w:r w:rsidR="00D4256A" w:rsidRPr="000A38E5">
        <w:rPr>
          <w:lang w:val="ru-RU"/>
        </w:rPr>
        <w:t xml:space="preserve"> (</w:t>
      </w:r>
      <w:r w:rsidR="00D4256A" w:rsidRPr="000A38E5">
        <w:rPr>
          <w:lang w:val="uk-UA"/>
        </w:rPr>
        <w:t>див.</w:t>
      </w:r>
      <w:r w:rsidR="00D4256A" w:rsidRPr="000A38E5">
        <w:rPr>
          <w:lang w:val="ru-RU"/>
        </w:rPr>
        <w:t xml:space="preserve"> </w:t>
      </w:r>
      <w:proofErr w:type="spellStart"/>
      <w:r w:rsidR="00D4256A" w:rsidRPr="000A38E5">
        <w:rPr>
          <w:i/>
        </w:rPr>
        <w:t>Yevgeniy</w:t>
      </w:r>
      <w:proofErr w:type="spellEnd"/>
      <w:r w:rsidR="00D4256A" w:rsidRPr="000A38E5">
        <w:rPr>
          <w:i/>
          <w:lang w:val="ru-RU"/>
        </w:rPr>
        <w:t xml:space="preserve"> </w:t>
      </w:r>
      <w:proofErr w:type="spellStart"/>
      <w:r w:rsidR="00D4256A" w:rsidRPr="000A38E5">
        <w:rPr>
          <w:i/>
        </w:rPr>
        <w:t>Petrenko</w:t>
      </w:r>
      <w:proofErr w:type="spellEnd"/>
      <w:r w:rsidR="00D4256A" w:rsidRPr="000A38E5">
        <w:rPr>
          <w:lang w:val="ru-RU"/>
        </w:rPr>
        <w:t xml:space="preserve"> </w:t>
      </w:r>
      <w:r w:rsidR="00D4256A" w:rsidRPr="000A38E5">
        <w:rPr>
          <w:i/>
        </w:rPr>
        <w:t>v</w:t>
      </w:r>
      <w:r w:rsidR="00D4256A" w:rsidRPr="000A38E5">
        <w:rPr>
          <w:i/>
          <w:lang w:val="ru-RU"/>
        </w:rPr>
        <w:t xml:space="preserve">. </w:t>
      </w:r>
      <w:r w:rsidR="00D4256A" w:rsidRPr="000A38E5">
        <w:rPr>
          <w:i/>
        </w:rPr>
        <w:t>Ukraine</w:t>
      </w:r>
      <w:r w:rsidR="00D4256A" w:rsidRPr="000A38E5">
        <w:rPr>
          <w:snapToGrid w:val="0"/>
          <w:lang w:val="ru-RU"/>
        </w:rPr>
        <w:t xml:space="preserve">, </w:t>
      </w:r>
      <w:r w:rsidR="00D4256A" w:rsidRPr="000A38E5">
        <w:rPr>
          <w:lang w:val="uk-UA"/>
        </w:rPr>
        <w:t>№</w:t>
      </w:r>
      <w:r w:rsidR="00D4256A" w:rsidRPr="000A38E5">
        <w:t> </w:t>
      </w:r>
      <w:r w:rsidR="00D4256A" w:rsidRPr="000A38E5">
        <w:rPr>
          <w:lang w:val="ru-RU"/>
        </w:rPr>
        <w:t>55749/08</w:t>
      </w:r>
      <w:r w:rsidR="00D4256A" w:rsidRPr="000A38E5">
        <w:rPr>
          <w:snapToGrid w:val="0"/>
          <w:lang w:val="ru-RU"/>
        </w:rPr>
        <w:t xml:space="preserve">, </w:t>
      </w:r>
      <w:r w:rsidR="00D4256A" w:rsidRPr="000A38E5">
        <w:rPr>
          <w:snapToGrid w:val="0"/>
          <w:lang w:val="pt-PT"/>
        </w:rPr>
        <w:t xml:space="preserve">§§ </w:t>
      </w:r>
      <w:r w:rsidR="00D4256A" w:rsidRPr="000A38E5">
        <w:rPr>
          <w:snapToGrid w:val="0"/>
          <w:lang w:val="ru-RU"/>
        </w:rPr>
        <w:t xml:space="preserve">67 </w:t>
      </w:r>
      <w:r w:rsidR="00D4256A" w:rsidRPr="000A38E5">
        <w:rPr>
          <w:snapToGrid w:val="0"/>
          <w:lang w:val="uk-UA"/>
        </w:rPr>
        <w:t>та</w:t>
      </w:r>
      <w:r w:rsidR="00D4256A" w:rsidRPr="000A38E5">
        <w:rPr>
          <w:snapToGrid w:val="0"/>
          <w:lang w:val="ru-RU"/>
        </w:rPr>
        <w:t xml:space="preserve"> 68, 29 </w:t>
      </w:r>
      <w:r w:rsidR="00D4256A" w:rsidRPr="000A38E5">
        <w:rPr>
          <w:snapToGrid w:val="0"/>
          <w:lang w:val="uk-UA"/>
        </w:rPr>
        <w:t>січня</w:t>
      </w:r>
      <w:r w:rsidR="00D4256A" w:rsidRPr="000A38E5">
        <w:rPr>
          <w:snapToGrid w:val="0"/>
          <w:lang w:val="ru-RU"/>
        </w:rPr>
        <w:t xml:space="preserve"> 2015, </w:t>
      </w:r>
      <w:r w:rsidR="00D4256A" w:rsidRPr="000A38E5">
        <w:rPr>
          <w:snapToGrid w:val="0"/>
          <w:lang w:val="uk-UA"/>
        </w:rPr>
        <w:t>та</w:t>
      </w:r>
      <w:r w:rsidR="00D4256A" w:rsidRPr="000A38E5">
        <w:rPr>
          <w:lang w:val="ru-RU"/>
        </w:rPr>
        <w:t xml:space="preserve"> </w:t>
      </w:r>
      <w:proofErr w:type="spellStart"/>
      <w:r w:rsidR="00D4256A" w:rsidRPr="000A38E5">
        <w:rPr>
          <w:i/>
        </w:rPr>
        <w:t>Grigoryan</w:t>
      </w:r>
      <w:proofErr w:type="spellEnd"/>
      <w:r w:rsidR="00D4256A" w:rsidRPr="000A38E5">
        <w:rPr>
          <w:i/>
          <w:lang w:val="ru-RU"/>
        </w:rPr>
        <w:t xml:space="preserve"> </w:t>
      </w:r>
      <w:r w:rsidR="00D4256A" w:rsidRPr="000A38E5">
        <w:rPr>
          <w:i/>
        </w:rPr>
        <w:t>and</w:t>
      </w:r>
      <w:r w:rsidR="00D4256A" w:rsidRPr="000A38E5">
        <w:rPr>
          <w:i/>
          <w:lang w:val="ru-RU"/>
        </w:rPr>
        <w:t xml:space="preserve"> </w:t>
      </w:r>
      <w:proofErr w:type="spellStart"/>
      <w:r w:rsidR="00D4256A" w:rsidRPr="000A38E5">
        <w:rPr>
          <w:i/>
        </w:rPr>
        <w:t>Sergeyeva</w:t>
      </w:r>
      <w:proofErr w:type="spellEnd"/>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Ukraine</w:t>
      </w:r>
      <w:r w:rsidR="00D4256A" w:rsidRPr="000A38E5">
        <w:rPr>
          <w:lang w:val="ru-RU"/>
        </w:rPr>
        <w:t>,</w:t>
      </w:r>
      <w:r w:rsidR="00D4256A" w:rsidRPr="000A38E5">
        <w:rPr>
          <w:i/>
          <w:lang w:val="ru-RU"/>
        </w:rPr>
        <w:t xml:space="preserve"> </w:t>
      </w:r>
      <w:r w:rsidR="00D4256A" w:rsidRPr="000A38E5">
        <w:rPr>
          <w:lang w:val="uk-UA"/>
        </w:rPr>
        <w:t>№</w:t>
      </w:r>
      <w:r w:rsidR="00D4256A" w:rsidRPr="000A38E5">
        <w:rPr>
          <w:lang w:val="ru-RU"/>
        </w:rPr>
        <w:t xml:space="preserve"> 63409/11, §§ 61-63, 28</w:t>
      </w:r>
      <w:r w:rsidR="00D4256A" w:rsidRPr="000A38E5">
        <w:t> </w:t>
      </w:r>
      <w:r w:rsidR="00D4256A" w:rsidRPr="000A38E5">
        <w:rPr>
          <w:lang w:val="uk-UA"/>
        </w:rPr>
        <w:t>березня</w:t>
      </w:r>
      <w:r w:rsidR="00D4256A" w:rsidRPr="000A38E5">
        <w:rPr>
          <w:lang w:val="ru-RU"/>
        </w:rPr>
        <w:t xml:space="preserve"> 2017).</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168</w:t>
      </w:r>
      <w:r w:rsidRPr="000A38E5">
        <w:fldChar w:fldCharType="end"/>
      </w:r>
      <w:r w:rsidR="00D4256A" w:rsidRPr="000A38E5">
        <w:rPr>
          <w:lang w:val="ru-RU"/>
        </w:rPr>
        <w:t>.</w:t>
      </w:r>
      <w:r w:rsidR="00D4256A" w:rsidRPr="00E93710">
        <w:rPr>
          <w:lang w:val="ru-RU"/>
        </w:rPr>
        <w:t xml:space="preserve"> </w:t>
      </w:r>
      <w:r w:rsidR="00D4256A" w:rsidRPr="000A38E5">
        <w:rPr>
          <w:lang w:val="uk-UA"/>
        </w:rPr>
        <w:t>Суд також посилається на свої висновки нижче стосовно нездатності органів влади</w:t>
      </w:r>
      <w:r w:rsidR="00D4256A" w:rsidRPr="000A38E5">
        <w:rPr>
          <w:lang w:val="ru-RU"/>
        </w:rPr>
        <w:t xml:space="preserve"> </w:t>
      </w:r>
      <w:r w:rsidR="00D4256A" w:rsidRPr="000A38E5">
        <w:rPr>
          <w:lang w:val="uk-UA"/>
        </w:rPr>
        <w:t>провести розслідування присутності на місці подій, де були травмовані заявники,</w:t>
      </w:r>
      <w:r w:rsidR="00D4256A" w:rsidRPr="000A38E5">
        <w:rPr>
          <w:lang w:val="ru-RU"/>
        </w:rPr>
        <w:t xml:space="preserve"> </w:t>
      </w:r>
      <w:r w:rsidR="00D4256A" w:rsidRPr="000A38E5">
        <w:rPr>
          <w:lang w:val="uk-UA"/>
        </w:rPr>
        <w:t>невідомих осіб</w:t>
      </w:r>
      <w:r w:rsidR="00D4256A" w:rsidRPr="000A38E5">
        <w:rPr>
          <w:lang w:val="ru-RU"/>
        </w:rPr>
        <w:t xml:space="preserve"> </w:t>
      </w:r>
      <w:r w:rsidR="00D4256A" w:rsidRPr="000A38E5">
        <w:rPr>
          <w:lang w:val="uk-UA"/>
        </w:rPr>
        <w:t>з відзнаками охоронців, які могли не бути уповноваженими охоронцями</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no_investigation_unidentified_badges \h  \* MERGEFORMAT ">
        <w:r w:rsidR="00D4256A" w:rsidRPr="000A38E5">
          <w:rPr>
            <w:noProof/>
            <w:lang w:val="ru-RU"/>
          </w:rPr>
          <w:t>279</w:t>
        </w:r>
      </w:fldSimple>
      <w:r w:rsidR="00D4256A" w:rsidRPr="000A38E5">
        <w:rPr>
          <w:lang w:val="ru-RU"/>
        </w:rPr>
        <w:t xml:space="preserve"> </w:t>
      </w:r>
      <w:r w:rsidR="00D4256A" w:rsidRPr="000A38E5">
        <w:rPr>
          <w:lang w:val="uk-UA"/>
        </w:rPr>
        <w:t>нижче</w:t>
      </w:r>
      <w:r w:rsidR="00D4256A" w:rsidRPr="000A38E5">
        <w:rPr>
          <w:lang w:val="ru-RU"/>
        </w:rPr>
        <w:t xml:space="preserve">). </w:t>
      </w:r>
      <w:r w:rsidR="00D4256A" w:rsidRPr="000A38E5">
        <w:rPr>
          <w:lang w:val="uk-UA"/>
        </w:rPr>
        <w:t>Ці міркування також стосуються контексту скарг заявників відповідно до статті</w:t>
      </w:r>
      <w:r w:rsidR="00D4256A" w:rsidRPr="000A38E5">
        <w:rPr>
          <w:lang w:val="ru-RU"/>
        </w:rPr>
        <w:t xml:space="preserve"> 3.</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169</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Цих міркувань достатньо для того, щоб дозволити Суду зробити висновок,</w:t>
      </w:r>
      <w:r w:rsidR="00D4256A" w:rsidRPr="000A38E5">
        <w:rPr>
          <w:lang w:val="ru-RU"/>
        </w:rPr>
        <w:t xml:space="preserve"> </w:t>
      </w:r>
      <w:r w:rsidR="00D4256A" w:rsidRPr="000A38E5">
        <w:rPr>
          <w:lang w:val="uk-UA"/>
        </w:rPr>
        <w:t>що мало місце порушення статті 3 Конвенції</w:t>
      </w:r>
      <w:r w:rsidR="00D4256A" w:rsidRPr="000A38E5">
        <w:rPr>
          <w:lang w:val="ru-RU"/>
        </w:rPr>
        <w:t xml:space="preserve"> </w:t>
      </w:r>
      <w:r w:rsidR="00D4256A" w:rsidRPr="000A38E5">
        <w:rPr>
          <w:lang w:val="uk-UA"/>
        </w:rPr>
        <w:t>у її процесуальному аспекті по відношенню до сьомого та дев’ятого заявників</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170</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Беручи до уваги підстави для цього висновку, Суд вважає,</w:t>
      </w:r>
      <w:r w:rsidR="00D4256A" w:rsidRPr="000A38E5">
        <w:rPr>
          <w:lang w:val="ru-RU"/>
        </w:rPr>
        <w:t xml:space="preserve"> </w:t>
      </w:r>
      <w:r w:rsidR="00D4256A" w:rsidRPr="000A38E5">
        <w:rPr>
          <w:lang w:val="uk-UA"/>
        </w:rPr>
        <w:t>що немає підстав розглядати решту скарг сьомого та дев’ятого заявників</w:t>
      </w:r>
      <w:r w:rsidR="00D4256A" w:rsidRPr="000A38E5">
        <w:rPr>
          <w:lang w:val="ru-RU"/>
        </w:rPr>
        <w:t xml:space="preserve"> </w:t>
      </w:r>
      <w:r w:rsidR="00D4256A" w:rsidRPr="000A38E5">
        <w:rPr>
          <w:lang w:val="uk-UA"/>
        </w:rPr>
        <w:t>стосовно національного розслідування</w:t>
      </w:r>
      <w:r w:rsidR="00D4256A" w:rsidRPr="000A38E5">
        <w:rPr>
          <w:lang w:val="ru-RU"/>
        </w:rPr>
        <w:t>.</w:t>
      </w:r>
    </w:p>
    <w:p w:rsidR="00D4256A" w:rsidRPr="000A38E5" w:rsidRDefault="00D4256A" w:rsidP="00D4256A">
      <w:pPr>
        <w:pStyle w:val="ECHRHeading1"/>
        <w:rPr>
          <w:lang w:val="uk-UA"/>
        </w:rPr>
      </w:pPr>
      <w:r w:rsidRPr="000A38E5">
        <w:t>III</w:t>
      </w:r>
      <w:r w:rsidRPr="000A38E5">
        <w:rPr>
          <w:lang w:val="ru-RU"/>
        </w:rPr>
        <w:t>.</w:t>
      </w:r>
      <w:r w:rsidRPr="000A38E5">
        <w:t> </w:t>
      </w:r>
      <w:r w:rsidRPr="000A38E5">
        <w:rPr>
          <w:lang w:val="ru-RU"/>
        </w:rPr>
        <w:t>СТВЕРДЖУВАНЕ</w:t>
      </w:r>
      <w:r w:rsidRPr="000A38E5">
        <w:rPr>
          <w:lang w:val="uk-UA"/>
        </w:rPr>
        <w:t xml:space="preserve"> ПОРУШЕННЯ СТАТТІ 6 КОНВЕНЦІЇ</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171</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Перший та другий заявники скаржилися, що не мали справедливого розгляду в апеляційному суді,</w:t>
      </w:r>
      <w:r w:rsidR="00D4256A" w:rsidRPr="000A38E5">
        <w:rPr>
          <w:lang w:val="ru-RU"/>
        </w:rPr>
        <w:t xml:space="preserve"> </w:t>
      </w:r>
      <w:r w:rsidR="00D4256A" w:rsidRPr="000A38E5">
        <w:rPr>
          <w:lang w:val="uk-UA"/>
        </w:rPr>
        <w:t>який розглядав їх справи про адміністративні правопорушення</w:t>
      </w:r>
      <w:r w:rsidR="00D4256A" w:rsidRPr="000A38E5">
        <w:rPr>
          <w:lang w:val="ru-RU"/>
        </w:rPr>
        <w:t xml:space="preserve">, </w:t>
      </w:r>
      <w:r w:rsidR="00D4256A" w:rsidRPr="000A38E5">
        <w:rPr>
          <w:lang w:val="uk-UA"/>
        </w:rPr>
        <w:t>оскільки суд не забезпечив їх присутність на слуханнях</w:t>
      </w:r>
      <w:r w:rsidR="00D4256A" w:rsidRPr="000A38E5">
        <w:rPr>
          <w:lang w:val="ru-RU"/>
        </w:rPr>
        <w:t xml:space="preserve">. </w:t>
      </w:r>
      <w:r w:rsidR="00D4256A" w:rsidRPr="000A38E5">
        <w:rPr>
          <w:lang w:val="uk-UA"/>
        </w:rPr>
        <w:t>Вони спиралися на статтю</w:t>
      </w:r>
      <w:r w:rsidR="00D4256A" w:rsidRPr="000A38E5">
        <w:rPr>
          <w:lang w:val="ru-RU"/>
        </w:rPr>
        <w:t xml:space="preserve"> 6 § 1 </w:t>
      </w:r>
      <w:r w:rsidR="00D4256A" w:rsidRPr="000A38E5">
        <w:rPr>
          <w:lang w:val="uk-UA"/>
        </w:rPr>
        <w:t>Конвенції, яка передбачає</w:t>
      </w:r>
      <w:r w:rsidR="00D4256A" w:rsidRPr="000A38E5">
        <w:rPr>
          <w:lang w:val="ru-RU"/>
        </w:rPr>
        <w:t>:</w:t>
      </w:r>
    </w:p>
    <w:p w:rsidR="00D4256A" w:rsidRPr="000A38E5" w:rsidRDefault="00D4256A" w:rsidP="00D4256A">
      <w:pPr>
        <w:pStyle w:val="ECHRParaQuote"/>
        <w:rPr>
          <w:lang w:val="ru-RU"/>
        </w:rPr>
      </w:pPr>
      <w:r w:rsidRPr="000A38E5">
        <w:rPr>
          <w:lang w:val="ru-RU"/>
        </w:rPr>
        <w:t>“</w:t>
      </w:r>
      <w:r w:rsidRPr="000A38E5">
        <w:rPr>
          <w:lang w:val="uk-UA"/>
        </w:rPr>
        <w:t>Кожен має право на справедливий … розгляд його справи … судом, встановленим законом, який … встановить обґрунтованість будь-якого висунутого проти нього кримінального обвинувачення</w:t>
      </w:r>
      <w:r w:rsidRPr="000A38E5">
        <w:rPr>
          <w:lang w:val="ru-RU"/>
        </w:rPr>
        <w:t>...”</w:t>
      </w:r>
    </w:p>
    <w:p w:rsidR="00D4256A" w:rsidRPr="000A38E5" w:rsidRDefault="00D4256A" w:rsidP="00D4256A">
      <w:pPr>
        <w:pStyle w:val="ECHRHeading2"/>
        <w:rPr>
          <w:lang w:val="uk-UA"/>
        </w:rPr>
      </w:pPr>
      <w:r w:rsidRPr="000A38E5">
        <w:lastRenderedPageBreak/>
        <w:t>A</w:t>
      </w:r>
      <w:r w:rsidRPr="000A38E5">
        <w:rPr>
          <w:lang w:val="ru-RU"/>
        </w:rPr>
        <w:t xml:space="preserve">. </w:t>
      </w:r>
      <w:r w:rsidRPr="000A38E5">
        <w:rPr>
          <w:lang w:val="uk-UA"/>
        </w:rPr>
        <w:t>Прийнятність</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172</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Суд зазначає, що в силу тяжкості покарання</w:t>
      </w:r>
      <w:r w:rsidR="00D4256A" w:rsidRPr="000A38E5">
        <w:rPr>
          <w:lang w:val="ru-RU"/>
        </w:rPr>
        <w:t xml:space="preserve"> </w:t>
      </w:r>
      <w:r w:rsidR="00D4256A" w:rsidRPr="000A38E5">
        <w:rPr>
          <w:lang w:val="uk-UA"/>
        </w:rPr>
        <w:t>адміністративні провадження, подібні до тих, що відбувалися щодо заявників у даній справі,</w:t>
      </w:r>
      <w:r w:rsidR="00D4256A" w:rsidRPr="000A38E5">
        <w:rPr>
          <w:lang w:val="ru-RU"/>
        </w:rPr>
        <w:t xml:space="preserve"> </w:t>
      </w:r>
      <w:r w:rsidR="00D4256A" w:rsidRPr="000A38E5">
        <w:rPr>
          <w:lang w:val="uk-UA"/>
        </w:rPr>
        <w:t>мають вважатися «кримінальними» для цілей Конвенції</w:t>
      </w:r>
      <w:r w:rsidR="00D4256A" w:rsidRPr="000A38E5">
        <w:rPr>
          <w:lang w:val="ru-RU"/>
        </w:rPr>
        <w:t xml:space="preserve"> </w:t>
      </w:r>
      <w:r w:rsidR="00D4256A" w:rsidRPr="000A38E5">
        <w:rPr>
          <w:lang w:val="uk-UA"/>
        </w:rPr>
        <w:t>та Протоколів до неї</w:t>
      </w:r>
      <w:r w:rsidR="00D4256A" w:rsidRPr="000A38E5">
        <w:rPr>
          <w:lang w:val="ru-RU"/>
        </w:rPr>
        <w:t xml:space="preserve"> (</w:t>
      </w:r>
      <w:r w:rsidR="00D4256A" w:rsidRPr="000A38E5">
        <w:rPr>
          <w:lang w:val="uk-UA"/>
        </w:rPr>
        <w:t>див.</w:t>
      </w:r>
      <w:r w:rsidR="00D4256A" w:rsidRPr="000A38E5">
        <w:rPr>
          <w:lang w:val="ru-RU"/>
        </w:rPr>
        <w:t xml:space="preserve"> </w:t>
      </w:r>
      <w:proofErr w:type="spellStart"/>
      <w:r w:rsidR="00D4256A" w:rsidRPr="000A38E5">
        <w:rPr>
          <w:i/>
        </w:rPr>
        <w:t>Gurepka</w:t>
      </w:r>
      <w:proofErr w:type="spellEnd"/>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Ukraine</w:t>
      </w:r>
      <w:r w:rsidR="00D4256A" w:rsidRPr="000A38E5">
        <w:rPr>
          <w:lang w:val="ru-RU"/>
        </w:rPr>
        <w:t xml:space="preserve">, </w:t>
      </w:r>
      <w:r w:rsidR="00D4256A" w:rsidRPr="000A38E5">
        <w:rPr>
          <w:lang w:val="uk-UA"/>
        </w:rPr>
        <w:t>№</w:t>
      </w:r>
      <w:r w:rsidR="00D4256A" w:rsidRPr="000A38E5">
        <w:t> </w:t>
      </w:r>
      <w:r w:rsidR="00D4256A" w:rsidRPr="000A38E5">
        <w:rPr>
          <w:lang w:val="ru-RU"/>
        </w:rPr>
        <w:t>61406/00, §</w:t>
      </w:r>
      <w:r w:rsidR="00D4256A" w:rsidRPr="000A38E5">
        <w:t> </w:t>
      </w:r>
      <w:r w:rsidR="00D4256A" w:rsidRPr="000A38E5">
        <w:rPr>
          <w:lang w:val="ru-RU"/>
        </w:rPr>
        <w:t xml:space="preserve">55, 6 </w:t>
      </w:r>
      <w:r w:rsidR="00D4256A" w:rsidRPr="000A38E5">
        <w:rPr>
          <w:lang w:val="uk-UA"/>
        </w:rPr>
        <w:t>вересня</w:t>
      </w:r>
      <w:r w:rsidR="00D4256A" w:rsidRPr="000A38E5">
        <w:rPr>
          <w:lang w:val="ru-RU"/>
        </w:rPr>
        <w:t xml:space="preserve"> 2005) </w:t>
      </w:r>
      <w:r w:rsidR="00D4256A" w:rsidRPr="000A38E5">
        <w:rPr>
          <w:lang w:val="uk-UA"/>
        </w:rPr>
        <w:t>і тому супроводжуватися повними гарантіями статті 6 Конвенції</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173</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Тому ця частина заяви не є явно необґрунтованою у розумінні статті</w:t>
      </w:r>
      <w:r w:rsidR="00D4256A" w:rsidRPr="000A38E5">
        <w:rPr>
          <w:lang w:val="ru-RU"/>
        </w:rPr>
        <w:t xml:space="preserve"> 35 § 3(</w:t>
      </w:r>
      <w:r w:rsidR="00D4256A" w:rsidRPr="000A38E5">
        <w:t>a</w:t>
      </w:r>
      <w:r w:rsidR="00D4256A" w:rsidRPr="000A38E5">
        <w:rPr>
          <w:lang w:val="ru-RU"/>
        </w:rPr>
        <w:t xml:space="preserve">) </w:t>
      </w:r>
      <w:r w:rsidR="00D4256A" w:rsidRPr="000A38E5">
        <w:rPr>
          <w:lang w:val="uk-UA"/>
        </w:rPr>
        <w:t>Конвенції</w:t>
      </w:r>
      <w:r w:rsidR="00D4256A" w:rsidRPr="000A38E5">
        <w:rPr>
          <w:lang w:val="ru-RU"/>
        </w:rPr>
        <w:t xml:space="preserve">. </w:t>
      </w:r>
      <w:r w:rsidR="00D4256A" w:rsidRPr="000A38E5">
        <w:rPr>
          <w:lang w:val="uk-UA"/>
        </w:rPr>
        <w:t>Суд також зазначає, що вона не є неприйнятною за будь-яких інших підстав</w:t>
      </w:r>
      <w:r w:rsidR="00D4256A" w:rsidRPr="000A38E5">
        <w:rPr>
          <w:lang w:val="ru-RU"/>
        </w:rPr>
        <w:t>.</w:t>
      </w:r>
    </w:p>
    <w:p w:rsidR="00D4256A" w:rsidRPr="000A38E5" w:rsidRDefault="00D4256A" w:rsidP="00D4256A">
      <w:pPr>
        <w:pStyle w:val="ECHRHeading2"/>
        <w:rPr>
          <w:lang w:val="uk-UA"/>
        </w:rPr>
      </w:pPr>
      <w:r w:rsidRPr="000A38E5">
        <w:t>B</w:t>
      </w:r>
      <w:r w:rsidRPr="000A38E5">
        <w:rPr>
          <w:lang w:val="ru-RU"/>
        </w:rPr>
        <w:t>.</w:t>
      </w:r>
      <w:r w:rsidRPr="00E93710">
        <w:rPr>
          <w:lang w:val="ru-RU"/>
        </w:rPr>
        <w:t xml:space="preserve"> </w:t>
      </w:r>
      <w:r w:rsidRPr="000A38E5">
        <w:rPr>
          <w:lang w:val="uk-UA"/>
        </w:rPr>
        <w:t>Суть справи</w:t>
      </w:r>
    </w:p>
    <w:p w:rsidR="00D4256A" w:rsidRPr="000A38E5" w:rsidRDefault="00D4256A" w:rsidP="00D4256A">
      <w:pPr>
        <w:pStyle w:val="ECHRHeading3"/>
        <w:rPr>
          <w:lang w:val="uk-UA"/>
        </w:rPr>
      </w:pPr>
      <w:r w:rsidRPr="000A38E5">
        <w:rPr>
          <w:lang w:val="ru-RU"/>
        </w:rPr>
        <w:t>1.</w:t>
      </w:r>
      <w:r w:rsidRPr="00E93710">
        <w:rPr>
          <w:lang w:val="ru-RU"/>
        </w:rPr>
        <w:t xml:space="preserve"> </w:t>
      </w:r>
      <w:r w:rsidRPr="000A38E5">
        <w:rPr>
          <w:lang w:val="uk-UA"/>
        </w:rPr>
        <w:t>Доводи сторін</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174</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Заявники стверджували, що бажали приймати участь у апеляційному розгляді їх справ, але не могли це зробити,</w:t>
      </w:r>
      <w:r w:rsidR="00D4256A" w:rsidRPr="000A38E5">
        <w:rPr>
          <w:lang w:val="ru-RU"/>
        </w:rPr>
        <w:t xml:space="preserve"> </w:t>
      </w:r>
      <w:r w:rsidR="00D4256A" w:rsidRPr="000A38E5">
        <w:rPr>
          <w:lang w:val="uk-UA"/>
        </w:rPr>
        <w:t>тому що перебували під вартою</w:t>
      </w:r>
      <w:r w:rsidR="00D4256A" w:rsidRPr="000A38E5">
        <w:rPr>
          <w:lang w:val="ru-RU"/>
        </w:rPr>
        <w:t xml:space="preserve">. </w:t>
      </w:r>
      <w:r w:rsidR="00D4256A" w:rsidRPr="000A38E5">
        <w:rPr>
          <w:lang w:val="uk-UA"/>
        </w:rPr>
        <w:t>Відповідно до статті 294 Кодексу про адміністративні правопорушення</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CAO_A294 \h  \* MERGEFORMAT ">
        <w:r w:rsidR="00D4256A" w:rsidRPr="000A38E5">
          <w:rPr>
            <w:noProof/>
            <w:lang w:val="ru-RU"/>
          </w:rPr>
          <w:t>98</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апеляційний суд міг розглянути питання права</w:t>
      </w:r>
      <w:r w:rsidR="00D4256A" w:rsidRPr="000A38E5">
        <w:rPr>
          <w:lang w:val="ru-RU"/>
        </w:rPr>
        <w:t xml:space="preserve">, </w:t>
      </w:r>
      <w:r w:rsidR="00D4256A" w:rsidRPr="000A38E5">
        <w:rPr>
          <w:lang w:val="uk-UA"/>
        </w:rPr>
        <w:t>у тому числі нові докази</w:t>
      </w:r>
      <w:r w:rsidR="00D4256A" w:rsidRPr="000A38E5">
        <w:rPr>
          <w:lang w:val="ru-RU"/>
        </w:rPr>
        <w:t xml:space="preserve">. </w:t>
      </w:r>
      <w:r w:rsidR="00D4256A" w:rsidRPr="000A38E5">
        <w:rPr>
          <w:lang w:val="uk-UA"/>
        </w:rPr>
        <w:t>У своїх апеляціях заявники заперечували проти оцінки доказів</w:t>
      </w:r>
      <w:r w:rsidR="00D4256A" w:rsidRPr="000A38E5">
        <w:rPr>
          <w:lang w:val="ru-RU"/>
        </w:rPr>
        <w:t xml:space="preserve"> </w:t>
      </w:r>
      <w:r w:rsidR="00D4256A" w:rsidRPr="000A38E5">
        <w:rPr>
          <w:lang w:val="uk-UA"/>
        </w:rPr>
        <w:t>судом першої інстанції</w:t>
      </w:r>
      <w:r w:rsidR="00D4256A" w:rsidRPr="000A38E5">
        <w:rPr>
          <w:lang w:val="ru-RU"/>
        </w:rPr>
        <w:t xml:space="preserve">. </w:t>
      </w:r>
      <w:r w:rsidR="00D4256A" w:rsidRPr="000A38E5">
        <w:rPr>
          <w:lang w:val="uk-UA"/>
        </w:rPr>
        <w:t>Їх участь була ключовою, оскільки тільки вони мали повну картину щодо доказів</w:t>
      </w:r>
      <w:r w:rsidR="00D4256A" w:rsidRPr="000A38E5">
        <w:rPr>
          <w:lang w:val="ru-RU"/>
        </w:rPr>
        <w:t xml:space="preserve"> </w:t>
      </w:r>
      <w:r w:rsidR="00D4256A" w:rsidRPr="000A38E5">
        <w:rPr>
          <w:lang w:val="uk-UA"/>
        </w:rPr>
        <w:t>у справі</w:t>
      </w:r>
      <w:r w:rsidR="00D4256A" w:rsidRPr="000A38E5">
        <w:rPr>
          <w:lang w:val="ru-RU"/>
        </w:rPr>
        <w:t xml:space="preserve"> </w:t>
      </w:r>
      <w:r w:rsidR="00D4256A" w:rsidRPr="000A38E5">
        <w:rPr>
          <w:lang w:val="uk-UA"/>
        </w:rPr>
        <w:t>та могли надати апеляційному суду пояснення з питань доказів</w:t>
      </w:r>
      <w:r w:rsidR="00D4256A" w:rsidRPr="000A38E5">
        <w:rPr>
          <w:lang w:val="ru-RU"/>
        </w:rPr>
        <w:t xml:space="preserve">. </w:t>
      </w:r>
      <w:r w:rsidR="00D4256A" w:rsidRPr="000A38E5">
        <w:rPr>
          <w:lang w:val="uk-UA"/>
        </w:rPr>
        <w:t>Крім того, рішення апеляційного суду</w:t>
      </w:r>
      <w:r w:rsidR="00D4256A" w:rsidRPr="000A38E5">
        <w:rPr>
          <w:lang w:val="ru-RU"/>
        </w:rPr>
        <w:t xml:space="preserve"> </w:t>
      </w:r>
      <w:r w:rsidR="00D4256A" w:rsidRPr="000A38E5">
        <w:rPr>
          <w:lang w:val="uk-UA"/>
        </w:rPr>
        <w:t>поклали на заявників тягар доведення того,</w:t>
      </w:r>
      <w:r w:rsidR="00D4256A" w:rsidRPr="000A38E5">
        <w:rPr>
          <w:lang w:val="ru-RU"/>
        </w:rPr>
        <w:t xml:space="preserve"> </w:t>
      </w:r>
      <w:r w:rsidR="00D4256A" w:rsidRPr="000A38E5">
        <w:rPr>
          <w:lang w:val="uk-UA"/>
        </w:rPr>
        <w:t>що міліція не наказала їм покинути місце протесту</w:t>
      </w:r>
      <w:r w:rsidR="00D4256A" w:rsidRPr="000A38E5">
        <w:rPr>
          <w:lang w:val="ru-RU"/>
        </w:rPr>
        <w:t xml:space="preserve">, </w:t>
      </w:r>
      <w:r w:rsidR="00D4256A" w:rsidRPr="000A38E5">
        <w:rPr>
          <w:lang w:val="uk-UA"/>
        </w:rPr>
        <w:t>і їм необхідно було бути присутніми для того, щоб це довести</w:t>
      </w:r>
      <w:r w:rsidR="00D4256A" w:rsidRPr="000A38E5">
        <w:rPr>
          <w:lang w:val="ru-RU"/>
        </w:rPr>
        <w:t xml:space="preserve">. </w:t>
      </w:r>
      <w:r w:rsidR="00D4256A" w:rsidRPr="000A38E5">
        <w:rPr>
          <w:lang w:val="uk-UA"/>
        </w:rPr>
        <w:t>Іншим питанням в апеляційному суді було можливе пом’якшення їх покарань</w:t>
      </w:r>
      <w:r w:rsidR="00D4256A" w:rsidRPr="000A38E5">
        <w:rPr>
          <w:lang w:val="ru-RU"/>
        </w:rPr>
        <w:t xml:space="preserve">, </w:t>
      </w:r>
      <w:r w:rsidR="00D4256A" w:rsidRPr="000A38E5">
        <w:rPr>
          <w:lang w:val="uk-UA"/>
        </w:rPr>
        <w:t>питання, де особисті характеристики заявників були важливими</w:t>
      </w:r>
      <w:r w:rsidR="00D4256A" w:rsidRPr="000A38E5">
        <w:rPr>
          <w:lang w:val="ru-RU"/>
        </w:rPr>
        <w:t xml:space="preserve">. </w:t>
      </w:r>
      <w:r w:rsidR="00D4256A" w:rsidRPr="000A38E5">
        <w:rPr>
          <w:lang w:val="uk-UA"/>
        </w:rPr>
        <w:t>Вони не подали клопотання про доставку на слухання,</w:t>
      </w:r>
      <w:r w:rsidR="00D4256A" w:rsidRPr="000A38E5">
        <w:rPr>
          <w:lang w:val="ru-RU"/>
        </w:rPr>
        <w:t xml:space="preserve"> </w:t>
      </w:r>
      <w:r w:rsidR="00D4256A" w:rsidRPr="000A38E5">
        <w:rPr>
          <w:lang w:val="uk-UA"/>
        </w:rPr>
        <w:t>оскільки це відклало б розгляд їх справ на кілька днів після</w:t>
      </w:r>
      <w:r w:rsidR="00D4256A" w:rsidRPr="000A38E5">
        <w:rPr>
          <w:lang w:val="ru-RU"/>
        </w:rPr>
        <w:t xml:space="preserve"> 18 </w:t>
      </w:r>
      <w:r w:rsidR="00D4256A" w:rsidRPr="000A38E5">
        <w:rPr>
          <w:lang w:val="uk-UA"/>
        </w:rPr>
        <w:t>червня</w:t>
      </w:r>
      <w:r w:rsidR="00D4256A" w:rsidRPr="000A38E5">
        <w:rPr>
          <w:lang w:val="ru-RU"/>
        </w:rPr>
        <w:t xml:space="preserve"> 2010 року, </w:t>
      </w:r>
      <w:r w:rsidR="00D4256A" w:rsidRPr="000A38E5">
        <w:rPr>
          <w:lang w:val="uk-UA"/>
        </w:rPr>
        <w:t>коли вони вже відбули дев’ять діб зі свого п’ятнадцятиденного строку</w:t>
      </w:r>
      <w:r w:rsidR="00D4256A" w:rsidRPr="000A38E5">
        <w:rPr>
          <w:lang w:val="ru-RU"/>
        </w:rPr>
        <w:t xml:space="preserve">. </w:t>
      </w:r>
      <w:r w:rsidR="00D4256A" w:rsidRPr="000A38E5">
        <w:rPr>
          <w:lang w:val="uk-UA"/>
        </w:rPr>
        <w:t>Відкладення призвело б до того, що вони відбули б вирок у повному обсязі в очікуванні слухання за апеляцією</w:t>
      </w:r>
      <w:r w:rsidR="00D4256A" w:rsidRPr="000A38E5">
        <w:rPr>
          <w:lang w:val="ru-RU"/>
        </w:rPr>
        <w:t>.</w:t>
      </w:r>
    </w:p>
    <w:p w:rsidR="00D4256A" w:rsidRPr="000A38E5" w:rsidRDefault="004E7608" w:rsidP="00D4256A">
      <w:pPr>
        <w:pStyle w:val="ECHRPara"/>
        <w:rPr>
          <w:lang w:val="uk-UA"/>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175</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Уряд підкреслив, що заявники прийняли участь у слуханнях у суді першої інстанції</w:t>
      </w:r>
      <w:r w:rsidR="00D4256A" w:rsidRPr="000A38E5">
        <w:rPr>
          <w:lang w:val="ru-RU"/>
        </w:rPr>
        <w:t xml:space="preserve">, </w:t>
      </w:r>
      <w:r w:rsidR="00D4256A" w:rsidRPr="000A38E5">
        <w:rPr>
          <w:lang w:val="uk-UA"/>
        </w:rPr>
        <w:t>на якому їх також представляв адвокат</w:t>
      </w:r>
      <w:r w:rsidR="00D4256A" w:rsidRPr="000A38E5">
        <w:rPr>
          <w:lang w:val="ru-RU"/>
        </w:rPr>
        <w:t xml:space="preserve">. </w:t>
      </w:r>
      <w:r w:rsidR="00D4256A" w:rsidRPr="000A38E5">
        <w:rPr>
          <w:lang w:val="uk-UA"/>
        </w:rPr>
        <w:t>В апеляційному суді їх представляв адвокат, якого вони самі обрали</w:t>
      </w:r>
      <w:r w:rsidR="00D4256A" w:rsidRPr="000A38E5">
        <w:rPr>
          <w:lang w:val="ru-RU"/>
        </w:rPr>
        <w:t xml:space="preserve">. </w:t>
      </w:r>
      <w:r w:rsidR="00D4256A" w:rsidRPr="000A38E5">
        <w:rPr>
          <w:lang w:val="uk-UA"/>
        </w:rPr>
        <w:t>Протягом цих проваджень їх адвокат не додав ніяких нових доказів</w:t>
      </w:r>
      <w:r w:rsidR="00D4256A" w:rsidRPr="000A38E5">
        <w:rPr>
          <w:lang w:val="ru-RU"/>
        </w:rPr>
        <w:t xml:space="preserve"> </w:t>
      </w:r>
      <w:r w:rsidR="00D4256A" w:rsidRPr="000A38E5">
        <w:rPr>
          <w:lang w:val="uk-UA"/>
        </w:rPr>
        <w:t>на доведення версії подій</w:t>
      </w:r>
      <w:r w:rsidR="00D4256A" w:rsidRPr="000A38E5" w:rsidDel="004E655D">
        <w:rPr>
          <w:lang w:val="uk-UA"/>
        </w:rPr>
        <w:t xml:space="preserve"> </w:t>
      </w:r>
      <w:r w:rsidR="00D4256A" w:rsidRPr="000A38E5">
        <w:rPr>
          <w:lang w:val="uk-UA"/>
        </w:rPr>
        <w:t>заявників</w:t>
      </w:r>
      <w:r w:rsidR="00D4256A" w:rsidRPr="000A38E5">
        <w:rPr>
          <w:lang w:val="ru-RU"/>
        </w:rPr>
        <w:t xml:space="preserve">, </w:t>
      </w:r>
      <w:r w:rsidR="00D4256A" w:rsidRPr="000A38E5">
        <w:rPr>
          <w:lang w:val="uk-UA"/>
        </w:rPr>
        <w:t>не надав ніяких нових фактів та не просив допитати нових свідків</w:t>
      </w:r>
      <w:r w:rsidR="00D4256A" w:rsidRPr="000A38E5">
        <w:rPr>
          <w:lang w:val="ru-RU"/>
        </w:rPr>
        <w:t xml:space="preserve">. </w:t>
      </w:r>
      <w:r w:rsidR="00D4256A" w:rsidRPr="000A38E5">
        <w:rPr>
          <w:lang w:val="uk-UA"/>
        </w:rPr>
        <w:t>Він представляв позицію заявників на основі тих же доказів,</w:t>
      </w:r>
      <w:r w:rsidR="00D4256A" w:rsidRPr="000A38E5">
        <w:rPr>
          <w:lang w:val="ru-RU"/>
        </w:rPr>
        <w:t xml:space="preserve"> </w:t>
      </w:r>
      <w:r w:rsidR="00D4256A" w:rsidRPr="000A38E5">
        <w:rPr>
          <w:lang w:val="uk-UA"/>
        </w:rPr>
        <w:t>які вже були розглянуті судом першої інстанції</w:t>
      </w:r>
      <w:r w:rsidR="00D4256A" w:rsidRPr="000A38E5">
        <w:rPr>
          <w:lang w:val="ru-RU"/>
        </w:rPr>
        <w:t xml:space="preserve">. </w:t>
      </w:r>
      <w:r w:rsidR="00D4256A" w:rsidRPr="000A38E5">
        <w:rPr>
          <w:lang w:val="uk-UA"/>
        </w:rPr>
        <w:t>Він лише заперечував проти висновків суду першої інстанції</w:t>
      </w:r>
      <w:r w:rsidR="00D4256A" w:rsidRPr="000A38E5">
        <w:rPr>
          <w:lang w:val="ru-RU"/>
        </w:rPr>
        <w:t xml:space="preserve"> </w:t>
      </w:r>
      <w:r w:rsidR="00D4256A" w:rsidRPr="000A38E5">
        <w:rPr>
          <w:lang w:val="uk-UA"/>
        </w:rPr>
        <w:t>«на основі наявних фактів»</w:t>
      </w:r>
      <w:r w:rsidR="00D4256A" w:rsidRPr="000A38E5">
        <w:rPr>
          <w:lang w:val="ru-RU"/>
        </w:rPr>
        <w:t xml:space="preserve"> </w:t>
      </w:r>
      <w:r w:rsidR="00D4256A" w:rsidRPr="000A38E5">
        <w:rPr>
          <w:lang w:val="uk-UA"/>
        </w:rPr>
        <w:t>та заперечував проти тяжкості призначеного покарання</w:t>
      </w:r>
      <w:r w:rsidR="00D4256A" w:rsidRPr="000A38E5">
        <w:rPr>
          <w:lang w:val="ru-RU"/>
        </w:rPr>
        <w:t xml:space="preserve">. </w:t>
      </w:r>
      <w:r w:rsidR="00D4256A" w:rsidRPr="000A38E5">
        <w:rPr>
          <w:lang w:val="uk-UA"/>
        </w:rPr>
        <w:t>Провадження не могли призвести до погіршення становища заявників</w:t>
      </w:r>
      <w:r w:rsidR="00D4256A" w:rsidRPr="000A38E5">
        <w:rPr>
          <w:lang w:val="ru-RU"/>
        </w:rPr>
        <w:t xml:space="preserve"> </w:t>
      </w:r>
      <w:r w:rsidR="00D4256A" w:rsidRPr="000A38E5">
        <w:rPr>
          <w:lang w:val="uk-UA"/>
        </w:rPr>
        <w:t>і обмежувалися питаннями, висунутими в їх апеляціях</w:t>
      </w:r>
      <w:r w:rsidR="00D4256A" w:rsidRPr="000A38E5">
        <w:rPr>
          <w:lang w:val="ru-RU"/>
        </w:rPr>
        <w:t xml:space="preserve">. </w:t>
      </w:r>
      <w:r w:rsidR="00D4256A" w:rsidRPr="000A38E5">
        <w:rPr>
          <w:lang w:val="uk-UA"/>
        </w:rPr>
        <w:t>В дійсності апеляційний суд зменшив вироки заявників</w:t>
      </w:r>
      <w:r w:rsidR="00D4256A" w:rsidRPr="000A38E5">
        <w:rPr>
          <w:lang w:val="ru-RU"/>
        </w:rPr>
        <w:t xml:space="preserve">. </w:t>
      </w:r>
      <w:r w:rsidR="00D4256A" w:rsidRPr="000A38E5">
        <w:rPr>
          <w:lang w:val="uk-UA"/>
        </w:rPr>
        <w:t>Беручи це до уваги, присутність адвоката заявників на слуханнях за апеляціями була достатньою</w:t>
      </w:r>
      <w:r w:rsidR="00D4256A" w:rsidRPr="000A38E5">
        <w:rPr>
          <w:lang w:val="ru-RU"/>
        </w:rPr>
        <w:t xml:space="preserve">. </w:t>
      </w:r>
      <w:r w:rsidR="00D4256A" w:rsidRPr="000A38E5">
        <w:rPr>
          <w:lang w:val="uk-UA"/>
        </w:rPr>
        <w:t>Крім того, Уряд підкреслив, що ані заявники, ані їх адвокат від їх імені</w:t>
      </w:r>
      <w:r w:rsidR="00D4256A" w:rsidRPr="000A38E5">
        <w:rPr>
          <w:lang w:val="ru-RU"/>
        </w:rPr>
        <w:t xml:space="preserve"> </w:t>
      </w:r>
      <w:r w:rsidR="00D4256A" w:rsidRPr="000A38E5">
        <w:rPr>
          <w:lang w:val="uk-UA"/>
        </w:rPr>
        <w:t>не звернулися до апеляційного суду з проханням бути доставленими на слухання</w:t>
      </w:r>
      <w:r w:rsidR="00D4256A" w:rsidRPr="000A38E5">
        <w:rPr>
          <w:lang w:val="ru-RU"/>
        </w:rPr>
        <w:t>.</w:t>
      </w:r>
    </w:p>
    <w:p w:rsidR="00D4256A" w:rsidRPr="000A38E5" w:rsidRDefault="00D4256A" w:rsidP="00D4256A">
      <w:pPr>
        <w:pStyle w:val="ECHRHeading3"/>
        <w:rPr>
          <w:lang w:val="uk-UA"/>
        </w:rPr>
      </w:pPr>
      <w:r w:rsidRPr="000A38E5">
        <w:rPr>
          <w:lang w:val="uk-UA"/>
        </w:rPr>
        <w:t>2.</w:t>
      </w:r>
      <w:r w:rsidRPr="00E93710">
        <w:rPr>
          <w:lang w:val="uk-UA"/>
        </w:rPr>
        <w:t xml:space="preserve"> </w:t>
      </w:r>
      <w:r w:rsidRPr="000A38E5">
        <w:rPr>
          <w:lang w:val="uk-UA"/>
        </w:rPr>
        <w:t>Оцінка Суду</w:t>
      </w:r>
    </w:p>
    <w:p w:rsidR="00D4256A" w:rsidRPr="000A38E5" w:rsidRDefault="004E7608" w:rsidP="00D4256A">
      <w:pPr>
        <w:pStyle w:val="ECHRPara"/>
        <w:rPr>
          <w:lang w:val="uk-UA"/>
        </w:rPr>
      </w:pPr>
      <w:r w:rsidRPr="000A38E5">
        <w:fldChar w:fldCharType="begin"/>
      </w:r>
      <w:r w:rsidR="00D4256A" w:rsidRPr="000A38E5">
        <w:rPr>
          <w:lang w:val="uk-UA"/>
        </w:rPr>
        <w:instrText xml:space="preserve"> </w:instrText>
      </w:r>
      <w:r w:rsidR="00D4256A" w:rsidRPr="000A38E5">
        <w:instrText>SEQ</w:instrText>
      </w:r>
      <w:r w:rsidR="00D4256A" w:rsidRPr="000A38E5">
        <w:rPr>
          <w:lang w:val="uk-UA"/>
        </w:rPr>
        <w:instrText xml:space="preserve"> </w:instrText>
      </w:r>
      <w:r w:rsidR="00D4256A" w:rsidRPr="000A38E5">
        <w:instrText>level</w:instrText>
      </w:r>
      <w:r w:rsidR="00D4256A" w:rsidRPr="000A38E5">
        <w:rPr>
          <w:lang w:val="uk-UA"/>
        </w:rPr>
        <w:instrText>0 \*</w:instrText>
      </w:r>
      <w:r w:rsidR="00D4256A" w:rsidRPr="000A38E5">
        <w:instrText>arabic</w:instrText>
      </w:r>
      <w:r w:rsidR="00D4256A" w:rsidRPr="000A38E5">
        <w:rPr>
          <w:lang w:val="uk-UA"/>
        </w:rPr>
        <w:instrText xml:space="preserve"> </w:instrText>
      </w:r>
      <w:r w:rsidRPr="000A38E5">
        <w:fldChar w:fldCharType="separate"/>
      </w:r>
      <w:r w:rsidR="00D4256A" w:rsidRPr="000A38E5">
        <w:rPr>
          <w:noProof/>
          <w:lang w:val="uk-UA"/>
        </w:rPr>
        <w:t>176</w:t>
      </w:r>
      <w:r w:rsidRPr="000A38E5">
        <w:rPr>
          <w:noProof/>
        </w:rPr>
        <w:fldChar w:fldCharType="end"/>
      </w:r>
      <w:r w:rsidR="00D4256A" w:rsidRPr="000A38E5">
        <w:rPr>
          <w:lang w:val="uk-UA"/>
        </w:rPr>
        <w:t>.</w:t>
      </w:r>
      <w:r w:rsidR="00D4256A" w:rsidRPr="00E93710">
        <w:rPr>
          <w:lang w:val="uk-UA"/>
        </w:rPr>
        <w:t xml:space="preserve"> </w:t>
      </w:r>
      <w:r w:rsidR="00D4256A" w:rsidRPr="000A38E5">
        <w:rPr>
          <w:lang w:val="uk-UA"/>
        </w:rPr>
        <w:t xml:space="preserve">Як Суд багато разів постановляв, стаття 6 § 1 Конвенції не змушує Договірні держави утворювати апеляційні або касаційні суди, але держава, яка утворює такі суди, повинна забезпечити, щоб особи, які мають доступ за законом, користувалися в таких судах гарантіями статті 6 (див., наприклад, </w:t>
      </w:r>
      <w:proofErr w:type="spellStart"/>
      <w:r w:rsidR="00D4256A" w:rsidRPr="000A38E5">
        <w:rPr>
          <w:i/>
        </w:rPr>
        <w:t>Morice</w:t>
      </w:r>
      <w:proofErr w:type="spellEnd"/>
      <w:r w:rsidR="00D4256A" w:rsidRPr="000A38E5">
        <w:rPr>
          <w:i/>
          <w:lang w:val="uk-UA"/>
        </w:rPr>
        <w:t xml:space="preserve"> </w:t>
      </w:r>
      <w:r w:rsidR="00D4256A" w:rsidRPr="000A38E5">
        <w:rPr>
          <w:i/>
        </w:rPr>
        <w:t>v</w:t>
      </w:r>
      <w:r w:rsidR="00D4256A" w:rsidRPr="000A38E5">
        <w:rPr>
          <w:i/>
          <w:lang w:val="uk-UA"/>
        </w:rPr>
        <w:t>.</w:t>
      </w:r>
      <w:r w:rsidR="00D4256A" w:rsidRPr="000A38E5">
        <w:rPr>
          <w:i/>
        </w:rPr>
        <w:t> France</w:t>
      </w:r>
      <w:r w:rsidR="00D4256A" w:rsidRPr="000A38E5">
        <w:rPr>
          <w:i/>
          <w:lang w:val="uk-UA"/>
        </w:rPr>
        <w:t xml:space="preserve"> </w:t>
      </w:r>
      <w:r w:rsidR="00D4256A" w:rsidRPr="000A38E5">
        <w:rPr>
          <w:lang w:val="uk-UA"/>
        </w:rPr>
        <w:t>[</w:t>
      </w:r>
      <w:r w:rsidR="00D4256A" w:rsidRPr="000A38E5">
        <w:t>GC</w:t>
      </w:r>
      <w:r w:rsidR="00D4256A" w:rsidRPr="000A38E5">
        <w:rPr>
          <w:lang w:val="uk-UA"/>
        </w:rPr>
        <w:t xml:space="preserve">], № 29369/10, § 88, </w:t>
      </w:r>
      <w:r w:rsidR="00D4256A" w:rsidRPr="000A38E5">
        <w:t>ECHR</w:t>
      </w:r>
      <w:r w:rsidR="00D4256A" w:rsidRPr="000A38E5">
        <w:rPr>
          <w:lang w:val="uk-UA"/>
        </w:rPr>
        <w:t xml:space="preserve"> 2015).</w:t>
      </w:r>
    </w:p>
    <w:p w:rsidR="00D4256A" w:rsidRPr="000A38E5" w:rsidRDefault="004E7608" w:rsidP="00D4256A">
      <w:pPr>
        <w:pStyle w:val="ECHRPara"/>
        <w:rPr>
          <w:lang w:val="it-IT"/>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177</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Характер застосування статті 6 до проваджень</w:t>
      </w:r>
      <w:r w:rsidR="00D4256A" w:rsidRPr="000A38E5">
        <w:rPr>
          <w:lang w:val="ru-RU"/>
        </w:rPr>
        <w:t xml:space="preserve"> </w:t>
      </w:r>
      <w:r w:rsidR="00D4256A" w:rsidRPr="000A38E5">
        <w:rPr>
          <w:lang w:val="uk-UA"/>
        </w:rPr>
        <w:t>в апеляційних судах залежить від особливостей</w:t>
      </w:r>
      <w:r w:rsidR="00D4256A" w:rsidRPr="000A38E5">
        <w:rPr>
          <w:lang w:val="ru-RU"/>
        </w:rPr>
        <w:t xml:space="preserve"> </w:t>
      </w:r>
      <w:r w:rsidR="00D4256A" w:rsidRPr="000A38E5">
        <w:rPr>
          <w:lang w:val="uk-UA"/>
        </w:rPr>
        <w:t>відповідних проваджень</w:t>
      </w:r>
      <w:r w:rsidR="00D4256A" w:rsidRPr="000A38E5">
        <w:rPr>
          <w:lang w:val="ru-RU"/>
        </w:rPr>
        <w:t xml:space="preserve">; </w:t>
      </w:r>
      <w:r w:rsidR="00D4256A" w:rsidRPr="000A38E5">
        <w:rPr>
          <w:lang w:val="uk-UA"/>
        </w:rPr>
        <w:t>слід взяти до уваги провадження в цілому в національному правовому порядку</w:t>
      </w:r>
      <w:r w:rsidR="00D4256A" w:rsidRPr="000A38E5">
        <w:rPr>
          <w:lang w:val="ru-RU"/>
        </w:rPr>
        <w:t xml:space="preserve"> </w:t>
      </w:r>
      <w:r w:rsidR="00D4256A" w:rsidRPr="000A38E5">
        <w:rPr>
          <w:lang w:val="uk-UA"/>
        </w:rPr>
        <w:t>та роль в них апеляційного суду</w:t>
      </w:r>
      <w:r w:rsidR="00D4256A" w:rsidRPr="000A38E5">
        <w:rPr>
          <w:lang w:val="ru-RU"/>
        </w:rPr>
        <w:t xml:space="preserve">. </w:t>
      </w:r>
      <w:r w:rsidR="00D4256A" w:rsidRPr="000A38E5">
        <w:rPr>
          <w:lang w:val="uk-UA"/>
        </w:rPr>
        <w:t>Суд постановив, що коли апеляційний суд повинен робити повну оцінку</w:t>
      </w:r>
      <w:r w:rsidR="00D4256A" w:rsidRPr="000A38E5">
        <w:rPr>
          <w:lang w:val="ru-RU"/>
        </w:rPr>
        <w:t xml:space="preserve"> </w:t>
      </w:r>
      <w:r w:rsidR="00D4256A" w:rsidRPr="000A38E5">
        <w:rPr>
          <w:lang w:val="uk-UA"/>
        </w:rPr>
        <w:t>питання винуватості або невинуватості</w:t>
      </w:r>
      <w:r w:rsidR="00D4256A" w:rsidRPr="000A38E5">
        <w:rPr>
          <w:lang w:val="ru-RU"/>
        </w:rPr>
        <w:t xml:space="preserve">, </w:t>
      </w:r>
      <w:r w:rsidR="00D4256A" w:rsidRPr="000A38E5">
        <w:rPr>
          <w:lang w:val="uk-UA"/>
        </w:rPr>
        <w:t>він не може визначити це питання без прямої оцінки доказів,</w:t>
      </w:r>
      <w:r w:rsidR="00D4256A" w:rsidRPr="000A38E5">
        <w:rPr>
          <w:lang w:val="ru-RU"/>
        </w:rPr>
        <w:t xml:space="preserve"> </w:t>
      </w:r>
      <w:r w:rsidR="00D4256A" w:rsidRPr="000A38E5">
        <w:rPr>
          <w:lang w:val="uk-UA"/>
        </w:rPr>
        <w:t>даних обвинуваченими особисто для цілей</w:t>
      </w:r>
      <w:r w:rsidR="00D4256A" w:rsidRPr="000A38E5">
        <w:rPr>
          <w:lang w:val="ru-RU"/>
        </w:rPr>
        <w:t xml:space="preserve"> </w:t>
      </w:r>
      <w:r w:rsidR="00D4256A" w:rsidRPr="000A38E5">
        <w:rPr>
          <w:lang w:val="uk-UA"/>
        </w:rPr>
        <w:t xml:space="preserve">доведення того, що </w:t>
      </w:r>
      <w:r w:rsidR="00D4256A" w:rsidRPr="000A38E5">
        <w:rPr>
          <w:lang w:val="uk-UA"/>
        </w:rPr>
        <w:lastRenderedPageBreak/>
        <w:t>вони не вчиняли дію, яка, за твердженнями, становить кримінальне правопорушення</w:t>
      </w:r>
      <w:r w:rsidR="00D4256A" w:rsidRPr="000A38E5">
        <w:rPr>
          <w:lang w:val="ru-RU"/>
        </w:rPr>
        <w:t xml:space="preserve"> (</w:t>
      </w:r>
      <w:r w:rsidR="00D4256A" w:rsidRPr="000A38E5">
        <w:rPr>
          <w:lang w:val="uk-UA"/>
        </w:rPr>
        <w:t>див.</w:t>
      </w:r>
      <w:r w:rsidR="00D4256A" w:rsidRPr="000A38E5">
        <w:rPr>
          <w:lang w:val="ru-RU"/>
        </w:rPr>
        <w:t xml:space="preserve"> </w:t>
      </w:r>
      <w:r w:rsidR="00D4256A" w:rsidRPr="000A38E5">
        <w:rPr>
          <w:i/>
          <w:lang w:val="it-IT"/>
        </w:rPr>
        <w:t>Kashlev v. Estonia</w:t>
      </w:r>
      <w:r w:rsidR="00D4256A" w:rsidRPr="000A38E5">
        <w:rPr>
          <w:lang w:val="it-IT"/>
        </w:rPr>
        <w:t xml:space="preserve">, </w:t>
      </w:r>
      <w:r w:rsidR="00D4256A" w:rsidRPr="000A38E5">
        <w:rPr>
          <w:lang w:val="uk-UA"/>
        </w:rPr>
        <w:t>№</w:t>
      </w:r>
      <w:r w:rsidR="00D4256A" w:rsidRPr="000A38E5">
        <w:rPr>
          <w:lang w:val="it-IT"/>
        </w:rPr>
        <w:t xml:space="preserve"> 22574/08</w:t>
      </w:r>
      <w:r w:rsidR="00D4256A" w:rsidRPr="000A38E5">
        <w:rPr>
          <w:snapToGrid w:val="0"/>
          <w:lang w:val="it-IT"/>
        </w:rPr>
        <w:t xml:space="preserve">, § 82, 26 </w:t>
      </w:r>
      <w:r w:rsidR="00D4256A" w:rsidRPr="000A38E5">
        <w:rPr>
          <w:snapToGrid w:val="0"/>
          <w:lang w:val="uk-UA"/>
        </w:rPr>
        <w:t>квітня</w:t>
      </w:r>
      <w:r w:rsidR="00D4256A" w:rsidRPr="000A38E5">
        <w:rPr>
          <w:snapToGrid w:val="0"/>
          <w:lang w:val="it-IT"/>
        </w:rPr>
        <w:t xml:space="preserve"> 2016</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178</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Повертаючись до цієї справи, Суд зазначає, що відповідно до національного законодавства</w:t>
      </w:r>
      <w:r w:rsidR="00D4256A" w:rsidRPr="000A38E5">
        <w:rPr>
          <w:lang w:val="ru-RU"/>
        </w:rPr>
        <w:t xml:space="preserve"> </w:t>
      </w:r>
      <w:r w:rsidR="00D4256A" w:rsidRPr="000A38E5">
        <w:rPr>
          <w:lang w:val="uk-UA"/>
        </w:rPr>
        <w:t>апеляційний суд має повноваження відхилити апеляцію</w:t>
      </w:r>
      <w:r w:rsidR="00D4256A" w:rsidRPr="000A38E5">
        <w:rPr>
          <w:lang w:val="ru-RU"/>
        </w:rPr>
        <w:t xml:space="preserve">, </w:t>
      </w:r>
      <w:r w:rsidR="00D4256A" w:rsidRPr="000A38E5">
        <w:rPr>
          <w:lang w:val="uk-UA"/>
        </w:rPr>
        <w:t>скасувати рішення суду першої інстанції та припинити провадження,</w:t>
      </w:r>
      <w:r w:rsidR="00D4256A" w:rsidRPr="000A38E5">
        <w:rPr>
          <w:lang w:val="ru-RU"/>
        </w:rPr>
        <w:t xml:space="preserve"> </w:t>
      </w:r>
      <w:r w:rsidR="00D4256A" w:rsidRPr="000A38E5">
        <w:rPr>
          <w:lang w:val="uk-UA"/>
        </w:rPr>
        <w:t>скасувати рішення та прийняти нове рішення</w:t>
      </w:r>
      <w:r w:rsidR="00D4256A" w:rsidRPr="000A38E5">
        <w:rPr>
          <w:lang w:val="ru-RU"/>
        </w:rPr>
        <w:t xml:space="preserve">, </w:t>
      </w:r>
      <w:r w:rsidR="00D4256A" w:rsidRPr="000A38E5">
        <w:rPr>
          <w:lang w:val="uk-UA"/>
        </w:rPr>
        <w:t>або змінити рішення</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CAO_A294 \h  \* MERGEFORMAT ">
        <w:r w:rsidR="00D4256A" w:rsidRPr="000A38E5">
          <w:rPr>
            <w:noProof/>
            <w:lang w:val="ru-RU"/>
          </w:rPr>
          <w:t>98</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Апеляційний суд має повноваження щодо повторного розгляду доказів</w:t>
      </w:r>
      <w:r w:rsidR="00D4256A" w:rsidRPr="000A38E5">
        <w:rPr>
          <w:lang w:val="ru-RU"/>
        </w:rPr>
        <w:t xml:space="preserve"> </w:t>
      </w:r>
      <w:r w:rsidR="00D4256A" w:rsidRPr="000A38E5">
        <w:rPr>
          <w:lang w:val="uk-UA"/>
        </w:rPr>
        <w:t>та припинення проваджень проти заявників,</w:t>
      </w:r>
      <w:r w:rsidR="00D4256A" w:rsidRPr="000A38E5">
        <w:rPr>
          <w:lang w:val="ru-RU"/>
        </w:rPr>
        <w:t xml:space="preserve"> </w:t>
      </w:r>
      <w:r w:rsidR="00D4256A" w:rsidRPr="000A38E5">
        <w:rPr>
          <w:lang w:val="uk-UA"/>
        </w:rPr>
        <w:t>якщо він доходить іншого висновку, ніж суд першої інстанції</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fith_applicant_acquittal \h  \* MERGEFORMAT ">
        <w:r w:rsidR="00D4256A" w:rsidRPr="000A38E5">
          <w:rPr>
            <w:noProof/>
            <w:lang w:val="ru-RU"/>
          </w:rPr>
          <w:t>62</w:t>
        </w:r>
      </w:fldSimple>
      <w:r w:rsidR="00D4256A" w:rsidRPr="000A38E5">
        <w:rPr>
          <w:lang w:val="ru-RU"/>
        </w:rPr>
        <w:t xml:space="preserve"> </w:t>
      </w:r>
      <w:r w:rsidR="00D4256A" w:rsidRPr="000A38E5">
        <w:rPr>
          <w:lang w:val="uk-UA"/>
        </w:rPr>
        <w:t>вище</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179</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Адвокат заявників сформулював свої апеляції проти засудження заявників</w:t>
      </w:r>
      <w:r w:rsidR="00D4256A" w:rsidRPr="000A38E5">
        <w:rPr>
          <w:lang w:val="ru-RU"/>
        </w:rPr>
        <w:t xml:space="preserve"> </w:t>
      </w:r>
      <w:r w:rsidR="00D4256A" w:rsidRPr="000A38E5">
        <w:rPr>
          <w:lang w:val="uk-UA"/>
        </w:rPr>
        <w:t>таким чином, що було зрозумілим, що він бажає перегляду фактів та права</w:t>
      </w:r>
      <w:r w:rsidR="00D4256A" w:rsidRPr="000A38E5">
        <w:rPr>
          <w:lang w:val="ru-RU"/>
        </w:rPr>
        <w:t xml:space="preserve"> (</w:t>
      </w:r>
      <w:r w:rsidR="00D4256A" w:rsidRPr="000A38E5">
        <w:rPr>
          <w:lang w:val="uk-UA"/>
        </w:rPr>
        <w:t>порівняйте з</w:t>
      </w:r>
      <w:r w:rsidR="00D4256A" w:rsidRPr="000A38E5">
        <w:rPr>
          <w:i/>
          <w:lang w:val="ru-RU"/>
        </w:rPr>
        <w:t xml:space="preserve"> </w:t>
      </w:r>
      <w:proofErr w:type="spellStart"/>
      <w:r w:rsidR="00D4256A" w:rsidRPr="000A38E5">
        <w:rPr>
          <w:i/>
        </w:rPr>
        <w:t>Abdulgadirov</w:t>
      </w:r>
      <w:proofErr w:type="spellEnd"/>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Azerbaijan</w:t>
      </w:r>
      <w:r w:rsidR="00D4256A" w:rsidRPr="000A38E5">
        <w:rPr>
          <w:snapToGrid w:val="0"/>
          <w:lang w:val="ru-RU"/>
        </w:rPr>
        <w:t xml:space="preserve">, </w:t>
      </w:r>
      <w:r w:rsidR="00D4256A" w:rsidRPr="000A38E5">
        <w:rPr>
          <w:snapToGrid w:val="0"/>
          <w:lang w:val="uk-UA"/>
        </w:rPr>
        <w:t>№</w:t>
      </w:r>
      <w:r w:rsidR="00D4256A" w:rsidRPr="000A38E5">
        <w:rPr>
          <w:snapToGrid w:val="0"/>
        </w:rPr>
        <w:t> </w:t>
      </w:r>
      <w:r w:rsidR="00D4256A" w:rsidRPr="000A38E5">
        <w:rPr>
          <w:snapToGrid w:val="0"/>
          <w:lang w:val="ru-RU"/>
        </w:rPr>
        <w:t>24510/06, §</w:t>
      </w:r>
      <w:r w:rsidR="00D4256A" w:rsidRPr="000A38E5">
        <w:rPr>
          <w:snapToGrid w:val="0"/>
        </w:rPr>
        <w:t> </w:t>
      </w:r>
      <w:r w:rsidR="00D4256A" w:rsidRPr="000A38E5">
        <w:rPr>
          <w:snapToGrid w:val="0"/>
          <w:lang w:val="ru-RU"/>
        </w:rPr>
        <w:t xml:space="preserve">42, 20 </w:t>
      </w:r>
      <w:r w:rsidR="00D4256A" w:rsidRPr="000A38E5">
        <w:rPr>
          <w:snapToGrid w:val="0"/>
          <w:lang w:val="uk-UA"/>
        </w:rPr>
        <w:t>червня</w:t>
      </w:r>
      <w:r w:rsidR="00D4256A" w:rsidRPr="000A38E5">
        <w:rPr>
          <w:snapToGrid w:val="0"/>
          <w:lang w:val="ru-RU"/>
        </w:rPr>
        <w:t xml:space="preserve"> 2013</w:t>
      </w:r>
      <w:r w:rsidR="00D4256A" w:rsidRPr="000A38E5">
        <w:rPr>
          <w:lang w:val="ru-RU"/>
        </w:rPr>
        <w:t xml:space="preserve">), </w:t>
      </w:r>
      <w:r w:rsidR="00D4256A" w:rsidRPr="000A38E5">
        <w:rPr>
          <w:lang w:val="uk-UA"/>
        </w:rPr>
        <w:t>і насправді апеляційний суд провів такий аналіз</w:t>
      </w:r>
      <w:r w:rsidR="00D4256A" w:rsidRPr="000A38E5">
        <w:rPr>
          <w:lang w:val="ru-RU"/>
        </w:rPr>
        <w:t xml:space="preserve">, </w:t>
      </w:r>
      <w:r w:rsidR="00D4256A" w:rsidRPr="000A38E5">
        <w:rPr>
          <w:lang w:val="uk-UA"/>
        </w:rPr>
        <w:t>визнавши, що заявники не спростували фактичні висновки суду першої інстанції</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CoA_first_second_applicants \h  \* MERGEFORMAT ">
        <w:r w:rsidR="00D4256A" w:rsidRPr="000A38E5">
          <w:rPr>
            <w:noProof/>
            <w:lang w:val="ru-RU"/>
          </w:rPr>
          <w:t>58</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В апеляції також ставилися питання покарання</w:t>
      </w:r>
      <w:r w:rsidR="00D4256A" w:rsidRPr="000A38E5">
        <w:rPr>
          <w:lang w:val="ru-RU"/>
        </w:rPr>
        <w:t xml:space="preserve">, </w:t>
      </w:r>
      <w:r w:rsidR="00D4256A" w:rsidRPr="000A38E5">
        <w:rPr>
          <w:lang w:val="uk-UA"/>
        </w:rPr>
        <w:t>які вимагали оцінки характеру та мотивації заявників</w:t>
      </w:r>
      <w:r w:rsidR="00D4256A" w:rsidRPr="000A38E5">
        <w:rPr>
          <w:lang w:val="ru-RU"/>
        </w:rPr>
        <w:t xml:space="preserve"> (</w:t>
      </w:r>
      <w:r w:rsidR="00D4256A" w:rsidRPr="000A38E5">
        <w:rPr>
          <w:lang w:val="uk-UA"/>
        </w:rPr>
        <w:t>порівняйте з</w:t>
      </w:r>
      <w:r w:rsidR="00D4256A" w:rsidRPr="000A38E5">
        <w:rPr>
          <w:lang w:val="ru-RU"/>
        </w:rPr>
        <w:t xml:space="preserve"> </w:t>
      </w:r>
      <w:proofErr w:type="spellStart"/>
      <w:r w:rsidR="00D4256A" w:rsidRPr="000A38E5">
        <w:rPr>
          <w:i/>
        </w:rPr>
        <w:t>Kremzow</w:t>
      </w:r>
      <w:proofErr w:type="spellEnd"/>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Austria</w:t>
      </w:r>
      <w:r w:rsidR="00D4256A" w:rsidRPr="000A38E5">
        <w:rPr>
          <w:lang w:val="ru-RU"/>
        </w:rPr>
        <w:t xml:space="preserve">, 21 </w:t>
      </w:r>
      <w:r w:rsidR="00D4256A" w:rsidRPr="000A38E5">
        <w:rPr>
          <w:lang w:val="uk-UA"/>
        </w:rPr>
        <w:t>вересня</w:t>
      </w:r>
      <w:r w:rsidR="00D4256A" w:rsidRPr="000A38E5">
        <w:rPr>
          <w:lang w:val="ru-RU"/>
        </w:rPr>
        <w:t xml:space="preserve"> 1993, § 67, </w:t>
      </w:r>
      <w:r w:rsidR="00D4256A" w:rsidRPr="000A38E5">
        <w:rPr>
          <w:lang w:val="uk-UA"/>
        </w:rPr>
        <w:t>серія</w:t>
      </w:r>
      <w:r w:rsidR="00D4256A" w:rsidRPr="000A38E5">
        <w:rPr>
          <w:lang w:val="ru-RU"/>
        </w:rPr>
        <w:t xml:space="preserve"> </w:t>
      </w:r>
      <w:r w:rsidR="00D4256A" w:rsidRPr="000A38E5">
        <w:t>A</w:t>
      </w:r>
      <w:r w:rsidR="00D4256A" w:rsidRPr="000A38E5">
        <w:rPr>
          <w:lang w:val="ru-RU"/>
        </w:rPr>
        <w:t xml:space="preserve"> </w:t>
      </w:r>
      <w:r w:rsidR="00D4256A" w:rsidRPr="000A38E5">
        <w:rPr>
          <w:lang w:val="uk-UA"/>
        </w:rPr>
        <w:t>№</w:t>
      </w:r>
      <w:r w:rsidR="00D4256A" w:rsidRPr="000A38E5">
        <w:rPr>
          <w:lang w:val="ru-RU"/>
        </w:rPr>
        <w:t xml:space="preserve"> 268</w:t>
      </w:r>
      <w:r w:rsidR="00D4256A" w:rsidRPr="000A38E5">
        <w:rPr>
          <w:lang w:val="ru-RU"/>
        </w:rPr>
        <w:noBreakHyphen/>
      </w:r>
      <w:r w:rsidR="00D4256A" w:rsidRPr="000A38E5">
        <w:t>B</w:t>
      </w:r>
      <w:r w:rsidR="00D4256A" w:rsidRPr="000A38E5">
        <w:rPr>
          <w:lang w:val="ru-RU"/>
        </w:rPr>
        <w:t xml:space="preserve">). </w:t>
      </w:r>
      <w:r w:rsidR="00D4256A" w:rsidRPr="000A38E5">
        <w:rPr>
          <w:lang w:val="uk-UA"/>
        </w:rPr>
        <w:t>В дійсності апеляційний суд провів таку оцінку</w:t>
      </w:r>
      <w:r w:rsidR="00D4256A" w:rsidRPr="000A38E5">
        <w:rPr>
          <w:lang w:val="ru-RU"/>
        </w:rPr>
        <w:t xml:space="preserve">, </w:t>
      </w:r>
      <w:r w:rsidR="00D4256A" w:rsidRPr="000A38E5">
        <w:rPr>
          <w:lang w:val="uk-UA"/>
        </w:rPr>
        <w:t>визнавши, що суд першої інстанції не прийняв до уваги особисті характеристики заявників</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CoA_first_second_applicants \h  \* MERGEFORMAT ">
        <w:r w:rsidR="00D4256A" w:rsidRPr="000A38E5">
          <w:rPr>
            <w:noProof/>
            <w:lang w:val="ru-RU"/>
          </w:rPr>
          <w:t>58</w:t>
        </w:r>
      </w:fldSimple>
      <w:r w:rsidR="00D4256A" w:rsidRPr="000A38E5">
        <w:rPr>
          <w:lang w:val="ru-RU"/>
        </w:rPr>
        <w:t xml:space="preserve"> </w:t>
      </w:r>
      <w:r w:rsidR="00D4256A" w:rsidRPr="000A38E5">
        <w:rPr>
          <w:lang w:val="uk-UA"/>
        </w:rPr>
        <w:t>вище</w:t>
      </w:r>
      <w:r w:rsidR="00D4256A" w:rsidRPr="000A38E5">
        <w:rPr>
          <w:lang w:val="ru-RU"/>
        </w:rPr>
        <w:t>).</w:t>
      </w:r>
    </w:p>
    <w:p w:rsidR="00D4256A" w:rsidRPr="000A38E5" w:rsidRDefault="004E7608" w:rsidP="00D4256A">
      <w:pPr>
        <w:pStyle w:val="ECHRPara"/>
        <w:rPr>
          <w:lang w:val="es-ES_tradnl"/>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180</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Суд робить висновок, що для справедливості проваджень мала ключове значення участь заявників у розгляді за апеляцією</w:t>
      </w:r>
      <w:r w:rsidR="00D4256A" w:rsidRPr="000A38E5">
        <w:rPr>
          <w:lang w:val="ru-RU"/>
        </w:rPr>
        <w:t xml:space="preserve">, </w:t>
      </w:r>
      <w:r w:rsidR="00D4256A" w:rsidRPr="000A38E5">
        <w:rPr>
          <w:lang w:val="uk-UA"/>
        </w:rPr>
        <w:t>якщо вони явно не відмовилися від цього права</w:t>
      </w:r>
      <w:r w:rsidR="00D4256A" w:rsidRPr="000A38E5">
        <w:rPr>
          <w:lang w:val="ru-RU"/>
        </w:rPr>
        <w:t xml:space="preserve">. </w:t>
      </w:r>
      <w:r w:rsidR="00D4256A" w:rsidRPr="000A38E5">
        <w:rPr>
          <w:lang w:val="uk-UA"/>
        </w:rPr>
        <w:t>Суд повторює, що ані буква, ані дух статті 6 Конвенції</w:t>
      </w:r>
      <w:r w:rsidR="00D4256A" w:rsidRPr="000A38E5">
        <w:rPr>
          <w:lang w:val="ru-RU"/>
        </w:rPr>
        <w:t xml:space="preserve"> </w:t>
      </w:r>
      <w:r w:rsidR="00D4256A" w:rsidRPr="000A38E5">
        <w:rPr>
          <w:lang w:val="uk-UA"/>
        </w:rPr>
        <w:t>не заважає особі добровільно відмовитися, явно або неявно</w:t>
      </w:r>
      <w:r w:rsidR="00D4256A" w:rsidRPr="000A38E5">
        <w:rPr>
          <w:lang w:val="ru-RU"/>
        </w:rPr>
        <w:t xml:space="preserve">, </w:t>
      </w:r>
      <w:r w:rsidR="00D4256A" w:rsidRPr="000A38E5">
        <w:rPr>
          <w:lang w:val="uk-UA"/>
        </w:rPr>
        <w:t>від права на гарантії справедливого судового процесу</w:t>
      </w:r>
      <w:r w:rsidR="00D4256A" w:rsidRPr="000A38E5">
        <w:rPr>
          <w:lang w:val="ru-RU"/>
        </w:rPr>
        <w:t xml:space="preserve">. </w:t>
      </w:r>
      <w:r w:rsidR="00D4256A" w:rsidRPr="000A38E5">
        <w:rPr>
          <w:lang w:val="uk-UA"/>
        </w:rPr>
        <w:t>Однак, для того, щоб бути дійсною з погляду Конвенції, така відмова</w:t>
      </w:r>
      <w:r w:rsidR="00D4256A" w:rsidRPr="000A38E5">
        <w:rPr>
          <w:lang w:val="ru-RU"/>
        </w:rPr>
        <w:t xml:space="preserve"> </w:t>
      </w:r>
      <w:r w:rsidR="00D4256A" w:rsidRPr="000A38E5">
        <w:rPr>
          <w:lang w:val="uk-UA"/>
        </w:rPr>
        <w:t>повинна бути встановлена однозначно</w:t>
      </w:r>
      <w:r w:rsidR="00D4256A" w:rsidRPr="000A38E5">
        <w:rPr>
          <w:lang w:val="ru-RU"/>
        </w:rPr>
        <w:t xml:space="preserve"> </w:t>
      </w:r>
      <w:r w:rsidR="00D4256A" w:rsidRPr="000A38E5">
        <w:rPr>
          <w:lang w:val="uk-UA"/>
        </w:rPr>
        <w:t>і повинна супроводжуватися мінімальними гарантіями, відповідними її важливості</w:t>
      </w:r>
      <w:r w:rsidR="00D4256A" w:rsidRPr="000A38E5">
        <w:rPr>
          <w:lang w:val="ru-RU"/>
        </w:rPr>
        <w:t xml:space="preserve">. </w:t>
      </w:r>
      <w:r w:rsidR="00D4256A" w:rsidRPr="000A38E5">
        <w:rPr>
          <w:lang w:val="uk-UA"/>
        </w:rPr>
        <w:t>Така відмова не повинна бути явною</w:t>
      </w:r>
      <w:r w:rsidR="00D4256A" w:rsidRPr="000A38E5">
        <w:rPr>
          <w:lang w:val="ru-RU"/>
        </w:rPr>
        <w:t xml:space="preserve">, </w:t>
      </w:r>
      <w:r w:rsidR="00D4256A" w:rsidRPr="000A38E5">
        <w:rPr>
          <w:lang w:val="uk-UA"/>
        </w:rPr>
        <w:t>але повинна бути добровільною та становити</w:t>
      </w:r>
      <w:r w:rsidR="00D4256A" w:rsidRPr="000A38E5">
        <w:rPr>
          <w:lang w:val="ru-RU"/>
        </w:rPr>
        <w:t xml:space="preserve"> </w:t>
      </w:r>
      <w:r w:rsidR="00D4256A" w:rsidRPr="000A38E5">
        <w:rPr>
          <w:lang w:val="uk-UA"/>
        </w:rPr>
        <w:t>обізнану та розумну відмову від права</w:t>
      </w:r>
      <w:r w:rsidR="00D4256A" w:rsidRPr="000A38E5">
        <w:rPr>
          <w:lang w:val="ru-RU"/>
        </w:rPr>
        <w:t xml:space="preserve">. </w:t>
      </w:r>
      <w:r w:rsidR="00D4256A" w:rsidRPr="000A38E5">
        <w:rPr>
          <w:lang w:val="uk-UA"/>
        </w:rPr>
        <w:t>До того, як можна буде визнати, що обвинувачена особа явно, через свою поведінку, відмовилася</w:t>
      </w:r>
      <w:r w:rsidR="00D4256A" w:rsidRPr="000A38E5">
        <w:rPr>
          <w:lang w:val="ru-RU"/>
        </w:rPr>
        <w:t xml:space="preserve"> </w:t>
      </w:r>
      <w:r w:rsidR="00D4256A" w:rsidRPr="000A38E5">
        <w:rPr>
          <w:lang w:val="uk-UA"/>
        </w:rPr>
        <w:t>від важливого права відповідно до статті</w:t>
      </w:r>
      <w:r w:rsidR="00D4256A" w:rsidRPr="000A38E5">
        <w:rPr>
          <w:lang w:val="ru-RU"/>
        </w:rPr>
        <w:t xml:space="preserve"> 6, </w:t>
      </w:r>
      <w:r w:rsidR="00D4256A" w:rsidRPr="000A38E5">
        <w:rPr>
          <w:lang w:val="uk-UA"/>
        </w:rPr>
        <w:t>необхідно продемонструвати, що вона могла передбачити,</w:t>
      </w:r>
      <w:r w:rsidR="00D4256A" w:rsidRPr="000A38E5">
        <w:rPr>
          <w:lang w:val="ru-RU"/>
        </w:rPr>
        <w:t xml:space="preserve"> </w:t>
      </w:r>
      <w:r w:rsidR="00D4256A" w:rsidRPr="000A38E5">
        <w:rPr>
          <w:lang w:val="uk-UA"/>
        </w:rPr>
        <w:t>якими будуть наслідки такої поведінки</w:t>
      </w:r>
      <w:r w:rsidR="00D4256A" w:rsidRPr="000A38E5">
        <w:rPr>
          <w:i/>
          <w:iCs/>
          <w:lang w:val="ru-RU"/>
        </w:rPr>
        <w:t>.</w:t>
      </w:r>
      <w:r w:rsidR="00D4256A" w:rsidRPr="000A38E5">
        <w:rPr>
          <w:lang w:val="ru-RU"/>
        </w:rPr>
        <w:t xml:space="preserve"> </w:t>
      </w:r>
      <w:r w:rsidR="00D4256A" w:rsidRPr="000A38E5">
        <w:rPr>
          <w:lang w:val="uk-UA"/>
        </w:rPr>
        <w:t>Крім того, відмова не повинна суперечити будь-якому важливому суспільному інтересу</w:t>
      </w:r>
      <w:r w:rsidR="00D4256A" w:rsidRPr="000A38E5">
        <w:rPr>
          <w:lang w:val="ru-RU"/>
        </w:rPr>
        <w:t xml:space="preserve"> (</w:t>
      </w:r>
      <w:r w:rsidR="00D4256A" w:rsidRPr="000A38E5">
        <w:rPr>
          <w:lang w:val="uk-UA"/>
        </w:rPr>
        <w:t>див.</w:t>
      </w:r>
      <w:r w:rsidR="00D4256A" w:rsidRPr="000A38E5">
        <w:rPr>
          <w:lang w:val="ru-RU"/>
        </w:rPr>
        <w:t xml:space="preserve"> </w:t>
      </w:r>
      <w:r w:rsidR="00D4256A" w:rsidRPr="000A38E5">
        <w:rPr>
          <w:i/>
          <w:iCs/>
          <w:lang w:val="es-ES_tradnl"/>
        </w:rPr>
        <w:t>Simeonovi v. Bulgaria</w:t>
      </w:r>
      <w:r w:rsidR="00D4256A" w:rsidRPr="000A38E5">
        <w:rPr>
          <w:lang w:val="es-ES_tradnl"/>
        </w:rPr>
        <w:t xml:space="preserve"> [GC], </w:t>
      </w:r>
      <w:r w:rsidR="00D4256A" w:rsidRPr="000A38E5">
        <w:rPr>
          <w:lang w:val="uk-UA"/>
        </w:rPr>
        <w:t>№</w:t>
      </w:r>
      <w:r w:rsidR="00D4256A" w:rsidRPr="000A38E5">
        <w:rPr>
          <w:lang w:val="es-ES_tradnl"/>
        </w:rPr>
        <w:t xml:space="preserve"> 21980/04, § 115, 12 </w:t>
      </w:r>
      <w:r w:rsidR="00D4256A" w:rsidRPr="000A38E5">
        <w:rPr>
          <w:lang w:val="uk-UA"/>
        </w:rPr>
        <w:t>травня</w:t>
      </w:r>
      <w:r w:rsidR="00D4256A" w:rsidRPr="000A38E5">
        <w:rPr>
          <w:lang w:val="es-ES_tradnl"/>
        </w:rPr>
        <w:t xml:space="preserve"> 2017, </w:t>
      </w:r>
      <w:r w:rsidR="00D4256A" w:rsidRPr="000A38E5">
        <w:rPr>
          <w:lang w:val="uk-UA"/>
        </w:rPr>
        <w:t>з подальшими посиланнями</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181</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Суд вважає, що сам факт того, що адвокат заявників не вимагав</w:t>
      </w:r>
      <w:r w:rsidR="00D4256A" w:rsidRPr="000A38E5">
        <w:rPr>
          <w:lang w:val="ru-RU"/>
        </w:rPr>
        <w:t xml:space="preserve"> </w:t>
      </w:r>
      <w:r w:rsidR="00D4256A" w:rsidRPr="000A38E5">
        <w:rPr>
          <w:lang w:val="uk-UA"/>
        </w:rPr>
        <w:t>забезпечення їх присутності, не є вирішальним у цьому відношенні</w:t>
      </w:r>
      <w:r w:rsidR="00D4256A" w:rsidRPr="000A38E5">
        <w:rPr>
          <w:lang w:val="ru-RU"/>
        </w:rPr>
        <w:t xml:space="preserve"> (</w:t>
      </w:r>
      <w:r w:rsidR="00D4256A" w:rsidRPr="000A38E5">
        <w:rPr>
          <w:lang w:val="uk-UA"/>
        </w:rPr>
        <w:t>див., наприклад</w:t>
      </w:r>
      <w:r w:rsidR="00D4256A" w:rsidRPr="000A38E5">
        <w:rPr>
          <w:lang w:val="ru-RU"/>
        </w:rPr>
        <w:t xml:space="preserve">, </w:t>
      </w:r>
      <w:proofErr w:type="spellStart"/>
      <w:r w:rsidR="00D4256A" w:rsidRPr="000A38E5">
        <w:rPr>
          <w:i/>
        </w:rPr>
        <w:t>Botten</w:t>
      </w:r>
      <w:proofErr w:type="spellEnd"/>
      <w:r w:rsidR="00D4256A" w:rsidRPr="000A38E5">
        <w:rPr>
          <w:i/>
          <w:lang w:val="ru-RU"/>
        </w:rPr>
        <w:t xml:space="preserve"> </w:t>
      </w:r>
      <w:r w:rsidR="00D4256A" w:rsidRPr="000A38E5">
        <w:rPr>
          <w:i/>
        </w:rPr>
        <w:t>v</w:t>
      </w:r>
      <w:r w:rsidR="00D4256A" w:rsidRPr="000A38E5">
        <w:rPr>
          <w:i/>
          <w:lang w:val="ru-RU"/>
        </w:rPr>
        <w:t>.</w:t>
      </w:r>
      <w:r w:rsidR="00D4256A" w:rsidRPr="000A38E5">
        <w:rPr>
          <w:i/>
        </w:rPr>
        <w:t> Norway</w:t>
      </w:r>
      <w:r w:rsidR="00D4256A" w:rsidRPr="000A38E5">
        <w:rPr>
          <w:lang w:val="ru-RU"/>
        </w:rPr>
        <w:t xml:space="preserve">, 19 </w:t>
      </w:r>
      <w:r w:rsidR="00D4256A" w:rsidRPr="000A38E5">
        <w:rPr>
          <w:lang w:val="uk-UA"/>
        </w:rPr>
        <w:t>лютого</w:t>
      </w:r>
      <w:r w:rsidR="00D4256A" w:rsidRPr="000A38E5">
        <w:rPr>
          <w:lang w:val="ru-RU"/>
        </w:rPr>
        <w:t xml:space="preserve"> 1996, § 53, </w:t>
      </w:r>
      <w:r w:rsidR="00D4256A" w:rsidRPr="000A38E5">
        <w:rPr>
          <w:i/>
        </w:rPr>
        <w:t>Reports</w:t>
      </w:r>
      <w:r w:rsidR="00D4256A" w:rsidRPr="000A38E5">
        <w:rPr>
          <w:i/>
          <w:lang w:val="ru-RU"/>
        </w:rPr>
        <w:t xml:space="preserve"> </w:t>
      </w:r>
      <w:r w:rsidR="00D4256A" w:rsidRPr="000A38E5">
        <w:rPr>
          <w:i/>
        </w:rPr>
        <w:t>of</w:t>
      </w:r>
      <w:r w:rsidR="00D4256A" w:rsidRPr="000A38E5">
        <w:rPr>
          <w:i/>
          <w:lang w:val="ru-RU"/>
        </w:rPr>
        <w:t xml:space="preserve"> </w:t>
      </w:r>
      <w:r w:rsidR="00D4256A" w:rsidRPr="000A38E5">
        <w:rPr>
          <w:i/>
        </w:rPr>
        <w:t>Judgments</w:t>
      </w:r>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Decisions</w:t>
      </w:r>
      <w:r w:rsidR="00D4256A" w:rsidRPr="000A38E5">
        <w:rPr>
          <w:lang w:val="ru-RU"/>
        </w:rPr>
        <w:t xml:space="preserve"> 1996</w:t>
      </w:r>
      <w:r w:rsidR="00D4256A" w:rsidRPr="000A38E5">
        <w:rPr>
          <w:lang w:val="ru-RU"/>
        </w:rPr>
        <w:noBreakHyphen/>
      </w:r>
      <w:r w:rsidR="00D4256A" w:rsidRPr="000A38E5">
        <w:t>I</w:t>
      </w:r>
      <w:r w:rsidR="00D4256A" w:rsidRPr="000A38E5">
        <w:rPr>
          <w:lang w:val="ru-RU"/>
        </w:rPr>
        <w:t xml:space="preserve">, </w:t>
      </w:r>
      <w:r w:rsidR="00D4256A" w:rsidRPr="000A38E5">
        <w:rPr>
          <w:lang w:val="uk-UA"/>
        </w:rPr>
        <w:t>та</w:t>
      </w:r>
      <w:r w:rsidR="00D4256A" w:rsidRPr="000A38E5">
        <w:rPr>
          <w:lang w:val="ru-RU"/>
        </w:rPr>
        <w:t xml:space="preserve"> </w:t>
      </w:r>
      <w:proofErr w:type="spellStart"/>
      <w:r w:rsidR="00D4256A" w:rsidRPr="000A38E5">
        <w:rPr>
          <w:i/>
        </w:rPr>
        <w:t>Pobornikoff</w:t>
      </w:r>
      <w:proofErr w:type="spellEnd"/>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Austria</w:t>
      </w:r>
      <w:r w:rsidR="00D4256A" w:rsidRPr="000A38E5">
        <w:rPr>
          <w:lang w:val="ru-RU"/>
        </w:rPr>
        <w:t xml:space="preserve">, </w:t>
      </w:r>
      <w:r w:rsidR="00D4256A" w:rsidRPr="000A38E5">
        <w:rPr>
          <w:lang w:val="uk-UA"/>
        </w:rPr>
        <w:t>№</w:t>
      </w:r>
      <w:r w:rsidR="00D4256A" w:rsidRPr="000A38E5">
        <w:t> </w:t>
      </w:r>
      <w:r w:rsidR="00D4256A" w:rsidRPr="000A38E5">
        <w:rPr>
          <w:lang w:val="ru-RU"/>
        </w:rPr>
        <w:t xml:space="preserve">28501/95, § 32, 3 </w:t>
      </w:r>
      <w:r w:rsidR="00D4256A" w:rsidRPr="000A38E5">
        <w:rPr>
          <w:lang w:val="uk-UA"/>
        </w:rPr>
        <w:t>жовтня</w:t>
      </w:r>
      <w:r w:rsidR="00D4256A" w:rsidRPr="000A38E5">
        <w:rPr>
          <w:lang w:val="ru-RU"/>
        </w:rPr>
        <w:t xml:space="preserve"> 2000). </w:t>
      </w:r>
      <w:r w:rsidR="00D4256A" w:rsidRPr="000A38E5">
        <w:rPr>
          <w:lang w:val="uk-UA"/>
        </w:rPr>
        <w:t>На відміну від цього, Суд вважає важливим</w:t>
      </w:r>
      <w:r w:rsidR="00D4256A" w:rsidRPr="000A38E5">
        <w:rPr>
          <w:lang w:val="ru-RU"/>
        </w:rPr>
        <w:t>:</w:t>
      </w:r>
    </w:p>
    <w:p w:rsidR="00D4256A" w:rsidRPr="000A38E5" w:rsidRDefault="00D4256A" w:rsidP="00D4256A">
      <w:pPr>
        <w:pStyle w:val="ECHRPara"/>
        <w:rPr>
          <w:lang w:val="uk-UA"/>
        </w:rPr>
      </w:pPr>
      <w:r w:rsidRPr="000A38E5">
        <w:rPr>
          <w:lang w:val="ru-RU"/>
        </w:rPr>
        <w:t>(</w:t>
      </w:r>
      <w:proofErr w:type="spellStart"/>
      <w:r w:rsidRPr="000A38E5">
        <w:t>i</w:t>
      </w:r>
      <w:proofErr w:type="spellEnd"/>
      <w:r w:rsidRPr="000A38E5">
        <w:rPr>
          <w:lang w:val="ru-RU"/>
        </w:rPr>
        <w:t>)</w:t>
      </w:r>
      <w:r w:rsidRPr="00E93710">
        <w:rPr>
          <w:lang w:val="ru-RU"/>
        </w:rPr>
        <w:t xml:space="preserve"> </w:t>
      </w:r>
      <w:r w:rsidRPr="000A38E5">
        <w:rPr>
          <w:lang w:val="uk-UA"/>
        </w:rPr>
        <w:t>те, що заявники не були проінформовані про слухання</w:t>
      </w:r>
      <w:r w:rsidRPr="000A38E5">
        <w:rPr>
          <w:lang w:val="ru-RU"/>
        </w:rPr>
        <w:t xml:space="preserve"> </w:t>
      </w:r>
      <w:r w:rsidRPr="000A38E5">
        <w:rPr>
          <w:lang w:val="uk-UA"/>
        </w:rPr>
        <w:t>в апеляційному суді, а також</w:t>
      </w:r>
    </w:p>
    <w:p w:rsidR="00D4256A" w:rsidRPr="000A38E5" w:rsidRDefault="00D4256A" w:rsidP="00D4256A">
      <w:pPr>
        <w:pStyle w:val="ECHRPara"/>
        <w:rPr>
          <w:lang w:val="ru-RU"/>
        </w:rPr>
      </w:pPr>
      <w:r w:rsidRPr="000A38E5">
        <w:rPr>
          <w:lang w:val="ru-RU"/>
        </w:rPr>
        <w:t>(</w:t>
      </w:r>
      <w:r w:rsidRPr="000A38E5">
        <w:t>ii</w:t>
      </w:r>
      <w:r w:rsidRPr="000A38E5">
        <w:rPr>
          <w:lang w:val="ru-RU"/>
        </w:rPr>
        <w:t>)</w:t>
      </w:r>
      <w:r w:rsidRPr="00E93710">
        <w:rPr>
          <w:lang w:val="ru-RU"/>
        </w:rPr>
        <w:t xml:space="preserve"> </w:t>
      </w:r>
      <w:r w:rsidRPr="000A38E5">
        <w:rPr>
          <w:lang w:val="uk-UA"/>
        </w:rPr>
        <w:t>те, що не існувало встановленої процедури для того, щоб затримані заявники</w:t>
      </w:r>
      <w:r w:rsidRPr="000A38E5">
        <w:rPr>
          <w:lang w:val="ru-RU"/>
        </w:rPr>
        <w:t xml:space="preserve"> </w:t>
      </w:r>
      <w:r w:rsidRPr="000A38E5">
        <w:rPr>
          <w:lang w:val="uk-UA"/>
        </w:rPr>
        <w:t xml:space="preserve">могли вимагати </w:t>
      </w:r>
      <w:proofErr w:type="spellStart"/>
      <w:r w:rsidRPr="000A38E5">
        <w:rPr>
          <w:lang w:val="uk-UA"/>
        </w:rPr>
        <w:t>доставлення</w:t>
      </w:r>
      <w:proofErr w:type="spellEnd"/>
      <w:r w:rsidRPr="000A38E5">
        <w:rPr>
          <w:lang w:val="uk-UA"/>
        </w:rPr>
        <w:t xml:space="preserve"> на слухання в апеляційному суді</w:t>
      </w:r>
      <w:r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182</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З першого питання Суд зазначає, що національне право вимагає,</w:t>
      </w:r>
      <w:r w:rsidR="00D4256A" w:rsidRPr="000A38E5">
        <w:rPr>
          <w:lang w:val="ru-RU"/>
        </w:rPr>
        <w:t xml:space="preserve"> </w:t>
      </w:r>
      <w:r w:rsidR="00D4256A" w:rsidRPr="000A38E5">
        <w:rPr>
          <w:lang w:val="uk-UA"/>
        </w:rPr>
        <w:t>щоб апеляційний суд інформував сторони про слухання</w:t>
      </w:r>
      <w:r w:rsidR="00D4256A" w:rsidRPr="000A38E5">
        <w:rPr>
          <w:lang w:val="ru-RU"/>
        </w:rPr>
        <w:t xml:space="preserve"> (</w:t>
      </w:r>
      <w:r w:rsidR="00D4256A" w:rsidRPr="000A38E5">
        <w:rPr>
          <w:lang w:val="uk-UA"/>
        </w:rPr>
        <w:t>див. пункт</w:t>
      </w:r>
      <w:r w:rsidR="00D4256A" w:rsidRPr="000A38E5">
        <w:t> </w:t>
      </w:r>
      <w:fldSimple w:instr=" REF CAO_A294 \h  \* MERGEFORMAT ">
        <w:r w:rsidR="00D4256A" w:rsidRPr="000A38E5">
          <w:rPr>
            <w:noProof/>
            <w:lang w:val="ru-RU"/>
          </w:rPr>
          <w:t>98</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Однак, ніщо в матеріалах справи не вказує,</w:t>
      </w:r>
      <w:r w:rsidR="00D4256A" w:rsidRPr="000A38E5">
        <w:rPr>
          <w:lang w:val="ru-RU"/>
        </w:rPr>
        <w:t xml:space="preserve"> </w:t>
      </w:r>
      <w:r w:rsidR="00D4256A" w:rsidRPr="000A38E5">
        <w:rPr>
          <w:lang w:val="uk-UA"/>
        </w:rPr>
        <w:t>що таке повідомлення було передано в місце утримання заявників</w:t>
      </w:r>
      <w:r w:rsidR="00D4256A" w:rsidRPr="000A38E5">
        <w:rPr>
          <w:lang w:val="ru-RU"/>
        </w:rPr>
        <w:t xml:space="preserve">. </w:t>
      </w:r>
      <w:r w:rsidR="00D4256A" w:rsidRPr="000A38E5">
        <w:rPr>
          <w:lang w:val="uk-UA"/>
        </w:rPr>
        <w:t>Також ніщо не вказує, що апеляційний суд розглянув питання</w:t>
      </w:r>
      <w:r w:rsidR="00D4256A" w:rsidRPr="000A38E5">
        <w:rPr>
          <w:lang w:val="ru-RU"/>
        </w:rPr>
        <w:t xml:space="preserve"> </w:t>
      </w:r>
      <w:r w:rsidR="00D4256A" w:rsidRPr="000A38E5">
        <w:rPr>
          <w:lang w:val="uk-UA"/>
        </w:rPr>
        <w:t>того, чи заявники були належним чином повідомлені</w:t>
      </w:r>
      <w:r w:rsidR="00D4256A" w:rsidRPr="000A38E5">
        <w:rPr>
          <w:lang w:val="ru-RU"/>
        </w:rPr>
        <w:t xml:space="preserve"> </w:t>
      </w:r>
      <w:r w:rsidR="00D4256A" w:rsidRPr="000A38E5">
        <w:rPr>
          <w:lang w:val="uk-UA"/>
        </w:rPr>
        <w:t>або вирішив не повідомляти заявників за якихось підстав</w:t>
      </w:r>
      <w:r w:rsidR="00D4256A" w:rsidRPr="000A38E5">
        <w:rPr>
          <w:lang w:val="ru-RU"/>
        </w:rPr>
        <w:t xml:space="preserve"> (</w:t>
      </w:r>
      <w:r w:rsidR="00D4256A" w:rsidRPr="000A38E5">
        <w:rPr>
          <w:lang w:val="uk-UA"/>
        </w:rPr>
        <w:t>порівняйте, у цивільному контексті</w:t>
      </w:r>
      <w:r w:rsidR="00D4256A" w:rsidRPr="000A38E5">
        <w:rPr>
          <w:lang w:val="ru-RU"/>
        </w:rPr>
        <w:t xml:space="preserve">, </w:t>
      </w:r>
      <w:proofErr w:type="spellStart"/>
      <w:r w:rsidR="00D4256A" w:rsidRPr="000A38E5">
        <w:rPr>
          <w:i/>
        </w:rPr>
        <w:t>Gankin</w:t>
      </w:r>
      <w:proofErr w:type="spellEnd"/>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Others</w:t>
      </w:r>
      <w:r w:rsidR="00D4256A" w:rsidRPr="000A38E5">
        <w:rPr>
          <w:i/>
          <w:lang w:val="ru-RU"/>
        </w:rPr>
        <w:t xml:space="preserve"> </w:t>
      </w:r>
      <w:r w:rsidR="00D4256A" w:rsidRPr="000A38E5">
        <w:rPr>
          <w:i/>
        </w:rPr>
        <w:t>v</w:t>
      </w:r>
      <w:r w:rsidR="00D4256A" w:rsidRPr="000A38E5">
        <w:rPr>
          <w:i/>
          <w:lang w:val="ru-RU"/>
        </w:rPr>
        <w:t>.</w:t>
      </w:r>
      <w:r w:rsidR="00D4256A" w:rsidRPr="000A38E5">
        <w:rPr>
          <w:i/>
        </w:rPr>
        <w:t> Russia</w:t>
      </w:r>
      <w:r w:rsidR="00D4256A" w:rsidRPr="000A38E5">
        <w:rPr>
          <w:lang w:val="ru-RU"/>
        </w:rPr>
        <w:t xml:space="preserve">, </w:t>
      </w:r>
      <w:r w:rsidR="00D4256A" w:rsidRPr="000A38E5">
        <w:rPr>
          <w:lang w:val="uk-UA"/>
        </w:rPr>
        <w:t>№№</w:t>
      </w:r>
      <w:r w:rsidR="00D4256A" w:rsidRPr="000A38E5">
        <w:rPr>
          <w:lang w:val="ru-RU"/>
        </w:rPr>
        <w:t xml:space="preserve"> 2430/06 </w:t>
      </w:r>
      <w:r w:rsidR="00D4256A" w:rsidRPr="000A38E5">
        <w:rPr>
          <w:lang w:val="uk-UA"/>
        </w:rPr>
        <w:t>та інші</w:t>
      </w:r>
      <w:r w:rsidR="00D4256A" w:rsidRPr="000A38E5">
        <w:rPr>
          <w:lang w:val="ru-RU"/>
        </w:rPr>
        <w:t xml:space="preserve">, § 36, 31 </w:t>
      </w:r>
      <w:r w:rsidR="00D4256A" w:rsidRPr="000A38E5">
        <w:rPr>
          <w:lang w:val="uk-UA"/>
        </w:rPr>
        <w:t>травня</w:t>
      </w:r>
      <w:r w:rsidR="00D4256A" w:rsidRPr="000A38E5">
        <w:rPr>
          <w:lang w:val="ru-RU"/>
        </w:rPr>
        <w:t xml:space="preserve"> 2016, </w:t>
      </w:r>
      <w:r w:rsidR="00D4256A" w:rsidRPr="000A38E5">
        <w:rPr>
          <w:lang w:val="uk-UA"/>
        </w:rPr>
        <w:t>та</w:t>
      </w:r>
      <w:r w:rsidR="00D4256A" w:rsidRPr="000A38E5">
        <w:rPr>
          <w:lang w:val="ru-RU"/>
        </w:rPr>
        <w:t xml:space="preserve"> </w:t>
      </w:r>
      <w:proofErr w:type="spellStart"/>
      <w:r w:rsidR="00D4256A" w:rsidRPr="000A38E5">
        <w:rPr>
          <w:i/>
          <w:iCs/>
        </w:rPr>
        <w:t>Lazarenko</w:t>
      </w:r>
      <w:proofErr w:type="spellEnd"/>
      <w:r w:rsidR="00D4256A" w:rsidRPr="000A38E5">
        <w:rPr>
          <w:i/>
          <w:iCs/>
          <w:lang w:val="ru-RU"/>
        </w:rPr>
        <w:t xml:space="preserve"> </w:t>
      </w:r>
      <w:r w:rsidR="00D4256A" w:rsidRPr="000A38E5">
        <w:rPr>
          <w:i/>
          <w:iCs/>
        </w:rPr>
        <w:t>and</w:t>
      </w:r>
      <w:r w:rsidR="00D4256A" w:rsidRPr="000A38E5">
        <w:rPr>
          <w:i/>
          <w:iCs/>
          <w:lang w:val="ru-RU"/>
        </w:rPr>
        <w:t xml:space="preserve"> </w:t>
      </w:r>
      <w:r w:rsidR="00D4256A" w:rsidRPr="000A38E5">
        <w:rPr>
          <w:i/>
          <w:iCs/>
        </w:rPr>
        <w:t>Others</w:t>
      </w:r>
      <w:r w:rsidR="00D4256A" w:rsidRPr="000A38E5">
        <w:rPr>
          <w:i/>
          <w:iCs/>
          <w:lang w:val="ru-RU"/>
        </w:rPr>
        <w:t xml:space="preserve"> </w:t>
      </w:r>
      <w:r w:rsidR="00D4256A" w:rsidRPr="000A38E5">
        <w:rPr>
          <w:i/>
          <w:iCs/>
        </w:rPr>
        <w:t>v</w:t>
      </w:r>
      <w:r w:rsidR="00D4256A" w:rsidRPr="000A38E5">
        <w:rPr>
          <w:i/>
          <w:iCs/>
          <w:lang w:val="ru-RU"/>
        </w:rPr>
        <w:t>.</w:t>
      </w:r>
      <w:r w:rsidR="00D4256A" w:rsidRPr="000A38E5">
        <w:rPr>
          <w:i/>
          <w:iCs/>
        </w:rPr>
        <w:t> Ukraine</w:t>
      </w:r>
      <w:r w:rsidR="00D4256A" w:rsidRPr="000A38E5">
        <w:rPr>
          <w:lang w:val="ru-RU"/>
        </w:rPr>
        <w:t xml:space="preserve">, </w:t>
      </w:r>
      <w:r w:rsidR="00D4256A" w:rsidRPr="000A38E5">
        <w:rPr>
          <w:lang w:val="uk-UA"/>
        </w:rPr>
        <w:t>№№</w:t>
      </w:r>
      <w:r w:rsidR="00D4256A" w:rsidRPr="000A38E5">
        <w:rPr>
          <w:lang w:val="ru-RU"/>
        </w:rPr>
        <w:t xml:space="preserve"> 70329/12 </w:t>
      </w:r>
      <w:r w:rsidR="00D4256A" w:rsidRPr="000A38E5">
        <w:rPr>
          <w:lang w:val="uk-UA"/>
        </w:rPr>
        <w:t>та 5 інших</w:t>
      </w:r>
      <w:r w:rsidR="00D4256A" w:rsidRPr="000A38E5">
        <w:rPr>
          <w:lang w:val="ru-RU"/>
        </w:rPr>
        <w:t xml:space="preserve">, § 40, 27 </w:t>
      </w:r>
      <w:r w:rsidR="00D4256A" w:rsidRPr="000A38E5">
        <w:rPr>
          <w:lang w:val="uk-UA"/>
        </w:rPr>
        <w:t>червня</w:t>
      </w:r>
      <w:r w:rsidR="00D4256A" w:rsidRPr="000A38E5">
        <w:rPr>
          <w:lang w:val="ru-RU"/>
        </w:rPr>
        <w:t xml:space="preserve"> 2017).</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183</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Однак, навіть якщо вони були повідомлені</w:t>
      </w:r>
      <w:r w:rsidR="00D4256A" w:rsidRPr="000A38E5">
        <w:rPr>
          <w:lang w:val="ru-RU"/>
        </w:rPr>
        <w:t xml:space="preserve">, </w:t>
      </w:r>
      <w:r w:rsidR="00D4256A" w:rsidRPr="000A38E5">
        <w:rPr>
          <w:lang w:val="uk-UA"/>
        </w:rPr>
        <w:t>заявники не могли самостійно забезпечити свою присутність на слуханні,</w:t>
      </w:r>
      <w:r w:rsidR="00D4256A" w:rsidRPr="000A38E5">
        <w:rPr>
          <w:lang w:val="ru-RU"/>
        </w:rPr>
        <w:t xml:space="preserve"> </w:t>
      </w:r>
      <w:r w:rsidR="00D4256A" w:rsidRPr="000A38E5">
        <w:rPr>
          <w:lang w:val="uk-UA"/>
        </w:rPr>
        <w:t>оскільки перебували під вартою</w:t>
      </w:r>
      <w:r w:rsidR="00D4256A" w:rsidRPr="000A38E5">
        <w:rPr>
          <w:lang w:val="ru-RU"/>
        </w:rPr>
        <w:t xml:space="preserve">. </w:t>
      </w:r>
      <w:r w:rsidR="00D4256A" w:rsidRPr="000A38E5">
        <w:rPr>
          <w:lang w:val="uk-UA"/>
        </w:rPr>
        <w:t>Відповідно, мала існувати процедура, чітко встановлена в законодавстві та на практиці</w:t>
      </w:r>
      <w:r w:rsidR="00D4256A" w:rsidRPr="000A38E5">
        <w:rPr>
          <w:lang w:val="ru-RU"/>
        </w:rPr>
        <w:t xml:space="preserve">, </w:t>
      </w:r>
      <w:r w:rsidR="00D4256A" w:rsidRPr="000A38E5">
        <w:rPr>
          <w:lang w:val="uk-UA"/>
        </w:rPr>
        <w:t>для того, щоб вони могли вимагати, аби органи влади доставили їх на слухання</w:t>
      </w:r>
      <w:r w:rsidR="00D4256A" w:rsidRPr="000A38E5">
        <w:rPr>
          <w:lang w:val="ru-RU"/>
        </w:rPr>
        <w:t xml:space="preserve">. </w:t>
      </w:r>
      <w:r w:rsidR="00D4256A" w:rsidRPr="000A38E5">
        <w:rPr>
          <w:lang w:val="uk-UA"/>
        </w:rPr>
        <w:t>Крім того, органи влади повинні були пояснити цю процедуру заявникам або заявники могли легко отримати таке пояснення за власною ініціативою</w:t>
      </w:r>
      <w:r w:rsidR="00D4256A" w:rsidRPr="000A38E5">
        <w:rPr>
          <w:lang w:val="ru-RU"/>
        </w:rPr>
        <w:t xml:space="preserve">. </w:t>
      </w:r>
      <w:r w:rsidR="00D4256A" w:rsidRPr="000A38E5">
        <w:rPr>
          <w:lang w:val="uk-UA"/>
        </w:rPr>
        <w:t>Якщо не продемонстровано, що ці гарантії існували</w:t>
      </w:r>
      <w:r w:rsidR="00D4256A" w:rsidRPr="000A38E5">
        <w:rPr>
          <w:lang w:val="ru-RU"/>
        </w:rPr>
        <w:t xml:space="preserve">, </w:t>
      </w:r>
      <w:r w:rsidR="00D4256A" w:rsidRPr="000A38E5">
        <w:rPr>
          <w:lang w:val="uk-UA"/>
        </w:rPr>
        <w:t>Суд не може визнати належною відмову від права на присутність на слуханні</w:t>
      </w:r>
      <w:r w:rsidR="00D4256A" w:rsidRPr="000A38E5">
        <w:rPr>
          <w:lang w:val="ru-RU"/>
        </w:rPr>
        <w:t>.</w:t>
      </w:r>
    </w:p>
    <w:p w:rsidR="00D4256A" w:rsidRPr="000A38E5" w:rsidRDefault="004E7608" w:rsidP="00D4256A">
      <w:pPr>
        <w:pStyle w:val="ECHRPara"/>
        <w:rPr>
          <w:lang w:val="uk-UA"/>
        </w:rPr>
      </w:pPr>
      <w:r w:rsidRPr="000A38E5">
        <w:lastRenderedPageBreak/>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184</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Уряд не продемонстрував, що якась процедура такого плану того часу існувала</w:t>
      </w:r>
      <w:r w:rsidR="00D4256A" w:rsidRPr="000A38E5">
        <w:rPr>
          <w:lang w:val="ru-RU"/>
        </w:rPr>
        <w:t xml:space="preserve">. </w:t>
      </w:r>
      <w:r w:rsidR="00D4256A" w:rsidRPr="000A38E5">
        <w:rPr>
          <w:lang w:val="uk-UA"/>
        </w:rPr>
        <w:t xml:space="preserve">Насправді, національне право не передбачало такої процедури у справах про адміністративні правопорушення (порівняйте з </w:t>
      </w:r>
      <w:proofErr w:type="spellStart"/>
      <w:r w:rsidR="00D4256A" w:rsidRPr="000A38E5">
        <w:rPr>
          <w:i/>
        </w:rPr>
        <w:t>Sayd</w:t>
      </w:r>
      <w:proofErr w:type="spellEnd"/>
      <w:r w:rsidR="00D4256A" w:rsidRPr="000A38E5">
        <w:rPr>
          <w:i/>
          <w:lang w:val="uk-UA"/>
        </w:rPr>
        <w:t>-</w:t>
      </w:r>
      <w:proofErr w:type="spellStart"/>
      <w:r w:rsidR="00D4256A" w:rsidRPr="000A38E5">
        <w:rPr>
          <w:i/>
        </w:rPr>
        <w:t>Akhmed</w:t>
      </w:r>
      <w:proofErr w:type="spellEnd"/>
      <w:r w:rsidR="00D4256A" w:rsidRPr="000A38E5">
        <w:rPr>
          <w:i/>
          <w:lang w:val="uk-UA"/>
        </w:rPr>
        <w:t xml:space="preserve"> </w:t>
      </w:r>
      <w:proofErr w:type="spellStart"/>
      <w:r w:rsidR="00D4256A" w:rsidRPr="000A38E5">
        <w:rPr>
          <w:i/>
        </w:rPr>
        <w:t>Zubayrayev</w:t>
      </w:r>
      <w:proofErr w:type="spellEnd"/>
      <w:r w:rsidR="00D4256A" w:rsidRPr="000A38E5">
        <w:rPr>
          <w:i/>
          <w:lang w:val="uk-UA"/>
        </w:rPr>
        <w:t xml:space="preserve"> </w:t>
      </w:r>
      <w:r w:rsidR="00D4256A" w:rsidRPr="000A38E5">
        <w:rPr>
          <w:i/>
        </w:rPr>
        <w:t>v</w:t>
      </w:r>
      <w:r w:rsidR="00D4256A" w:rsidRPr="000A38E5">
        <w:rPr>
          <w:i/>
          <w:lang w:val="uk-UA"/>
        </w:rPr>
        <w:t xml:space="preserve">. </w:t>
      </w:r>
      <w:r w:rsidR="00D4256A" w:rsidRPr="000A38E5">
        <w:rPr>
          <w:i/>
        </w:rPr>
        <w:t>Russia</w:t>
      </w:r>
      <w:r w:rsidR="00D4256A" w:rsidRPr="000A38E5">
        <w:rPr>
          <w:lang w:val="uk-UA"/>
        </w:rPr>
        <w:t>, № 34653/04, §</w:t>
      </w:r>
      <w:r w:rsidR="00D4256A" w:rsidRPr="000A38E5">
        <w:t> </w:t>
      </w:r>
      <w:r w:rsidR="00D4256A" w:rsidRPr="000A38E5">
        <w:rPr>
          <w:lang w:val="uk-UA"/>
        </w:rPr>
        <w:t xml:space="preserve">31, 26 червня 2012, та порівняйте, для кримінальних справ, </w:t>
      </w:r>
      <w:proofErr w:type="spellStart"/>
      <w:r w:rsidR="00D4256A" w:rsidRPr="000A38E5">
        <w:rPr>
          <w:i/>
        </w:rPr>
        <w:t>Sobko</w:t>
      </w:r>
      <w:proofErr w:type="spellEnd"/>
      <w:r w:rsidR="00D4256A" w:rsidRPr="000A38E5">
        <w:rPr>
          <w:i/>
          <w:lang w:val="uk-UA"/>
        </w:rPr>
        <w:t xml:space="preserve"> </w:t>
      </w:r>
      <w:r w:rsidR="00D4256A" w:rsidRPr="000A38E5">
        <w:rPr>
          <w:i/>
        </w:rPr>
        <w:t>v</w:t>
      </w:r>
      <w:r w:rsidR="00D4256A" w:rsidRPr="000A38E5">
        <w:rPr>
          <w:i/>
          <w:lang w:val="uk-UA"/>
        </w:rPr>
        <w:t xml:space="preserve">. </w:t>
      </w:r>
      <w:r w:rsidR="00D4256A" w:rsidRPr="000A38E5">
        <w:rPr>
          <w:i/>
        </w:rPr>
        <w:t>Ukraine</w:t>
      </w:r>
      <w:r w:rsidR="00D4256A" w:rsidRPr="000A38E5">
        <w:rPr>
          <w:lang w:val="uk-UA"/>
        </w:rPr>
        <w:t>, № 15102/10</w:t>
      </w:r>
      <w:r w:rsidR="00D4256A" w:rsidRPr="000A38E5">
        <w:rPr>
          <w:snapToGrid w:val="0"/>
          <w:lang w:val="uk-UA"/>
        </w:rPr>
        <w:t>, § 80, 17 грудня 2015</w:t>
      </w:r>
      <w:r w:rsidR="00D4256A" w:rsidRPr="000A38E5">
        <w:rPr>
          <w:lang w:val="uk-UA"/>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185</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За таких обставин не можна однозначно встановити, що заявники відмовилися від свого права брати участь у розгляді</w:t>
      </w:r>
      <w:r w:rsidR="00D4256A" w:rsidRPr="000A38E5">
        <w:rPr>
          <w:lang w:val="ru-RU"/>
        </w:rPr>
        <w:t xml:space="preserve">. </w:t>
      </w:r>
      <w:r w:rsidR="00D4256A" w:rsidRPr="000A38E5">
        <w:rPr>
          <w:lang w:val="uk-UA"/>
        </w:rPr>
        <w:t>У будь-якому випадку, не можна стверджувати, що існували</w:t>
      </w:r>
      <w:r w:rsidR="00D4256A" w:rsidRPr="000A38E5">
        <w:rPr>
          <w:lang w:val="ru-RU"/>
        </w:rPr>
        <w:t xml:space="preserve"> </w:t>
      </w:r>
      <w:r w:rsidR="00D4256A" w:rsidRPr="000A38E5">
        <w:rPr>
          <w:lang w:val="uk-UA"/>
        </w:rPr>
        <w:t>необхідні гарантії для забезпечення дійсності відмови</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186</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Відповідно, мало місце порушення статті</w:t>
      </w:r>
      <w:r w:rsidR="00D4256A" w:rsidRPr="000A38E5">
        <w:rPr>
          <w:lang w:val="ru-RU"/>
        </w:rPr>
        <w:t xml:space="preserve"> 6 § 1 </w:t>
      </w:r>
      <w:r w:rsidR="00D4256A" w:rsidRPr="000A38E5">
        <w:rPr>
          <w:lang w:val="uk-UA"/>
        </w:rPr>
        <w:t>Конвенції по відношенню до першого та другого заявників</w:t>
      </w:r>
      <w:r w:rsidR="00D4256A" w:rsidRPr="000A38E5">
        <w:rPr>
          <w:lang w:val="ru-RU"/>
        </w:rPr>
        <w:t>.</w:t>
      </w:r>
    </w:p>
    <w:p w:rsidR="00D4256A" w:rsidRPr="000A38E5" w:rsidRDefault="00D4256A" w:rsidP="00D4256A">
      <w:pPr>
        <w:pStyle w:val="ECHRHeading1"/>
        <w:tabs>
          <w:tab w:val="left" w:pos="5812"/>
        </w:tabs>
        <w:rPr>
          <w:lang w:val="uk-UA"/>
        </w:rPr>
      </w:pPr>
      <w:r w:rsidRPr="000A38E5">
        <w:t>IV</w:t>
      </w:r>
      <w:r w:rsidRPr="000A38E5">
        <w:rPr>
          <w:lang w:val="ru-RU"/>
        </w:rPr>
        <w:t>.</w:t>
      </w:r>
      <w:r w:rsidRPr="000A38E5">
        <w:t> </w:t>
      </w:r>
      <w:r w:rsidRPr="000A38E5">
        <w:rPr>
          <w:lang w:val="ru-RU"/>
        </w:rPr>
        <w:t>СТВЕРДЖУВАНЕ</w:t>
      </w:r>
      <w:r w:rsidRPr="000A38E5">
        <w:rPr>
          <w:lang w:val="uk-UA"/>
        </w:rPr>
        <w:t xml:space="preserve"> ПОРУШЕННЯ СТАТТІ 11 КОНВЕНЦІЇ</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187</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Заявники скаржилися на ряд порушень статті</w:t>
      </w:r>
      <w:r w:rsidR="00D4256A" w:rsidRPr="000A38E5">
        <w:t> </w:t>
      </w:r>
      <w:r w:rsidR="00D4256A" w:rsidRPr="000A38E5">
        <w:rPr>
          <w:lang w:val="ru-RU"/>
        </w:rPr>
        <w:t xml:space="preserve">11 </w:t>
      </w:r>
      <w:r w:rsidR="00D4256A" w:rsidRPr="000A38E5">
        <w:rPr>
          <w:lang w:val="uk-UA"/>
        </w:rPr>
        <w:t>Конвенції, яка передбачає</w:t>
      </w:r>
      <w:r w:rsidR="00D4256A" w:rsidRPr="000A38E5">
        <w:rPr>
          <w:lang w:val="ru-RU"/>
        </w:rPr>
        <w:t>:</w:t>
      </w:r>
    </w:p>
    <w:p w:rsidR="00D4256A" w:rsidRPr="000A38E5" w:rsidRDefault="00D4256A" w:rsidP="00D4256A">
      <w:pPr>
        <w:pStyle w:val="ECHRParaQuote"/>
        <w:rPr>
          <w:lang w:val="uk-UA"/>
        </w:rPr>
      </w:pPr>
      <w:r w:rsidRPr="000A38E5">
        <w:rPr>
          <w:sz w:val="24"/>
          <w:lang w:val="ru-RU"/>
        </w:rPr>
        <w:t>“</w:t>
      </w:r>
      <w:r w:rsidRPr="000A38E5">
        <w:rPr>
          <w:lang w:val="ru-RU"/>
        </w:rPr>
        <w:t>1.</w:t>
      </w:r>
      <w:r w:rsidRPr="00E93710">
        <w:rPr>
          <w:lang w:val="ru-RU"/>
        </w:rPr>
        <w:t xml:space="preserve"> </w:t>
      </w:r>
      <w:r w:rsidRPr="000A38E5">
        <w:rPr>
          <w:lang w:val="uk-UA"/>
        </w:rPr>
        <w:t>Кожен має право на свободу мирних зібрань і свободу об'єднання з іншими особами, включаючи право створювати профспілки та вступати до них для захисту своїх інтересів.</w:t>
      </w:r>
    </w:p>
    <w:p w:rsidR="00D4256A" w:rsidRPr="000A38E5" w:rsidRDefault="00D4256A" w:rsidP="00D4256A">
      <w:pPr>
        <w:pStyle w:val="ECHRParaQuote"/>
        <w:rPr>
          <w:lang w:val="ru-RU"/>
        </w:rPr>
      </w:pPr>
      <w:r w:rsidRPr="000A38E5">
        <w:rPr>
          <w:lang w:val="uk-UA"/>
        </w:rPr>
        <w:t>2. Здійснення цих прав не підлягає жодним обмеженням, за винятком тих, що встановлені законом і є необхідними в демократичному суспільстві в інтересах національної або громадської безпеки, для запобігання заворушенням чи злочинам, для охорони здоров'я чи моралі або для захисту прав і свобод інших осіб. Ця стаття не перешкоджає запровадженню законних обмежень на здійснення цих прав особами, що входять до складу збройних сил, поліції чи адміністративних органів держави</w:t>
      </w:r>
      <w:r w:rsidRPr="000A38E5">
        <w:rPr>
          <w:lang w:val="ru-RU"/>
        </w:rPr>
        <w:t>.”</w:t>
      </w:r>
    </w:p>
    <w:p w:rsidR="00D4256A" w:rsidRPr="000A38E5" w:rsidRDefault="00D4256A" w:rsidP="00D4256A">
      <w:pPr>
        <w:pStyle w:val="ECHRHeading2"/>
        <w:rPr>
          <w:lang w:val="uk-UA"/>
        </w:rPr>
      </w:pPr>
      <w:r w:rsidRPr="000A38E5">
        <w:t>A</w:t>
      </w:r>
      <w:r w:rsidRPr="000A38E5">
        <w:rPr>
          <w:lang w:val="ru-RU"/>
        </w:rPr>
        <w:t>.</w:t>
      </w:r>
      <w:r w:rsidRPr="00E93710">
        <w:rPr>
          <w:lang w:val="ru-RU"/>
        </w:rPr>
        <w:t xml:space="preserve"> </w:t>
      </w:r>
      <w:r w:rsidRPr="000A38E5">
        <w:rPr>
          <w:lang w:val="uk-UA"/>
        </w:rPr>
        <w:t>Доводи сторін</w:t>
      </w:r>
    </w:p>
    <w:p w:rsidR="00D4256A" w:rsidRPr="000A38E5" w:rsidRDefault="00D4256A" w:rsidP="00D4256A">
      <w:pPr>
        <w:pStyle w:val="ECHRHeading3"/>
        <w:rPr>
          <w:lang w:val="uk-UA"/>
        </w:rPr>
      </w:pPr>
      <w:r w:rsidRPr="000A38E5">
        <w:rPr>
          <w:lang w:val="ru-RU"/>
        </w:rPr>
        <w:t>1.</w:t>
      </w:r>
      <w:r w:rsidRPr="00E93710">
        <w:rPr>
          <w:lang w:val="ru-RU"/>
        </w:rPr>
        <w:t xml:space="preserve"> </w:t>
      </w:r>
      <w:r w:rsidRPr="000A38E5">
        <w:rPr>
          <w:lang w:val="uk-UA"/>
        </w:rPr>
        <w:t>Заявники</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188</w:t>
      </w:r>
      <w:r w:rsidRPr="000A38E5">
        <w:fldChar w:fldCharType="end"/>
      </w:r>
      <w:r w:rsidR="00D4256A" w:rsidRPr="000A38E5">
        <w:rPr>
          <w:lang w:val="ru-RU"/>
        </w:rPr>
        <w:t>.</w:t>
      </w:r>
      <w:r w:rsidR="00D4256A" w:rsidRPr="00E93710">
        <w:rPr>
          <w:lang w:val="ru-RU"/>
        </w:rPr>
        <w:t xml:space="preserve"> </w:t>
      </w:r>
      <w:r w:rsidR="00D4256A" w:rsidRPr="000A38E5">
        <w:rPr>
          <w:lang w:val="uk-UA"/>
        </w:rPr>
        <w:t>Заявники стверджували, що відбулося невиправдане втручання</w:t>
      </w:r>
      <w:r w:rsidR="00D4256A" w:rsidRPr="000A38E5">
        <w:rPr>
          <w:lang w:val="ru-RU"/>
        </w:rPr>
        <w:t xml:space="preserve"> </w:t>
      </w:r>
      <w:r w:rsidR="00D4256A" w:rsidRPr="000A38E5">
        <w:rPr>
          <w:lang w:val="uk-UA"/>
        </w:rPr>
        <w:t>в їх свободу мирного зібрання</w:t>
      </w:r>
      <w:r w:rsidR="00D4256A" w:rsidRPr="000A38E5">
        <w:rPr>
          <w:lang w:val="ru-RU"/>
        </w:rPr>
        <w:t xml:space="preserve"> </w:t>
      </w:r>
      <w:r w:rsidR="00D4256A" w:rsidRPr="000A38E5">
        <w:rPr>
          <w:lang w:val="uk-UA"/>
        </w:rPr>
        <w:t>у розумінні статті 11 за рахунок наступного</w:t>
      </w:r>
      <w:r w:rsidR="00D4256A" w:rsidRPr="000A38E5">
        <w:rPr>
          <w:lang w:val="ru-RU"/>
        </w:rPr>
        <w:t>:</w:t>
      </w:r>
    </w:p>
    <w:p w:rsidR="00D4256A" w:rsidRPr="000A38E5" w:rsidRDefault="00D4256A" w:rsidP="00D4256A">
      <w:pPr>
        <w:pStyle w:val="ECHRPara"/>
        <w:rPr>
          <w:lang w:val="ru-RU"/>
        </w:rPr>
      </w:pPr>
      <w:r w:rsidRPr="000A38E5">
        <w:rPr>
          <w:rStyle w:val="ECHRParaChar1"/>
          <w:lang w:val="ru-RU"/>
        </w:rPr>
        <w:t>(</w:t>
      </w:r>
      <w:proofErr w:type="spellStart"/>
      <w:r w:rsidRPr="000A38E5">
        <w:rPr>
          <w:rStyle w:val="ECHRParaChar1"/>
        </w:rPr>
        <w:t>i</w:t>
      </w:r>
      <w:proofErr w:type="spellEnd"/>
      <w:r w:rsidRPr="000A38E5">
        <w:rPr>
          <w:rStyle w:val="ECHRParaChar1"/>
          <w:lang w:val="ru-RU"/>
        </w:rPr>
        <w:t>)</w:t>
      </w:r>
      <w:r w:rsidRPr="00E93710">
        <w:rPr>
          <w:rStyle w:val="ECHRParaChar1"/>
          <w:lang w:val="ru-RU"/>
        </w:rPr>
        <w:t xml:space="preserve"> </w:t>
      </w:r>
      <w:r w:rsidRPr="000A38E5">
        <w:rPr>
          <w:rStyle w:val="ECHRParaChar1"/>
          <w:lang w:val="uk-UA"/>
        </w:rPr>
        <w:t>арешту та покаранням заявників від першого до шостого</w:t>
      </w:r>
      <w:r w:rsidRPr="000A38E5">
        <w:rPr>
          <w:lang w:val="ru-RU"/>
        </w:rPr>
        <w:t>;</w:t>
      </w:r>
    </w:p>
    <w:p w:rsidR="00D4256A" w:rsidRPr="000A38E5" w:rsidRDefault="00D4256A" w:rsidP="00D4256A">
      <w:pPr>
        <w:pStyle w:val="ECHRPara"/>
        <w:rPr>
          <w:lang w:val="ru-RU"/>
        </w:rPr>
      </w:pPr>
      <w:r w:rsidRPr="000A38E5">
        <w:rPr>
          <w:lang w:val="ru-RU"/>
        </w:rPr>
        <w:t>(</w:t>
      </w:r>
      <w:r w:rsidRPr="000A38E5">
        <w:t>ii</w:t>
      </w:r>
      <w:r w:rsidRPr="000A38E5">
        <w:rPr>
          <w:lang w:val="ru-RU"/>
        </w:rPr>
        <w:t>)</w:t>
      </w:r>
      <w:r w:rsidRPr="00E93710">
        <w:rPr>
          <w:lang w:val="ru-RU"/>
        </w:rPr>
        <w:t xml:space="preserve"> </w:t>
      </w:r>
      <w:r w:rsidRPr="000A38E5">
        <w:rPr>
          <w:lang w:val="uk-UA"/>
        </w:rPr>
        <w:t>того, що третьому заявникові погрожували бензопилою, що призвело до скарг відповідно до статті 3</w:t>
      </w:r>
      <w:r w:rsidRPr="000A38E5">
        <w:rPr>
          <w:lang w:val="ru-RU"/>
        </w:rPr>
        <w:t>;</w:t>
      </w:r>
    </w:p>
    <w:p w:rsidR="00D4256A" w:rsidRPr="000A38E5" w:rsidRDefault="00D4256A" w:rsidP="00D4256A">
      <w:pPr>
        <w:pStyle w:val="ECHRPara"/>
        <w:rPr>
          <w:lang w:val="ru-RU"/>
        </w:rPr>
      </w:pPr>
      <w:r w:rsidRPr="000A38E5">
        <w:rPr>
          <w:lang w:val="ru-RU"/>
        </w:rPr>
        <w:t>(</w:t>
      </w:r>
      <w:r w:rsidRPr="000A38E5">
        <w:t>iii</w:t>
      </w:r>
      <w:r w:rsidRPr="000A38E5">
        <w:rPr>
          <w:lang w:val="ru-RU"/>
        </w:rPr>
        <w:t>)</w:t>
      </w:r>
      <w:r w:rsidRPr="00E93710">
        <w:rPr>
          <w:lang w:val="ru-RU"/>
        </w:rPr>
        <w:t xml:space="preserve"> </w:t>
      </w:r>
      <w:r w:rsidRPr="000A38E5">
        <w:rPr>
          <w:lang w:val="uk-UA"/>
        </w:rPr>
        <w:t>фізичного насилля по відношенню до заявників з боку міліції при спробі розгону</w:t>
      </w:r>
      <w:r w:rsidRPr="000A38E5">
        <w:rPr>
          <w:lang w:val="ru-RU"/>
        </w:rPr>
        <w:t xml:space="preserve"> </w:t>
      </w:r>
      <w:r w:rsidRPr="000A38E5">
        <w:rPr>
          <w:lang w:val="uk-UA"/>
        </w:rPr>
        <w:t>25 травня</w:t>
      </w:r>
      <w:r w:rsidRPr="000A38E5">
        <w:rPr>
          <w:lang w:val="ru-RU"/>
        </w:rPr>
        <w:t xml:space="preserve"> 2010 </w:t>
      </w:r>
      <w:r w:rsidRPr="000A38E5">
        <w:rPr>
          <w:lang w:val="uk-UA"/>
        </w:rPr>
        <w:t>року, та з</w:t>
      </w:r>
      <w:r w:rsidRPr="000A38E5">
        <w:rPr>
          <w:lang w:val="ru-RU"/>
        </w:rPr>
        <w:t xml:space="preserve"> 20 </w:t>
      </w:r>
      <w:r w:rsidRPr="000A38E5">
        <w:rPr>
          <w:lang w:val="uk-UA"/>
        </w:rPr>
        <w:t>травня до 6 червня</w:t>
      </w:r>
      <w:r w:rsidRPr="000A38E5">
        <w:rPr>
          <w:lang w:val="ru-RU"/>
        </w:rPr>
        <w:t xml:space="preserve"> 2010 року </w:t>
      </w:r>
      <w:r w:rsidRPr="000A38E5">
        <w:rPr>
          <w:lang w:val="uk-UA"/>
        </w:rPr>
        <w:t xml:space="preserve">з боку лісорубів та працівників </w:t>
      </w:r>
      <w:proofErr w:type="spellStart"/>
      <w:r w:rsidRPr="000A38E5">
        <w:rPr>
          <w:lang w:val="uk-UA"/>
        </w:rPr>
        <w:t>МО</w:t>
      </w:r>
      <w:proofErr w:type="spellEnd"/>
      <w:r w:rsidRPr="000A38E5">
        <w:rPr>
          <w:lang w:val="ru-RU"/>
        </w:rPr>
        <w:t>;</w:t>
      </w:r>
    </w:p>
    <w:p w:rsidR="00D4256A" w:rsidRPr="000A38E5" w:rsidRDefault="00D4256A" w:rsidP="00D4256A">
      <w:pPr>
        <w:pStyle w:val="ECHRPara"/>
        <w:rPr>
          <w:lang w:val="ru-RU"/>
        </w:rPr>
      </w:pPr>
      <w:r w:rsidRPr="000A38E5">
        <w:rPr>
          <w:lang w:val="ru-RU"/>
        </w:rPr>
        <w:t>(</w:t>
      </w:r>
      <w:r w:rsidRPr="000A38E5">
        <w:t>iv</w:t>
      </w:r>
      <w:r w:rsidRPr="000A38E5">
        <w:rPr>
          <w:lang w:val="ru-RU"/>
        </w:rPr>
        <w:t>)</w:t>
      </w:r>
      <w:r w:rsidRPr="00E93710">
        <w:rPr>
          <w:lang w:val="ru-RU"/>
        </w:rPr>
        <w:t xml:space="preserve"> </w:t>
      </w:r>
      <w:r w:rsidRPr="000A38E5">
        <w:rPr>
          <w:lang w:val="uk-UA"/>
        </w:rPr>
        <w:t>усних погроз від лісорубів та міліціонерів, які вимагали</w:t>
      </w:r>
      <w:r w:rsidRPr="000A38E5">
        <w:rPr>
          <w:lang w:val="ru-RU"/>
        </w:rPr>
        <w:t xml:space="preserve"> </w:t>
      </w:r>
      <w:r w:rsidRPr="000A38E5">
        <w:rPr>
          <w:lang w:val="uk-UA"/>
        </w:rPr>
        <w:t>залишили місце, призначене для повалення дерев</w:t>
      </w:r>
      <w:r w:rsidRPr="000A38E5">
        <w:rPr>
          <w:lang w:val="ru-RU"/>
        </w:rPr>
        <w:t>;</w:t>
      </w:r>
    </w:p>
    <w:p w:rsidR="00D4256A" w:rsidRPr="000A38E5" w:rsidRDefault="00D4256A" w:rsidP="00D4256A">
      <w:pPr>
        <w:pStyle w:val="ECHRPara"/>
        <w:rPr>
          <w:lang w:val="ru-RU"/>
        </w:rPr>
      </w:pPr>
      <w:r w:rsidRPr="000A38E5">
        <w:rPr>
          <w:lang w:val="ru-RU"/>
        </w:rPr>
        <w:t>(</w:t>
      </w:r>
      <w:r w:rsidRPr="000A38E5">
        <w:t>v</w:t>
      </w:r>
      <w:r w:rsidRPr="000A38E5">
        <w:rPr>
          <w:lang w:val="ru-RU"/>
        </w:rPr>
        <w:t>)</w:t>
      </w:r>
      <w:r w:rsidRPr="00E93710">
        <w:rPr>
          <w:lang w:val="ru-RU"/>
        </w:rPr>
        <w:t xml:space="preserve"> </w:t>
      </w:r>
      <w:r w:rsidRPr="000A38E5">
        <w:rPr>
          <w:lang w:val="uk-UA"/>
        </w:rPr>
        <w:t>інциденту, в ході якого під час спроби прорватися крізь оточення протестуючих</w:t>
      </w:r>
      <w:r w:rsidRPr="000A38E5">
        <w:rPr>
          <w:lang w:val="ru-RU"/>
        </w:rPr>
        <w:t xml:space="preserve">, </w:t>
      </w:r>
      <w:r w:rsidRPr="000A38E5">
        <w:rPr>
          <w:lang w:val="uk-UA"/>
        </w:rPr>
        <w:t>водій екскаватора поранив декількох з них ковшем</w:t>
      </w:r>
      <w:r w:rsidRPr="000A38E5">
        <w:rPr>
          <w:lang w:val="ru-RU"/>
        </w:rPr>
        <w:t>;</w:t>
      </w:r>
    </w:p>
    <w:p w:rsidR="00D4256A" w:rsidRPr="000A38E5" w:rsidRDefault="00D4256A" w:rsidP="00D4256A">
      <w:pPr>
        <w:pStyle w:val="ECHRPara"/>
        <w:rPr>
          <w:lang w:val="uk-UA"/>
        </w:rPr>
      </w:pPr>
      <w:r w:rsidRPr="000A38E5">
        <w:rPr>
          <w:lang w:val="ru-RU"/>
        </w:rPr>
        <w:t>(</w:t>
      </w:r>
      <w:r w:rsidRPr="000A38E5">
        <w:t>vi</w:t>
      </w:r>
      <w:r w:rsidRPr="000A38E5">
        <w:rPr>
          <w:lang w:val="ru-RU"/>
        </w:rPr>
        <w:t>)</w:t>
      </w:r>
      <w:r w:rsidRPr="00E93710">
        <w:rPr>
          <w:lang w:val="ru-RU"/>
        </w:rPr>
        <w:t xml:space="preserve"> </w:t>
      </w:r>
      <w:r w:rsidRPr="000A38E5">
        <w:rPr>
          <w:lang w:val="uk-UA"/>
        </w:rPr>
        <w:t>ушкоджень, отриманих коли повалене дерево впало</w:t>
      </w:r>
      <w:r w:rsidRPr="000A38E5">
        <w:rPr>
          <w:lang w:val="ru-RU"/>
        </w:rPr>
        <w:t xml:space="preserve"> </w:t>
      </w:r>
      <w:r w:rsidRPr="000A38E5">
        <w:rPr>
          <w:lang w:val="uk-UA"/>
        </w:rPr>
        <w:t>на сусіднє дерево, на яке заліз протестуючий (не заявник)</w:t>
      </w:r>
      <w:r w:rsidRPr="000A38E5">
        <w:rPr>
          <w:lang w:val="ru-RU"/>
        </w:rPr>
        <w:t xml:space="preserve">, </w:t>
      </w:r>
      <w:r w:rsidRPr="000A38E5">
        <w:rPr>
          <w:lang w:val="uk-UA"/>
        </w:rPr>
        <w:t>що призвело до травми руки</w:t>
      </w:r>
      <w:r w:rsidRPr="000A38E5">
        <w:rPr>
          <w:lang w:val="ru-RU"/>
        </w:rPr>
        <w:t xml:space="preserve">, </w:t>
      </w:r>
      <w:r w:rsidRPr="000A38E5">
        <w:rPr>
          <w:lang w:val="uk-UA"/>
        </w:rPr>
        <w:t>і коли інший протестуючий (не заявник)</w:t>
      </w:r>
      <w:r w:rsidRPr="000A38E5">
        <w:rPr>
          <w:lang w:val="ru-RU"/>
        </w:rPr>
        <w:t xml:space="preserve"> </w:t>
      </w:r>
      <w:r w:rsidRPr="000A38E5">
        <w:rPr>
          <w:lang w:val="uk-UA"/>
        </w:rPr>
        <w:t xml:space="preserve">був стягнутий з дерева особами з відзнаками </w:t>
      </w:r>
      <w:proofErr w:type="spellStart"/>
      <w:r w:rsidRPr="000A38E5">
        <w:rPr>
          <w:lang w:val="uk-UA"/>
        </w:rPr>
        <w:t>МО</w:t>
      </w:r>
      <w:proofErr w:type="spellEnd"/>
      <w:r w:rsidRPr="000A38E5">
        <w:rPr>
          <w:lang w:val="uk-UA"/>
        </w:rPr>
        <w:t>,</w:t>
      </w:r>
      <w:r w:rsidRPr="000A38E5">
        <w:rPr>
          <w:lang w:val="ru-RU"/>
        </w:rPr>
        <w:t xml:space="preserve"> </w:t>
      </w:r>
      <w:r w:rsidRPr="000A38E5">
        <w:rPr>
          <w:lang w:val="uk-UA"/>
        </w:rPr>
        <w:t>які тягли за його альпіністське обладнання</w:t>
      </w:r>
      <w:r w:rsidRPr="000A38E5">
        <w:rPr>
          <w:lang w:val="ru-RU"/>
        </w:rPr>
        <w:t xml:space="preserve">; </w:t>
      </w:r>
      <w:r w:rsidRPr="000A38E5">
        <w:rPr>
          <w:lang w:val="uk-UA"/>
        </w:rPr>
        <w:t>а також</w:t>
      </w:r>
    </w:p>
    <w:p w:rsidR="00D4256A" w:rsidRPr="000A38E5" w:rsidRDefault="00D4256A" w:rsidP="00D4256A">
      <w:pPr>
        <w:pStyle w:val="ECHRPara"/>
        <w:rPr>
          <w:lang w:val="ru-RU"/>
        </w:rPr>
      </w:pPr>
      <w:r w:rsidRPr="000A38E5">
        <w:rPr>
          <w:lang w:val="ru-RU"/>
        </w:rPr>
        <w:t>(</w:t>
      </w:r>
      <w:r w:rsidRPr="000A38E5">
        <w:t>vii</w:t>
      </w:r>
      <w:r w:rsidRPr="000A38E5">
        <w:rPr>
          <w:lang w:val="ru-RU"/>
        </w:rPr>
        <w:t>)</w:t>
      </w:r>
      <w:r w:rsidRPr="00E93710">
        <w:rPr>
          <w:lang w:val="ru-RU"/>
        </w:rPr>
        <w:t xml:space="preserve"> </w:t>
      </w:r>
      <w:r w:rsidRPr="000A38E5">
        <w:rPr>
          <w:lang w:val="uk-UA"/>
        </w:rPr>
        <w:t>у зв’язку з фізичним насиллям проти сьомого та дев’ятого заявників, яке призвело до їх скарги за статтею 3</w:t>
      </w:r>
      <w:r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189</w:t>
      </w:r>
      <w:r w:rsidRPr="000A38E5">
        <w:fldChar w:fldCharType="end"/>
      </w:r>
      <w:r w:rsidR="00D4256A" w:rsidRPr="000A38E5">
        <w:rPr>
          <w:lang w:val="ru-RU"/>
        </w:rPr>
        <w:t>.</w:t>
      </w:r>
      <w:r w:rsidR="00D4256A" w:rsidRPr="00E93710">
        <w:rPr>
          <w:lang w:val="ru-RU"/>
        </w:rPr>
        <w:t xml:space="preserve"> </w:t>
      </w:r>
      <w:r w:rsidR="00D4256A" w:rsidRPr="000A38E5">
        <w:rPr>
          <w:lang w:val="uk-UA"/>
        </w:rPr>
        <w:t>Заявники стверджували, що будь-які дії, спрямовані на розгін протестуючих</w:t>
      </w:r>
      <w:r w:rsidR="00D4256A" w:rsidRPr="000A38E5">
        <w:rPr>
          <w:lang w:val="ru-RU"/>
        </w:rPr>
        <w:t xml:space="preserve"> </w:t>
      </w:r>
      <w:r w:rsidR="00D4256A" w:rsidRPr="000A38E5">
        <w:rPr>
          <w:lang w:val="uk-UA"/>
        </w:rPr>
        <w:t>та їх видалення, були незаконними відповідно до національного законодавства</w:t>
      </w:r>
      <w:r w:rsidR="00D4256A" w:rsidRPr="000A38E5">
        <w:rPr>
          <w:lang w:val="ru-RU"/>
        </w:rPr>
        <w:t xml:space="preserve">, </w:t>
      </w:r>
      <w:r w:rsidR="00D4256A" w:rsidRPr="000A38E5">
        <w:rPr>
          <w:lang w:val="uk-UA"/>
        </w:rPr>
        <w:t>оскільки не існувало судового наказу з забороною зібрання</w:t>
      </w:r>
      <w:r w:rsidR="00D4256A" w:rsidRPr="000A38E5">
        <w:rPr>
          <w:lang w:val="ru-RU"/>
        </w:rPr>
        <w:t xml:space="preserve">, </w:t>
      </w:r>
      <w:r w:rsidR="00D4256A" w:rsidRPr="000A38E5">
        <w:rPr>
          <w:lang w:val="uk-UA"/>
        </w:rPr>
        <w:t>незважаючи на вимогу статті 39 Конституції</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Constitution_A39 \h  \* MERGEFORMAT ">
        <w:r w:rsidR="00D4256A" w:rsidRPr="000A38E5">
          <w:rPr>
            <w:noProof/>
            <w:lang w:val="ru-RU" w:eastAsia="en-GB"/>
          </w:rPr>
          <w:t>93</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Стаття 185 Кодексу адміністративних правопорушень</w:t>
      </w:r>
      <w:r w:rsidR="00D4256A" w:rsidRPr="000A38E5">
        <w:rPr>
          <w:lang w:val="ru-RU"/>
        </w:rPr>
        <w:t xml:space="preserve"> (</w:t>
      </w:r>
      <w:r w:rsidR="00D4256A" w:rsidRPr="000A38E5">
        <w:rPr>
          <w:lang w:val="uk-UA"/>
        </w:rPr>
        <w:t>див. пункт</w:t>
      </w:r>
      <w:r w:rsidR="00D4256A" w:rsidRPr="000A38E5">
        <w:t> </w:t>
      </w:r>
      <w:fldSimple w:instr=" REF CAO_185 \h  \* MERGEFORMAT ">
        <w:r w:rsidR="00D4256A" w:rsidRPr="000A38E5">
          <w:rPr>
            <w:noProof/>
            <w:lang w:val="ru-RU"/>
          </w:rPr>
          <w:t>97</w:t>
        </w:r>
      </w:fldSimple>
      <w:r w:rsidR="00D4256A" w:rsidRPr="000A38E5">
        <w:rPr>
          <w:lang w:val="ru-RU"/>
        </w:rPr>
        <w:t xml:space="preserve"> </w:t>
      </w:r>
      <w:r w:rsidR="00D4256A" w:rsidRPr="000A38E5">
        <w:rPr>
          <w:lang w:val="uk-UA"/>
        </w:rPr>
        <w:t>вище</w:t>
      </w:r>
      <w:r w:rsidR="00D4256A" w:rsidRPr="000A38E5">
        <w:rPr>
          <w:lang w:val="ru-RU"/>
        </w:rPr>
        <w:t>)</w:t>
      </w:r>
      <w:r w:rsidR="00D4256A" w:rsidRPr="000A38E5">
        <w:rPr>
          <w:lang w:val="uk-UA"/>
        </w:rPr>
        <w:t>,</w:t>
      </w:r>
      <w:r w:rsidR="00D4256A" w:rsidRPr="000A38E5">
        <w:rPr>
          <w:lang w:val="ru-RU"/>
        </w:rPr>
        <w:t xml:space="preserve"> </w:t>
      </w:r>
      <w:r w:rsidR="00D4256A" w:rsidRPr="000A38E5">
        <w:rPr>
          <w:lang w:val="uk-UA"/>
        </w:rPr>
        <w:t>за якою вони були засуджені, була занадто розпливчастою</w:t>
      </w:r>
      <w:r w:rsidR="00D4256A" w:rsidRPr="000A38E5">
        <w:rPr>
          <w:lang w:val="ru-RU"/>
        </w:rPr>
        <w:t xml:space="preserve">, </w:t>
      </w:r>
      <w:r w:rsidR="00D4256A" w:rsidRPr="000A38E5">
        <w:rPr>
          <w:lang w:val="uk-UA"/>
        </w:rPr>
        <w:t>що демонструє той факт, що деякі з протестуючих були виправдані,</w:t>
      </w:r>
      <w:r w:rsidR="00D4256A" w:rsidRPr="000A38E5">
        <w:rPr>
          <w:lang w:val="ru-RU"/>
        </w:rPr>
        <w:t xml:space="preserve"> </w:t>
      </w:r>
      <w:r w:rsidR="00D4256A" w:rsidRPr="000A38E5">
        <w:rPr>
          <w:lang w:val="uk-UA"/>
        </w:rPr>
        <w:t>в той час як інші були засуджені за цією статтею</w:t>
      </w:r>
      <w:r w:rsidR="00D4256A" w:rsidRPr="000A38E5">
        <w:rPr>
          <w:lang w:val="ru-RU"/>
        </w:rPr>
        <w:t xml:space="preserve">, </w:t>
      </w:r>
      <w:r w:rsidR="00D4256A" w:rsidRPr="000A38E5">
        <w:rPr>
          <w:lang w:val="uk-UA"/>
        </w:rPr>
        <w:t>хоча обставини їх справ були аналогічними</w:t>
      </w:r>
      <w:r w:rsidR="00D4256A" w:rsidRPr="000A38E5">
        <w:rPr>
          <w:lang w:val="ru-RU"/>
        </w:rPr>
        <w:t xml:space="preserve">. </w:t>
      </w:r>
      <w:r w:rsidR="00D4256A" w:rsidRPr="000A38E5">
        <w:rPr>
          <w:lang w:val="uk-UA"/>
        </w:rPr>
        <w:t>У будь-якому випадку, вона була застосована довільно по відношенню до заявників, заарештованих</w:t>
      </w:r>
      <w:r w:rsidR="00D4256A" w:rsidRPr="000A38E5">
        <w:rPr>
          <w:lang w:val="ru-RU"/>
        </w:rPr>
        <w:t xml:space="preserve"> 28 </w:t>
      </w:r>
      <w:r w:rsidR="00D4256A" w:rsidRPr="000A38E5">
        <w:rPr>
          <w:lang w:val="uk-UA"/>
        </w:rPr>
        <w:t>травня</w:t>
      </w:r>
      <w:r w:rsidR="00D4256A" w:rsidRPr="000A38E5">
        <w:rPr>
          <w:lang w:val="ru-RU"/>
        </w:rPr>
        <w:t xml:space="preserve"> 2010</w:t>
      </w:r>
      <w:r w:rsidR="00D4256A" w:rsidRPr="000A38E5">
        <w:rPr>
          <w:lang w:val="uk-UA"/>
        </w:rPr>
        <w:t xml:space="preserve"> року</w:t>
      </w:r>
      <w:r w:rsidR="00D4256A" w:rsidRPr="000A38E5">
        <w:rPr>
          <w:lang w:val="ru-RU"/>
        </w:rPr>
        <w:t xml:space="preserve">: </w:t>
      </w:r>
      <w:r w:rsidR="00D4256A" w:rsidRPr="000A38E5">
        <w:rPr>
          <w:lang w:val="uk-UA"/>
        </w:rPr>
        <w:t xml:space="preserve">заявники були оточені працівниками </w:t>
      </w:r>
      <w:proofErr w:type="spellStart"/>
      <w:r w:rsidR="00D4256A" w:rsidRPr="000A38E5">
        <w:rPr>
          <w:lang w:val="uk-UA"/>
        </w:rPr>
        <w:t>МО</w:t>
      </w:r>
      <w:proofErr w:type="spellEnd"/>
      <w:r w:rsidR="00D4256A" w:rsidRPr="000A38E5">
        <w:rPr>
          <w:lang w:val="uk-UA"/>
        </w:rPr>
        <w:t>, тому</w:t>
      </w:r>
      <w:r w:rsidR="00D4256A" w:rsidRPr="000A38E5">
        <w:rPr>
          <w:lang w:val="ru-RU"/>
        </w:rPr>
        <w:t xml:space="preserve">, </w:t>
      </w:r>
      <w:r w:rsidR="00D4256A" w:rsidRPr="000A38E5">
        <w:rPr>
          <w:lang w:val="uk-UA"/>
        </w:rPr>
        <w:lastRenderedPageBreak/>
        <w:t>коли міліція підійшла та запропонувала їм покинути територію</w:t>
      </w:r>
      <w:r w:rsidR="00D4256A" w:rsidRPr="000A38E5">
        <w:rPr>
          <w:lang w:val="ru-RU"/>
        </w:rPr>
        <w:t xml:space="preserve">, </w:t>
      </w:r>
      <w:r w:rsidR="00D4256A" w:rsidRPr="000A38E5">
        <w:rPr>
          <w:lang w:val="uk-UA"/>
        </w:rPr>
        <w:t>вони фізично не могли виконати цей наказ</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190</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Заявники також стверджували, що ані розгін, ані переслідування та засудження заявників від першого до шостого</w:t>
      </w:r>
      <w:r w:rsidR="00D4256A" w:rsidRPr="000A38E5">
        <w:rPr>
          <w:lang w:val="ru-RU"/>
        </w:rPr>
        <w:t xml:space="preserve"> </w:t>
      </w:r>
      <w:r w:rsidR="00D4256A" w:rsidRPr="000A38E5">
        <w:rPr>
          <w:lang w:val="uk-UA"/>
        </w:rPr>
        <w:t>не були необхідними у демократичному суспільстві, оскільки</w:t>
      </w:r>
      <w:r w:rsidR="00D4256A" w:rsidRPr="000A38E5">
        <w:rPr>
          <w:lang w:val="ru-RU"/>
        </w:rPr>
        <w:t>: (</w:t>
      </w:r>
      <w:proofErr w:type="spellStart"/>
      <w:r w:rsidR="00D4256A" w:rsidRPr="000A38E5">
        <w:t>i</w:t>
      </w:r>
      <w:proofErr w:type="spellEnd"/>
      <w:r w:rsidR="00D4256A" w:rsidRPr="000A38E5">
        <w:rPr>
          <w:lang w:val="ru-RU"/>
        </w:rPr>
        <w:t xml:space="preserve">) </w:t>
      </w:r>
      <w:r w:rsidR="00D4256A" w:rsidRPr="000A38E5">
        <w:rPr>
          <w:lang w:val="uk-UA"/>
        </w:rPr>
        <w:t>акція протесту була мирною</w:t>
      </w:r>
      <w:r w:rsidR="00D4256A" w:rsidRPr="000A38E5">
        <w:rPr>
          <w:lang w:val="ru-RU"/>
        </w:rPr>
        <w:t xml:space="preserve">; </w:t>
      </w:r>
      <w:r w:rsidR="00D4256A" w:rsidRPr="000A38E5">
        <w:rPr>
          <w:lang w:val="uk-UA"/>
        </w:rPr>
        <w:t>протестуючі не нападали на лісорубів</w:t>
      </w:r>
      <w:r w:rsidR="00D4256A" w:rsidRPr="000A38E5">
        <w:rPr>
          <w:lang w:val="ru-RU"/>
        </w:rPr>
        <w:t xml:space="preserve">, </w:t>
      </w:r>
      <w:r w:rsidR="00D4256A" w:rsidRPr="000A38E5">
        <w:rPr>
          <w:lang w:val="uk-UA"/>
        </w:rPr>
        <w:t xml:space="preserve">працівників </w:t>
      </w:r>
      <w:proofErr w:type="spellStart"/>
      <w:r w:rsidR="00D4256A" w:rsidRPr="000A38E5">
        <w:rPr>
          <w:lang w:val="uk-UA"/>
        </w:rPr>
        <w:t>МО</w:t>
      </w:r>
      <w:proofErr w:type="spellEnd"/>
      <w:r w:rsidR="00D4256A" w:rsidRPr="000A38E5">
        <w:rPr>
          <w:lang w:val="uk-UA"/>
        </w:rPr>
        <w:t xml:space="preserve"> або міліцію</w:t>
      </w:r>
      <w:r w:rsidR="00D4256A" w:rsidRPr="000A38E5">
        <w:rPr>
          <w:lang w:val="ru-RU"/>
        </w:rPr>
        <w:t xml:space="preserve">, </w:t>
      </w:r>
      <w:r w:rsidR="00D4256A" w:rsidRPr="000A38E5">
        <w:rPr>
          <w:lang w:val="uk-UA"/>
        </w:rPr>
        <w:t>що означало, що органи влади повинні були проявити терпимість</w:t>
      </w:r>
      <w:r w:rsidR="00D4256A" w:rsidRPr="000A38E5">
        <w:rPr>
          <w:lang w:val="ru-RU"/>
        </w:rPr>
        <w:t xml:space="preserve">; </w:t>
      </w:r>
      <w:r w:rsidR="00D4256A" w:rsidRPr="000A38E5">
        <w:rPr>
          <w:lang w:val="uk-UA"/>
        </w:rPr>
        <w:t>заявники посилалися на справи</w:t>
      </w:r>
      <w:r w:rsidR="00D4256A" w:rsidRPr="000A38E5">
        <w:rPr>
          <w:lang w:val="ru-RU"/>
        </w:rPr>
        <w:t xml:space="preserve"> </w:t>
      </w:r>
      <w:proofErr w:type="spellStart"/>
      <w:r w:rsidR="00D4256A" w:rsidRPr="000A38E5">
        <w:rPr>
          <w:i/>
        </w:rPr>
        <w:t>Oya</w:t>
      </w:r>
      <w:proofErr w:type="spellEnd"/>
      <w:r w:rsidR="00D4256A" w:rsidRPr="000A38E5">
        <w:rPr>
          <w:i/>
          <w:lang w:val="ru-RU"/>
        </w:rPr>
        <w:t xml:space="preserve"> </w:t>
      </w:r>
      <w:r w:rsidR="00D4256A" w:rsidRPr="000A38E5">
        <w:rPr>
          <w:i/>
        </w:rPr>
        <w:t>Ataman</w:t>
      </w:r>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Turkey</w:t>
      </w:r>
      <w:r w:rsidR="00D4256A" w:rsidRPr="000A38E5">
        <w:rPr>
          <w:lang w:val="ru-RU"/>
        </w:rPr>
        <w:t xml:space="preserve"> (</w:t>
      </w:r>
      <w:r w:rsidR="00D4256A" w:rsidRPr="000A38E5">
        <w:rPr>
          <w:lang w:val="uk-UA"/>
        </w:rPr>
        <w:t>№</w:t>
      </w:r>
      <w:r w:rsidR="00D4256A" w:rsidRPr="000A38E5">
        <w:t> </w:t>
      </w:r>
      <w:r w:rsidR="00D4256A" w:rsidRPr="000A38E5">
        <w:rPr>
          <w:lang w:val="ru-RU"/>
        </w:rPr>
        <w:t xml:space="preserve">74552/01, §§ 41 </w:t>
      </w:r>
      <w:r w:rsidR="00D4256A" w:rsidRPr="000A38E5">
        <w:rPr>
          <w:lang w:val="uk-UA"/>
        </w:rPr>
        <w:t>та</w:t>
      </w:r>
      <w:r w:rsidR="00D4256A" w:rsidRPr="000A38E5">
        <w:rPr>
          <w:lang w:val="ru-RU"/>
        </w:rPr>
        <w:t xml:space="preserve"> 42, </w:t>
      </w:r>
      <w:r w:rsidR="00D4256A" w:rsidRPr="000A38E5">
        <w:t>ECHR</w:t>
      </w:r>
      <w:r w:rsidR="00D4256A" w:rsidRPr="000A38E5">
        <w:rPr>
          <w:lang w:val="ru-RU"/>
        </w:rPr>
        <w:t xml:space="preserve"> 2006</w:t>
      </w:r>
      <w:r w:rsidR="00D4256A" w:rsidRPr="000A38E5">
        <w:rPr>
          <w:lang w:val="ru-RU"/>
        </w:rPr>
        <w:noBreakHyphen/>
      </w:r>
      <w:r w:rsidR="00D4256A" w:rsidRPr="000A38E5">
        <w:t>XIV</w:t>
      </w:r>
      <w:r w:rsidR="00D4256A" w:rsidRPr="000A38E5">
        <w:rPr>
          <w:lang w:val="ru-RU"/>
        </w:rPr>
        <w:t xml:space="preserve">) </w:t>
      </w:r>
      <w:r w:rsidR="00D4256A" w:rsidRPr="000A38E5">
        <w:rPr>
          <w:lang w:val="uk-UA"/>
        </w:rPr>
        <w:t>і</w:t>
      </w:r>
      <w:r w:rsidR="00D4256A" w:rsidRPr="000A38E5">
        <w:rPr>
          <w:lang w:val="ru-RU"/>
        </w:rPr>
        <w:t xml:space="preserve"> </w:t>
      </w:r>
      <w:proofErr w:type="spellStart"/>
      <w:r w:rsidR="00D4256A" w:rsidRPr="000A38E5">
        <w:rPr>
          <w:i/>
        </w:rPr>
        <w:t>Bukta</w:t>
      </w:r>
      <w:proofErr w:type="spellEnd"/>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Others</w:t>
      </w:r>
      <w:r w:rsidR="00D4256A" w:rsidRPr="000A38E5">
        <w:rPr>
          <w:i/>
          <w:lang w:val="ru-RU"/>
        </w:rPr>
        <w:t xml:space="preserve"> </w:t>
      </w:r>
      <w:r w:rsidR="00D4256A" w:rsidRPr="000A38E5">
        <w:rPr>
          <w:i/>
        </w:rPr>
        <w:t>v</w:t>
      </w:r>
      <w:r w:rsidR="00D4256A" w:rsidRPr="000A38E5">
        <w:rPr>
          <w:i/>
          <w:lang w:val="ru-RU"/>
        </w:rPr>
        <w:t>.</w:t>
      </w:r>
      <w:r w:rsidR="00D4256A" w:rsidRPr="000A38E5">
        <w:rPr>
          <w:i/>
        </w:rPr>
        <w:t> Hungary</w:t>
      </w:r>
      <w:r w:rsidR="00D4256A" w:rsidRPr="000A38E5">
        <w:rPr>
          <w:lang w:val="ru-RU"/>
        </w:rPr>
        <w:t xml:space="preserve"> (</w:t>
      </w:r>
      <w:r w:rsidR="00D4256A" w:rsidRPr="000A38E5">
        <w:rPr>
          <w:lang w:val="uk-UA"/>
        </w:rPr>
        <w:t>№</w:t>
      </w:r>
      <w:r w:rsidR="00D4256A" w:rsidRPr="000A38E5">
        <w:rPr>
          <w:lang w:val="ru-RU"/>
        </w:rPr>
        <w:t xml:space="preserve"> 25691/04, § 37, </w:t>
      </w:r>
      <w:r w:rsidR="00D4256A" w:rsidRPr="000A38E5">
        <w:t>ECHR</w:t>
      </w:r>
      <w:r w:rsidR="00D4256A" w:rsidRPr="000A38E5">
        <w:rPr>
          <w:lang w:val="ru-RU"/>
        </w:rPr>
        <w:t xml:space="preserve"> 2007</w:t>
      </w:r>
      <w:r w:rsidR="00D4256A" w:rsidRPr="000A38E5">
        <w:rPr>
          <w:lang w:val="ru-RU"/>
        </w:rPr>
        <w:noBreakHyphen/>
      </w:r>
      <w:r w:rsidR="00D4256A" w:rsidRPr="000A38E5">
        <w:t>III</w:t>
      </w:r>
      <w:r w:rsidR="00D4256A" w:rsidRPr="000A38E5">
        <w:rPr>
          <w:lang w:val="ru-RU"/>
        </w:rPr>
        <w:t>); (</w:t>
      </w:r>
      <w:r w:rsidR="00D4256A" w:rsidRPr="000A38E5">
        <w:t>ii</w:t>
      </w:r>
      <w:r w:rsidR="00D4256A" w:rsidRPr="000A38E5">
        <w:rPr>
          <w:lang w:val="ru-RU"/>
        </w:rPr>
        <w:t xml:space="preserve">) </w:t>
      </w:r>
      <w:r w:rsidR="00D4256A" w:rsidRPr="000A38E5">
        <w:rPr>
          <w:lang w:val="uk-UA"/>
        </w:rPr>
        <w:t>протест відбувався у парку та не заважав міському життю</w:t>
      </w:r>
      <w:r w:rsidR="00D4256A" w:rsidRPr="000A38E5">
        <w:rPr>
          <w:lang w:val="ru-RU"/>
        </w:rPr>
        <w:t xml:space="preserve">; </w:t>
      </w:r>
      <w:r w:rsidR="00D4256A" w:rsidRPr="000A38E5">
        <w:rPr>
          <w:lang w:val="uk-UA"/>
        </w:rPr>
        <w:t>а також</w:t>
      </w:r>
      <w:r w:rsidR="00D4256A" w:rsidRPr="000A38E5">
        <w:rPr>
          <w:lang w:val="ru-RU"/>
        </w:rPr>
        <w:t xml:space="preserve"> (</w:t>
      </w:r>
      <w:r w:rsidR="00D4256A" w:rsidRPr="000A38E5">
        <w:t>iii</w:t>
      </w:r>
      <w:r w:rsidR="00D4256A" w:rsidRPr="000A38E5">
        <w:rPr>
          <w:lang w:val="ru-RU"/>
        </w:rPr>
        <w:t xml:space="preserve">) </w:t>
      </w:r>
      <w:r w:rsidR="00D4256A" w:rsidRPr="000A38E5">
        <w:rPr>
          <w:lang w:val="uk-UA"/>
        </w:rPr>
        <w:t>дозвіл приватним охоронцям розганяти мирне зібрання</w:t>
      </w:r>
      <w:r w:rsidR="00D4256A" w:rsidRPr="000A38E5">
        <w:rPr>
          <w:lang w:val="ru-RU"/>
        </w:rPr>
        <w:t xml:space="preserve"> </w:t>
      </w:r>
      <w:r w:rsidR="00D4256A" w:rsidRPr="000A38E5">
        <w:rPr>
          <w:lang w:val="uk-UA"/>
        </w:rPr>
        <w:t>не може вважатися необхідним у демократичному суспільстві,</w:t>
      </w:r>
      <w:r w:rsidR="00D4256A" w:rsidRPr="000A38E5">
        <w:rPr>
          <w:lang w:val="ru-RU"/>
        </w:rPr>
        <w:t xml:space="preserve"> </w:t>
      </w:r>
      <w:r w:rsidR="00D4256A" w:rsidRPr="000A38E5">
        <w:rPr>
          <w:lang w:val="uk-UA"/>
        </w:rPr>
        <w:t>як і застосування сили</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191</w:t>
      </w:r>
      <w:r w:rsidRPr="000A38E5">
        <w:fldChar w:fldCharType="end"/>
      </w:r>
      <w:r w:rsidR="00D4256A" w:rsidRPr="000A38E5">
        <w:rPr>
          <w:lang w:val="ru-RU"/>
        </w:rPr>
        <w:t>.</w:t>
      </w:r>
      <w:r w:rsidR="00D4256A" w:rsidRPr="00E93710">
        <w:rPr>
          <w:lang w:val="ru-RU"/>
        </w:rPr>
        <w:t xml:space="preserve"> </w:t>
      </w:r>
      <w:r w:rsidR="00D4256A" w:rsidRPr="000A38E5">
        <w:rPr>
          <w:lang w:val="uk-UA"/>
        </w:rPr>
        <w:t>Заявники заперечували аргумент Уряду</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Govt_public_consultation \h  \* MERGEFORMAT ">
        <w:r w:rsidR="00D4256A" w:rsidRPr="000A38E5">
          <w:rPr>
            <w:noProof/>
            <w:lang w:val="ru-RU"/>
          </w:rPr>
          <w:t>200</w:t>
        </w:r>
      </w:fldSimple>
      <w:r w:rsidR="00D4256A" w:rsidRPr="000A38E5">
        <w:rPr>
          <w:lang w:val="ru-RU"/>
        </w:rPr>
        <w:t xml:space="preserve"> </w:t>
      </w:r>
      <w:r w:rsidR="00D4256A" w:rsidRPr="000A38E5">
        <w:rPr>
          <w:lang w:val="uk-UA"/>
        </w:rPr>
        <w:t>нижче</w:t>
      </w:r>
      <w:r w:rsidR="00D4256A" w:rsidRPr="000A38E5">
        <w:rPr>
          <w:lang w:val="ru-RU"/>
        </w:rPr>
        <w:t>)</w:t>
      </w:r>
      <w:r w:rsidR="00D4256A" w:rsidRPr="000A38E5">
        <w:rPr>
          <w:lang w:val="uk-UA"/>
        </w:rPr>
        <w:t>,</w:t>
      </w:r>
      <w:r w:rsidR="00D4256A" w:rsidRPr="000A38E5">
        <w:rPr>
          <w:lang w:val="ru-RU"/>
        </w:rPr>
        <w:t xml:space="preserve"> </w:t>
      </w:r>
      <w:r w:rsidR="00D4256A" w:rsidRPr="000A38E5">
        <w:rPr>
          <w:lang w:val="uk-UA"/>
        </w:rPr>
        <w:t>що вони мали інші засоби протесту проти будівництва</w:t>
      </w:r>
      <w:r w:rsidR="00D4256A" w:rsidRPr="000A38E5">
        <w:rPr>
          <w:lang w:val="ru-RU"/>
        </w:rPr>
        <w:t xml:space="preserve">. </w:t>
      </w:r>
      <w:r w:rsidR="00D4256A" w:rsidRPr="000A38E5">
        <w:rPr>
          <w:lang w:val="uk-UA"/>
        </w:rPr>
        <w:t>Зокрема, вони заперечували довід Уряду про те,</w:t>
      </w:r>
      <w:r w:rsidR="00D4256A" w:rsidRPr="000A38E5">
        <w:rPr>
          <w:lang w:val="ru-RU"/>
        </w:rPr>
        <w:t xml:space="preserve"> </w:t>
      </w:r>
      <w:r w:rsidR="00D4256A" w:rsidRPr="000A38E5">
        <w:rPr>
          <w:lang w:val="uk-UA"/>
        </w:rPr>
        <w:t>що інформація про громадські консультації</w:t>
      </w:r>
      <w:r w:rsidR="00D4256A" w:rsidRPr="000A38E5">
        <w:rPr>
          <w:lang w:val="ru-RU"/>
        </w:rPr>
        <w:t xml:space="preserve"> </w:t>
      </w:r>
      <w:r w:rsidR="00D4256A" w:rsidRPr="000A38E5">
        <w:rPr>
          <w:lang w:val="uk-UA"/>
        </w:rPr>
        <w:t>стосовно Плану міського розвитку</w:t>
      </w:r>
      <w:r w:rsidR="00D4256A" w:rsidRPr="000A38E5">
        <w:rPr>
          <w:lang w:val="ru-RU"/>
        </w:rPr>
        <w:t xml:space="preserve"> 2004 року (</w:t>
      </w:r>
      <w:r w:rsidR="00D4256A" w:rsidRPr="000A38E5">
        <w:rPr>
          <w:lang w:val="uk-UA"/>
        </w:rPr>
        <w:t>див. пункти</w:t>
      </w:r>
      <w:r w:rsidR="00D4256A" w:rsidRPr="000A38E5">
        <w:rPr>
          <w:lang w:val="ru-RU"/>
        </w:rPr>
        <w:t xml:space="preserve"> </w:t>
      </w:r>
      <w:fldSimple w:instr=" REF Urban_Development_Plan_2004 \h  \* MERGEFORMAT ">
        <w:r w:rsidR="00D4256A" w:rsidRPr="000A38E5">
          <w:rPr>
            <w:noProof/>
            <w:lang w:val="ru-RU"/>
          </w:rPr>
          <w:t>10</w:t>
        </w:r>
      </w:fldSimple>
      <w:r w:rsidR="00D4256A" w:rsidRPr="000A38E5">
        <w:rPr>
          <w:lang w:val="ru-RU"/>
        </w:rPr>
        <w:t xml:space="preserve"> </w:t>
      </w:r>
      <w:r w:rsidR="00D4256A" w:rsidRPr="000A38E5">
        <w:rPr>
          <w:lang w:val="uk-UA"/>
        </w:rPr>
        <w:t>вище та</w:t>
      </w:r>
      <w:r w:rsidR="00D4256A" w:rsidRPr="000A38E5">
        <w:rPr>
          <w:lang w:val="ru-RU"/>
        </w:rPr>
        <w:t xml:space="preserve"> </w:t>
      </w:r>
      <w:fldSimple w:instr=" REF Govt_public_consultation \h  \* MERGEFORMAT ">
        <w:r w:rsidR="00D4256A" w:rsidRPr="000A38E5">
          <w:rPr>
            <w:noProof/>
            <w:lang w:val="ru-RU"/>
          </w:rPr>
          <w:t>200</w:t>
        </w:r>
      </w:fldSimple>
      <w:r w:rsidR="00D4256A" w:rsidRPr="000A38E5">
        <w:rPr>
          <w:lang w:val="ru-RU"/>
        </w:rPr>
        <w:t xml:space="preserve"> </w:t>
      </w:r>
      <w:r w:rsidR="00D4256A" w:rsidRPr="000A38E5">
        <w:rPr>
          <w:lang w:val="uk-UA"/>
        </w:rPr>
        <w:t>нижче</w:t>
      </w:r>
      <w:r w:rsidR="00D4256A" w:rsidRPr="000A38E5">
        <w:rPr>
          <w:lang w:val="ru-RU"/>
        </w:rPr>
        <w:t xml:space="preserve">) </w:t>
      </w:r>
      <w:r w:rsidR="00D4256A" w:rsidRPr="000A38E5">
        <w:rPr>
          <w:lang w:val="uk-UA"/>
        </w:rPr>
        <w:t>була опублікована</w:t>
      </w:r>
      <w:r w:rsidR="00D4256A" w:rsidRPr="000A38E5">
        <w:rPr>
          <w:lang w:val="ru-RU"/>
        </w:rPr>
        <w:t xml:space="preserve">. </w:t>
      </w:r>
      <w:r w:rsidR="00D4256A" w:rsidRPr="000A38E5">
        <w:rPr>
          <w:lang w:val="uk-UA"/>
        </w:rPr>
        <w:t>Не було ніякого попереднього громадського обговорення,</w:t>
      </w:r>
      <w:r w:rsidR="00D4256A" w:rsidRPr="000A38E5">
        <w:rPr>
          <w:lang w:val="ru-RU"/>
        </w:rPr>
        <w:t xml:space="preserve"> </w:t>
      </w:r>
      <w:r w:rsidR="00D4256A" w:rsidRPr="000A38E5">
        <w:rPr>
          <w:lang w:val="uk-UA"/>
        </w:rPr>
        <w:t>а рішення про початок повалення дерев стало неочікуваним</w:t>
      </w:r>
      <w:r w:rsidR="00D4256A" w:rsidRPr="000A38E5">
        <w:rPr>
          <w:lang w:val="ru-RU"/>
        </w:rPr>
        <w:t xml:space="preserve">. </w:t>
      </w:r>
      <w:r w:rsidR="00D4256A" w:rsidRPr="000A38E5">
        <w:rPr>
          <w:lang w:val="uk-UA"/>
        </w:rPr>
        <w:t>Метою акції протесту було тимчасове блокування повалення дерев</w:t>
      </w:r>
      <w:r w:rsidR="00D4256A" w:rsidRPr="000A38E5">
        <w:rPr>
          <w:lang w:val="ru-RU"/>
        </w:rPr>
        <w:t xml:space="preserve"> </w:t>
      </w:r>
      <w:r w:rsidR="00D4256A" w:rsidRPr="000A38E5">
        <w:rPr>
          <w:lang w:val="uk-UA"/>
        </w:rPr>
        <w:t>до проведення громадських слухань з цього питання</w:t>
      </w:r>
      <w:r w:rsidR="00D4256A" w:rsidRPr="000A38E5">
        <w:rPr>
          <w:lang w:val="ru-RU"/>
        </w:rPr>
        <w:t xml:space="preserve"> </w:t>
      </w:r>
      <w:r w:rsidR="00D4256A" w:rsidRPr="000A38E5">
        <w:rPr>
          <w:lang w:val="uk-UA"/>
        </w:rPr>
        <w:t>або до закінчення судових проваджень стосовно законності проекту</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192</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Незважаючи на те, що Уряд стверджував, що не всі</w:t>
      </w:r>
      <w:r w:rsidR="00D4256A" w:rsidRPr="000A38E5">
        <w:rPr>
          <w:lang w:val="ru-RU"/>
        </w:rPr>
        <w:t xml:space="preserve"> </w:t>
      </w:r>
      <w:r w:rsidR="00D4256A" w:rsidRPr="000A38E5">
        <w:rPr>
          <w:lang w:val="uk-UA"/>
        </w:rPr>
        <w:t xml:space="preserve">люди в уніформі з відзнаками дійсно були працівниками </w:t>
      </w:r>
      <w:proofErr w:type="spellStart"/>
      <w:r w:rsidR="00D4256A" w:rsidRPr="000A38E5">
        <w:rPr>
          <w:lang w:val="uk-UA"/>
        </w:rPr>
        <w:t>МО</w:t>
      </w:r>
      <w:proofErr w:type="spellEnd"/>
      <w:r w:rsidR="00D4256A" w:rsidRPr="000A38E5">
        <w:rPr>
          <w:lang w:val="ru-RU"/>
        </w:rPr>
        <w:t xml:space="preserve"> (</w:t>
      </w:r>
      <w:r w:rsidR="00D4256A" w:rsidRPr="000A38E5">
        <w:rPr>
          <w:lang w:val="uk-UA"/>
        </w:rPr>
        <w:t>див. пункт</w:t>
      </w:r>
      <w:r w:rsidR="00D4256A" w:rsidRPr="000A38E5">
        <w:t> </w:t>
      </w:r>
      <w:fldSimple w:instr=" REF Govt_strangers_on_site \h  \* MERGEFORMAT ">
        <w:r w:rsidR="00D4256A" w:rsidRPr="000A38E5">
          <w:rPr>
            <w:noProof/>
            <w:lang w:val="ru-RU"/>
          </w:rPr>
          <w:t>209</w:t>
        </w:r>
      </w:fldSimple>
      <w:r w:rsidR="00D4256A" w:rsidRPr="000A38E5">
        <w:rPr>
          <w:lang w:val="ru-RU"/>
        </w:rPr>
        <w:t xml:space="preserve"> </w:t>
      </w:r>
      <w:r w:rsidR="00D4256A" w:rsidRPr="000A38E5">
        <w:rPr>
          <w:lang w:val="uk-UA"/>
        </w:rPr>
        <w:t>нижче</w:t>
      </w:r>
      <w:r w:rsidR="00D4256A" w:rsidRPr="000A38E5">
        <w:rPr>
          <w:lang w:val="ru-RU"/>
        </w:rPr>
        <w:t xml:space="preserve">), </w:t>
      </w:r>
      <w:r w:rsidR="00D4256A" w:rsidRPr="000A38E5">
        <w:rPr>
          <w:lang w:val="uk-UA"/>
        </w:rPr>
        <w:t>заявники стверджували, що усі ці люди діяли разом та виконували спільні накази</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193</w:t>
      </w:r>
      <w:r w:rsidRPr="000A38E5">
        <w:fldChar w:fldCharType="end"/>
      </w:r>
      <w:r w:rsidR="00D4256A" w:rsidRPr="000A38E5">
        <w:rPr>
          <w:lang w:val="ru-RU"/>
        </w:rPr>
        <w:t>.</w:t>
      </w:r>
      <w:r w:rsidR="00D4256A" w:rsidRPr="00E93710">
        <w:rPr>
          <w:lang w:val="ru-RU"/>
        </w:rPr>
        <w:t xml:space="preserve"> </w:t>
      </w:r>
      <w:r w:rsidR="00D4256A" w:rsidRPr="000A38E5">
        <w:rPr>
          <w:lang w:val="uk-UA"/>
        </w:rPr>
        <w:t>Заявники підкреслили, що їх дії були «мирними та законними»</w:t>
      </w:r>
      <w:r w:rsidR="00D4256A" w:rsidRPr="000A38E5">
        <w:rPr>
          <w:lang w:val="ru-RU"/>
        </w:rPr>
        <w:t xml:space="preserve">. </w:t>
      </w:r>
      <w:r w:rsidR="00D4256A" w:rsidRPr="000A38E5">
        <w:rPr>
          <w:lang w:val="uk-UA"/>
        </w:rPr>
        <w:t>Вони не вчинили нічого, вартого осуду,</w:t>
      </w:r>
      <w:r w:rsidR="00D4256A" w:rsidRPr="000A38E5">
        <w:rPr>
          <w:lang w:val="ru-RU"/>
        </w:rPr>
        <w:t xml:space="preserve"> </w:t>
      </w:r>
      <w:r w:rsidR="00D4256A" w:rsidRPr="000A38E5">
        <w:rPr>
          <w:lang w:val="uk-UA"/>
        </w:rPr>
        <w:t>що виходило б за межі їхньої акції протесту</w:t>
      </w:r>
      <w:r w:rsidR="00D4256A" w:rsidRPr="000A38E5">
        <w:rPr>
          <w:lang w:val="ru-RU"/>
        </w:rPr>
        <w:t xml:space="preserve">. </w:t>
      </w:r>
      <w:r w:rsidR="00D4256A" w:rsidRPr="000A38E5">
        <w:rPr>
          <w:lang w:val="uk-UA"/>
        </w:rPr>
        <w:t>Хоча органи влади дійсно не були попереджені заздалегідь</w:t>
      </w:r>
      <w:r w:rsidR="00D4256A" w:rsidRPr="000A38E5">
        <w:rPr>
          <w:lang w:val="ru-RU"/>
        </w:rPr>
        <w:t xml:space="preserve">, </w:t>
      </w:r>
      <w:r w:rsidR="00D4256A" w:rsidRPr="000A38E5">
        <w:rPr>
          <w:lang w:val="uk-UA"/>
        </w:rPr>
        <w:t>ця акція була спонтанною і не мала організаторів</w:t>
      </w:r>
      <w:r w:rsidR="00D4256A" w:rsidRPr="000A38E5">
        <w:rPr>
          <w:lang w:val="ru-RU"/>
        </w:rPr>
        <w:t xml:space="preserve">. </w:t>
      </w:r>
      <w:r w:rsidR="00D4256A" w:rsidRPr="000A38E5">
        <w:rPr>
          <w:lang w:val="uk-UA"/>
        </w:rPr>
        <w:t>Єдиним чинним правовим положенням на той час, яке регулювало цю акцію, була стаття 39 Конституції,</w:t>
      </w:r>
      <w:r w:rsidR="00D4256A" w:rsidRPr="000A38E5">
        <w:rPr>
          <w:lang w:val="ru-RU"/>
        </w:rPr>
        <w:t xml:space="preserve"> </w:t>
      </w:r>
      <w:r w:rsidR="00D4256A" w:rsidRPr="000A38E5">
        <w:rPr>
          <w:lang w:val="uk-UA"/>
        </w:rPr>
        <w:t>але у цьому положенні не вказувалося конкретно, як саме органи влади повинні бути повідомлені про мирні зібрання</w:t>
      </w:r>
      <w:r w:rsidR="00D4256A" w:rsidRPr="000A38E5">
        <w:rPr>
          <w:lang w:val="ru-RU"/>
        </w:rPr>
        <w:t xml:space="preserve">. </w:t>
      </w:r>
      <w:r w:rsidR="00D4256A" w:rsidRPr="000A38E5">
        <w:rPr>
          <w:lang w:val="uk-UA"/>
        </w:rPr>
        <w:t>Заявники повідомили органи влади через ЗМІ 20 травня</w:t>
      </w:r>
      <w:r w:rsidR="00D4256A" w:rsidRPr="000A38E5">
        <w:rPr>
          <w:lang w:val="ru-RU"/>
        </w:rPr>
        <w:t xml:space="preserve"> 2010</w:t>
      </w:r>
      <w:r w:rsidR="00D4256A" w:rsidRPr="000A38E5">
        <w:rPr>
          <w:lang w:val="uk-UA"/>
        </w:rPr>
        <w:t xml:space="preserve"> року</w:t>
      </w:r>
      <w:r w:rsidR="00D4256A" w:rsidRPr="000A38E5">
        <w:rPr>
          <w:lang w:val="ru-RU"/>
        </w:rPr>
        <w:t xml:space="preserve"> </w:t>
      </w:r>
      <w:r w:rsidR="00D4256A" w:rsidRPr="000A38E5">
        <w:rPr>
          <w:lang w:val="uk-UA"/>
        </w:rPr>
        <w:t>і в будь-якому разі після цієї дати протести вже не могли бути неочікуваними для органів влади</w:t>
      </w:r>
      <w:r w:rsidR="00D4256A" w:rsidRPr="000A38E5">
        <w:rPr>
          <w:lang w:val="ru-RU"/>
        </w:rPr>
        <w:t xml:space="preserve">. </w:t>
      </w:r>
      <w:r w:rsidR="00D4256A" w:rsidRPr="000A38E5">
        <w:rPr>
          <w:lang w:val="uk-UA"/>
        </w:rPr>
        <w:t>Тому акція протесту була законною</w:t>
      </w:r>
      <w:r w:rsidR="00D4256A" w:rsidRPr="000A38E5">
        <w:rPr>
          <w:lang w:val="ru-RU"/>
        </w:rPr>
        <w:t xml:space="preserve">. </w:t>
      </w:r>
      <w:r w:rsidR="00D4256A" w:rsidRPr="000A38E5">
        <w:rPr>
          <w:lang w:val="uk-UA"/>
        </w:rPr>
        <w:t>На відміну від цього, спроба розігнати протестуючих була незаконною</w:t>
      </w:r>
      <w:r w:rsidR="00D4256A" w:rsidRPr="000A38E5">
        <w:rPr>
          <w:lang w:val="ru-RU"/>
        </w:rPr>
        <w:t xml:space="preserve">. </w:t>
      </w:r>
      <w:r w:rsidR="00D4256A" w:rsidRPr="000A38E5">
        <w:rPr>
          <w:lang w:val="uk-UA"/>
        </w:rPr>
        <w:t>Зокрема, ніхто з протестуючих не був заарештований або засуджений</w:t>
      </w:r>
      <w:r w:rsidR="00D4256A" w:rsidRPr="000A38E5">
        <w:rPr>
          <w:lang w:val="ru-RU"/>
        </w:rPr>
        <w:t xml:space="preserve"> </w:t>
      </w:r>
      <w:r w:rsidR="00D4256A" w:rsidRPr="000A38E5">
        <w:rPr>
          <w:lang w:val="uk-UA"/>
        </w:rPr>
        <w:t>за статтею</w:t>
      </w:r>
      <w:r w:rsidR="00D4256A" w:rsidRPr="000A38E5">
        <w:rPr>
          <w:lang w:val="ru-RU"/>
        </w:rPr>
        <w:t xml:space="preserve"> 185-1 </w:t>
      </w:r>
      <w:r w:rsidR="00D4256A" w:rsidRPr="000A38E5">
        <w:rPr>
          <w:lang w:val="uk-UA"/>
        </w:rPr>
        <w:t>Кодексу про адміністративні правопорушення</w:t>
      </w:r>
      <w:r w:rsidR="00D4256A" w:rsidRPr="000A38E5">
        <w:rPr>
          <w:lang w:val="ru-RU"/>
        </w:rPr>
        <w:t xml:space="preserve"> </w:t>
      </w:r>
      <w:r w:rsidR="00D4256A" w:rsidRPr="000A38E5">
        <w:rPr>
          <w:lang w:val="uk-UA"/>
        </w:rPr>
        <w:t>«Порушення порядку організації</w:t>
      </w:r>
      <w:r w:rsidR="00D4256A" w:rsidRPr="000A38E5">
        <w:rPr>
          <w:lang w:val="ru-RU"/>
        </w:rPr>
        <w:t xml:space="preserve"> </w:t>
      </w:r>
      <w:r w:rsidR="00D4256A" w:rsidRPr="000A38E5">
        <w:rPr>
          <w:lang w:val="uk-UA"/>
        </w:rPr>
        <w:t>та проведення мітингів</w:t>
      </w:r>
      <w:r w:rsidR="00D4256A" w:rsidRPr="000A38E5">
        <w:rPr>
          <w:lang w:val="ru-RU"/>
        </w:rPr>
        <w:t xml:space="preserve">, </w:t>
      </w:r>
      <w:r w:rsidR="00D4256A" w:rsidRPr="000A38E5">
        <w:rPr>
          <w:lang w:val="uk-UA"/>
        </w:rPr>
        <w:t>вуличних маршів та демонстрацій»</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CAO_185 \h  \* MERGEFORMAT ">
        <w:r w:rsidR="00D4256A" w:rsidRPr="000A38E5">
          <w:rPr>
            <w:noProof/>
            <w:lang w:val="ru-RU"/>
          </w:rPr>
          <w:t>97</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що вказувало, що органи влади не вважали, що акція протесту порушувала цю процедуру</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194</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 xml:space="preserve">Заявники стверджували, що органи влади залучили працівників </w:t>
      </w:r>
      <w:proofErr w:type="spellStart"/>
      <w:r w:rsidR="00D4256A" w:rsidRPr="000A38E5">
        <w:rPr>
          <w:lang w:val="uk-UA"/>
        </w:rPr>
        <w:t>МО</w:t>
      </w:r>
      <w:proofErr w:type="spellEnd"/>
      <w:r w:rsidR="00D4256A" w:rsidRPr="000A38E5">
        <w:rPr>
          <w:lang w:val="ru-RU"/>
        </w:rPr>
        <w:t xml:space="preserve"> </w:t>
      </w:r>
      <w:r w:rsidR="00D4256A" w:rsidRPr="000A38E5">
        <w:rPr>
          <w:lang w:val="uk-UA"/>
        </w:rPr>
        <w:t>та інших неофіційних груп, а не міліціонерів</w:t>
      </w:r>
      <w:r w:rsidR="00D4256A" w:rsidRPr="000A38E5">
        <w:rPr>
          <w:lang w:val="ru-RU"/>
        </w:rPr>
        <w:t xml:space="preserve">, </w:t>
      </w:r>
      <w:r w:rsidR="00D4256A" w:rsidRPr="000A38E5">
        <w:rPr>
          <w:lang w:val="uk-UA"/>
        </w:rPr>
        <w:t>оскільки розуміли, що протест був законним</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195</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Незважаючи на численні скарги до міліції про напади</w:t>
      </w:r>
      <w:r w:rsidR="00D4256A" w:rsidRPr="000A38E5">
        <w:rPr>
          <w:lang w:val="ru-RU"/>
        </w:rPr>
        <w:t xml:space="preserve"> </w:t>
      </w:r>
      <w:r w:rsidR="00D4256A" w:rsidRPr="000A38E5">
        <w:rPr>
          <w:lang w:val="uk-UA"/>
        </w:rPr>
        <w:t xml:space="preserve">з боку осіб в чорному з відзнаками </w:t>
      </w:r>
      <w:proofErr w:type="spellStart"/>
      <w:r w:rsidR="00D4256A" w:rsidRPr="000A38E5">
        <w:rPr>
          <w:lang w:val="uk-UA"/>
        </w:rPr>
        <w:t>МО</w:t>
      </w:r>
      <w:proofErr w:type="spellEnd"/>
      <w:r w:rsidR="00D4256A" w:rsidRPr="000A38E5">
        <w:rPr>
          <w:lang w:val="ru-RU"/>
        </w:rPr>
        <w:t xml:space="preserve">, </w:t>
      </w:r>
      <w:r w:rsidR="00D4256A" w:rsidRPr="000A38E5">
        <w:rPr>
          <w:lang w:val="uk-UA"/>
        </w:rPr>
        <w:t>отримання яких міліцією Уряд не заперечував</w:t>
      </w:r>
      <w:r w:rsidR="00D4256A" w:rsidRPr="000A38E5">
        <w:rPr>
          <w:lang w:val="ru-RU"/>
        </w:rPr>
        <w:t xml:space="preserve">, </w:t>
      </w:r>
      <w:r w:rsidR="00D4256A" w:rsidRPr="000A38E5">
        <w:rPr>
          <w:lang w:val="uk-UA"/>
        </w:rPr>
        <w:t>міліція не реагувала</w:t>
      </w:r>
      <w:r w:rsidR="00D4256A" w:rsidRPr="000A38E5">
        <w:rPr>
          <w:lang w:val="ru-RU"/>
        </w:rPr>
        <w:t xml:space="preserve">. </w:t>
      </w:r>
      <w:r w:rsidR="00D4256A" w:rsidRPr="000A38E5">
        <w:rPr>
          <w:lang w:val="uk-UA"/>
        </w:rPr>
        <w:t>В дійсності, міліціонери допомагали нападникам</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196</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Заявники підкреслили, що міліція або не втручалася у дії нападників,</w:t>
      </w:r>
      <w:r w:rsidR="00D4256A" w:rsidRPr="000A38E5">
        <w:rPr>
          <w:lang w:val="ru-RU"/>
        </w:rPr>
        <w:t xml:space="preserve"> </w:t>
      </w:r>
      <w:r w:rsidR="00D4256A" w:rsidRPr="000A38E5">
        <w:rPr>
          <w:lang w:val="uk-UA"/>
        </w:rPr>
        <w:t>або, навпаки, втручалася для затримання протестуючих,</w:t>
      </w:r>
      <w:r w:rsidR="00D4256A" w:rsidRPr="000A38E5">
        <w:rPr>
          <w:lang w:val="ru-RU"/>
        </w:rPr>
        <w:t xml:space="preserve"> </w:t>
      </w:r>
      <w:r w:rsidR="00D4256A" w:rsidRPr="000A38E5">
        <w:rPr>
          <w:lang w:val="uk-UA"/>
        </w:rPr>
        <w:t>коли на них нападали 27 травня та 2 червня</w:t>
      </w:r>
      <w:r w:rsidR="00D4256A" w:rsidRPr="000A38E5">
        <w:rPr>
          <w:lang w:val="ru-RU"/>
        </w:rPr>
        <w:t xml:space="preserve"> 2010 року. </w:t>
      </w:r>
      <w:r w:rsidR="00D4256A" w:rsidRPr="000A38E5">
        <w:rPr>
          <w:lang w:val="uk-UA"/>
        </w:rPr>
        <w:t>Всупереч плану охорони громадського порядку</w:t>
      </w:r>
      <w:r w:rsidR="00D4256A" w:rsidRPr="000A38E5">
        <w:rPr>
          <w:lang w:val="ru-RU"/>
        </w:rPr>
        <w:t xml:space="preserve">, </w:t>
      </w:r>
      <w:r w:rsidR="00D4256A" w:rsidRPr="000A38E5">
        <w:rPr>
          <w:lang w:val="uk-UA"/>
        </w:rPr>
        <w:t>міліція також була відсутня на місці, коли на протестуючих нападали</w:t>
      </w:r>
      <w:r w:rsidR="00D4256A" w:rsidRPr="000A38E5">
        <w:rPr>
          <w:lang w:val="ru-RU"/>
        </w:rPr>
        <w:t xml:space="preserve"> 27 </w:t>
      </w:r>
      <w:r w:rsidR="00D4256A" w:rsidRPr="000A38E5">
        <w:rPr>
          <w:lang w:val="uk-UA"/>
        </w:rPr>
        <w:t>та 31 травня</w:t>
      </w:r>
      <w:r w:rsidR="00D4256A" w:rsidRPr="000A38E5">
        <w:rPr>
          <w:lang w:val="ru-RU"/>
        </w:rPr>
        <w:t xml:space="preserve"> </w:t>
      </w:r>
      <w:r w:rsidR="00D4256A" w:rsidRPr="000A38E5">
        <w:rPr>
          <w:lang w:val="uk-UA"/>
        </w:rPr>
        <w:t>та 1 і</w:t>
      </w:r>
      <w:r w:rsidR="00D4256A" w:rsidRPr="000A38E5">
        <w:rPr>
          <w:lang w:val="ru-RU"/>
        </w:rPr>
        <w:t xml:space="preserve"> 2 </w:t>
      </w:r>
      <w:r w:rsidR="00D4256A" w:rsidRPr="000A38E5">
        <w:rPr>
          <w:lang w:val="uk-UA"/>
        </w:rPr>
        <w:t>червня</w:t>
      </w:r>
      <w:r w:rsidR="00D4256A" w:rsidRPr="000A38E5">
        <w:rPr>
          <w:lang w:val="ru-RU"/>
        </w:rPr>
        <w:t xml:space="preserve"> 2010</w:t>
      </w:r>
      <w:r w:rsidR="00D4256A" w:rsidRPr="000A38E5">
        <w:rPr>
          <w:lang w:val="uk-UA"/>
        </w:rPr>
        <w:t> року</w:t>
      </w:r>
      <w:r w:rsidR="00D4256A" w:rsidRPr="000A38E5">
        <w:rPr>
          <w:lang w:val="ru-RU"/>
        </w:rPr>
        <w:t xml:space="preserve">, </w:t>
      </w:r>
      <w:r w:rsidR="00D4256A" w:rsidRPr="000A38E5">
        <w:rPr>
          <w:lang w:val="uk-UA"/>
        </w:rPr>
        <w:t>незважаючи на те, що план передбачав цілодобову присутність міліції,</w:t>
      </w:r>
      <w:r w:rsidR="00D4256A" w:rsidRPr="000A38E5">
        <w:rPr>
          <w:lang w:val="ru-RU"/>
        </w:rPr>
        <w:t xml:space="preserve"> </w:t>
      </w:r>
      <w:r w:rsidR="00D4256A" w:rsidRPr="000A38E5">
        <w:rPr>
          <w:lang w:val="uk-UA"/>
        </w:rPr>
        <w:t>а міліція, беручи до уваги попередні сутички</w:t>
      </w:r>
      <w:r w:rsidR="00D4256A" w:rsidRPr="000A38E5">
        <w:rPr>
          <w:lang w:val="ru-RU"/>
        </w:rPr>
        <w:t xml:space="preserve">, </w:t>
      </w:r>
      <w:r w:rsidR="00D4256A" w:rsidRPr="000A38E5">
        <w:rPr>
          <w:lang w:val="uk-UA"/>
        </w:rPr>
        <w:t>мала усі підстави вважати, що будуть подальші зіткнення</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197</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Бездіяльність міліції призвела до ескалації конфлікту</w:t>
      </w:r>
      <w:r w:rsidR="00D4256A" w:rsidRPr="000A38E5">
        <w:rPr>
          <w:lang w:val="ru-RU"/>
        </w:rPr>
        <w:t xml:space="preserve">, </w:t>
      </w:r>
      <w:r w:rsidR="00D4256A" w:rsidRPr="000A38E5">
        <w:rPr>
          <w:lang w:val="uk-UA"/>
        </w:rPr>
        <w:t>робітники та охоронці ставали усе більш агресивними</w:t>
      </w:r>
      <w:r w:rsidR="00D4256A" w:rsidRPr="000A38E5">
        <w:rPr>
          <w:lang w:val="ru-RU"/>
        </w:rPr>
        <w:t xml:space="preserve"> </w:t>
      </w:r>
      <w:r w:rsidR="00D4256A" w:rsidRPr="000A38E5">
        <w:rPr>
          <w:lang w:val="uk-UA"/>
        </w:rPr>
        <w:t>за підтримки міліції</w:t>
      </w:r>
      <w:r w:rsidR="00D4256A" w:rsidRPr="000A38E5">
        <w:rPr>
          <w:lang w:val="ru-RU"/>
        </w:rPr>
        <w:t>.</w:t>
      </w:r>
    </w:p>
    <w:p w:rsidR="00D4256A" w:rsidRPr="000A38E5" w:rsidRDefault="00D4256A" w:rsidP="00D4256A">
      <w:pPr>
        <w:pStyle w:val="ECHRHeading3"/>
        <w:rPr>
          <w:lang w:val="uk-UA"/>
        </w:rPr>
      </w:pPr>
      <w:r w:rsidRPr="000A38E5">
        <w:rPr>
          <w:lang w:val="ru-RU"/>
        </w:rPr>
        <w:t>2.</w:t>
      </w:r>
      <w:r w:rsidRPr="00E93710">
        <w:rPr>
          <w:lang w:val="ru-RU"/>
        </w:rPr>
        <w:t xml:space="preserve"> </w:t>
      </w:r>
      <w:r w:rsidRPr="000A38E5">
        <w:rPr>
          <w:lang w:val="uk-UA"/>
        </w:rPr>
        <w:t>Уряд</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198</w:t>
      </w:r>
      <w:r w:rsidRPr="000A38E5">
        <w:fldChar w:fldCharType="end"/>
      </w:r>
      <w:r w:rsidR="00D4256A" w:rsidRPr="000A38E5">
        <w:rPr>
          <w:lang w:val="ru-RU"/>
        </w:rPr>
        <w:t>.</w:t>
      </w:r>
      <w:r w:rsidR="00D4256A" w:rsidRPr="00E93710">
        <w:rPr>
          <w:lang w:val="ru-RU"/>
        </w:rPr>
        <w:t xml:space="preserve"> </w:t>
      </w:r>
      <w:r w:rsidR="00D4256A" w:rsidRPr="000A38E5">
        <w:rPr>
          <w:lang w:val="uk-UA"/>
        </w:rPr>
        <w:t>Уряд стверджував, що не було ніякого втручання у право першого та другого заявників</w:t>
      </w:r>
      <w:r w:rsidR="00D4256A" w:rsidRPr="000A38E5">
        <w:rPr>
          <w:lang w:val="ru-RU"/>
        </w:rPr>
        <w:t xml:space="preserve"> </w:t>
      </w:r>
      <w:r w:rsidR="00D4256A" w:rsidRPr="000A38E5">
        <w:rPr>
          <w:lang w:val="uk-UA"/>
        </w:rPr>
        <w:t>на свободу мирного зібрання</w:t>
      </w:r>
      <w:r w:rsidR="00D4256A" w:rsidRPr="000A38E5">
        <w:rPr>
          <w:lang w:val="ru-RU"/>
        </w:rPr>
        <w:t xml:space="preserve">. </w:t>
      </w:r>
      <w:r w:rsidR="00D4256A" w:rsidRPr="000A38E5">
        <w:rPr>
          <w:lang w:val="uk-UA"/>
        </w:rPr>
        <w:t>У національних органах влади ці заявники пояснили свою присутність</w:t>
      </w:r>
      <w:r w:rsidR="00D4256A" w:rsidRPr="000A38E5">
        <w:rPr>
          <w:lang w:val="ru-RU"/>
        </w:rPr>
        <w:t xml:space="preserve"> </w:t>
      </w:r>
      <w:r w:rsidR="00D4256A" w:rsidRPr="000A38E5">
        <w:rPr>
          <w:lang w:val="uk-UA"/>
        </w:rPr>
        <w:t>на місці подій цікавістю,</w:t>
      </w:r>
      <w:r w:rsidR="00D4256A" w:rsidRPr="000A38E5">
        <w:rPr>
          <w:lang w:val="ru-RU"/>
        </w:rPr>
        <w:t xml:space="preserve"> </w:t>
      </w:r>
      <w:r w:rsidR="00D4256A" w:rsidRPr="000A38E5">
        <w:rPr>
          <w:lang w:val="uk-UA"/>
        </w:rPr>
        <w:t>а не бажанням висловити свою позицію шляхом участі у протесті</w:t>
      </w:r>
      <w:r w:rsidR="00D4256A" w:rsidRPr="000A38E5">
        <w:rPr>
          <w:lang w:val="ru-RU"/>
        </w:rPr>
        <w:t xml:space="preserve">. </w:t>
      </w:r>
      <w:r w:rsidR="00D4256A" w:rsidRPr="000A38E5">
        <w:rPr>
          <w:lang w:val="uk-UA"/>
        </w:rPr>
        <w:t xml:space="preserve">Уряд </w:t>
      </w:r>
      <w:r w:rsidR="00D4256A" w:rsidRPr="000A38E5">
        <w:rPr>
          <w:lang w:val="uk-UA"/>
        </w:rPr>
        <w:lastRenderedPageBreak/>
        <w:t>посилався на твердження заявників у міліції 28 травня</w:t>
      </w:r>
      <w:r w:rsidR="00D4256A" w:rsidRPr="000A38E5">
        <w:rPr>
          <w:lang w:val="ru-RU"/>
        </w:rPr>
        <w:t xml:space="preserve"> 2010 </w:t>
      </w:r>
      <w:r w:rsidR="00D4256A" w:rsidRPr="000A38E5">
        <w:rPr>
          <w:lang w:val="uk-UA"/>
        </w:rPr>
        <w:t>року та в районному суді про те, що вони лише проходили повз</w:t>
      </w:r>
      <w:r w:rsidR="00D4256A" w:rsidRPr="000A38E5">
        <w:rPr>
          <w:lang w:val="ru-RU"/>
        </w:rPr>
        <w:t xml:space="preserve"> </w:t>
      </w:r>
      <w:r w:rsidR="00D4256A" w:rsidRPr="000A38E5">
        <w:rPr>
          <w:lang w:val="uk-UA"/>
        </w:rPr>
        <w:t>місце події та підійшли до нього через цікавість</w:t>
      </w:r>
      <w:r w:rsidR="00D4256A" w:rsidRPr="000A38E5">
        <w:rPr>
          <w:lang w:val="ru-RU"/>
        </w:rPr>
        <w:t xml:space="preserve"> (</w:t>
      </w:r>
      <w:r w:rsidR="00D4256A" w:rsidRPr="000A38E5">
        <w:rPr>
          <w:lang w:val="uk-UA"/>
        </w:rPr>
        <w:t>див. пункти</w:t>
      </w:r>
      <w:r w:rsidR="00D4256A" w:rsidRPr="000A38E5">
        <w:rPr>
          <w:lang w:val="ru-RU"/>
        </w:rPr>
        <w:t xml:space="preserve"> </w:t>
      </w:r>
      <w:fldSimple w:instr=" REF first_applicant_statement_to_police \h  \* MERGEFORMAT ">
        <w:r w:rsidR="00D4256A" w:rsidRPr="000A38E5">
          <w:rPr>
            <w:noProof/>
            <w:lang w:val="ru-RU"/>
          </w:rPr>
          <w:t>46</w:t>
        </w:r>
      </w:fldSimple>
      <w:r w:rsidR="00D4256A" w:rsidRPr="000A38E5">
        <w:rPr>
          <w:lang w:val="ru-RU"/>
        </w:rPr>
        <w:t xml:space="preserve">, </w:t>
      </w:r>
      <w:fldSimple w:instr=" REF second_applicant_statement_to_police \h  \* MERGEFORMAT ">
        <w:r w:rsidR="00D4256A" w:rsidRPr="000A38E5">
          <w:rPr>
            <w:noProof/>
            <w:lang w:val="ru-RU"/>
          </w:rPr>
          <w:t>47</w:t>
        </w:r>
      </w:fldSimple>
      <w:r w:rsidR="00D4256A" w:rsidRPr="000A38E5">
        <w:rPr>
          <w:lang w:val="ru-RU"/>
        </w:rPr>
        <w:t xml:space="preserve">, </w:t>
      </w:r>
      <w:fldSimple w:instr=" REF first_applicant_statement_in_court \h  \* MERGEFORMAT ">
        <w:r w:rsidR="00D4256A" w:rsidRPr="000A38E5">
          <w:rPr>
            <w:noProof/>
            <w:lang w:val="ru-RU"/>
          </w:rPr>
          <w:t>52</w:t>
        </w:r>
      </w:fldSimple>
      <w:r w:rsidR="00D4256A" w:rsidRPr="000A38E5">
        <w:rPr>
          <w:lang w:val="ru-RU"/>
        </w:rPr>
        <w:t xml:space="preserve"> </w:t>
      </w:r>
      <w:r w:rsidR="00D4256A" w:rsidRPr="000A38E5">
        <w:rPr>
          <w:lang w:val="uk-UA"/>
        </w:rPr>
        <w:t>та</w:t>
      </w:r>
      <w:r w:rsidR="00D4256A" w:rsidRPr="000A38E5">
        <w:rPr>
          <w:lang w:val="ru-RU"/>
        </w:rPr>
        <w:t xml:space="preserve"> </w:t>
      </w:r>
      <w:fldSimple w:instr=" REF second_applicant_statement_in_court \h  \* MERGEFORMAT ">
        <w:r w:rsidR="00D4256A" w:rsidRPr="000A38E5">
          <w:rPr>
            <w:noProof/>
            <w:lang w:val="ru-RU"/>
          </w:rPr>
          <w:t>53</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Уряд підкреслив, що на відміну від таких справ, як</w:t>
      </w:r>
      <w:r w:rsidR="00D4256A" w:rsidRPr="000A38E5">
        <w:rPr>
          <w:lang w:val="ru-RU"/>
        </w:rPr>
        <w:t xml:space="preserve"> </w:t>
      </w:r>
      <w:proofErr w:type="spellStart"/>
      <w:r w:rsidR="00D4256A" w:rsidRPr="000A38E5">
        <w:rPr>
          <w:i/>
        </w:rPr>
        <w:t>Galstyan</w:t>
      </w:r>
      <w:proofErr w:type="spellEnd"/>
      <w:r w:rsidR="00D4256A" w:rsidRPr="000A38E5">
        <w:rPr>
          <w:i/>
          <w:lang w:val="ru-RU"/>
        </w:rPr>
        <w:t xml:space="preserve"> </w:t>
      </w:r>
      <w:r w:rsidR="00D4256A" w:rsidRPr="000A38E5">
        <w:rPr>
          <w:i/>
        </w:rPr>
        <w:t>v</w:t>
      </w:r>
      <w:r w:rsidR="00D4256A" w:rsidRPr="000A38E5">
        <w:rPr>
          <w:i/>
          <w:lang w:val="ru-RU"/>
        </w:rPr>
        <w:t>.</w:t>
      </w:r>
      <w:r w:rsidR="00D4256A" w:rsidRPr="000A38E5">
        <w:rPr>
          <w:i/>
        </w:rPr>
        <w:t> Armenia</w:t>
      </w:r>
      <w:r w:rsidR="00D4256A" w:rsidRPr="000A38E5">
        <w:rPr>
          <w:lang w:val="ru-RU"/>
        </w:rPr>
        <w:t xml:space="preserve"> (</w:t>
      </w:r>
      <w:r w:rsidR="00D4256A" w:rsidRPr="000A38E5">
        <w:rPr>
          <w:lang w:val="uk-UA"/>
        </w:rPr>
        <w:t>№</w:t>
      </w:r>
      <w:r w:rsidR="00D4256A" w:rsidRPr="000A38E5">
        <w:t> </w:t>
      </w:r>
      <w:r w:rsidR="00D4256A" w:rsidRPr="000A38E5">
        <w:rPr>
          <w:lang w:val="ru-RU"/>
        </w:rPr>
        <w:t xml:space="preserve">26986/03, §§ 100 </w:t>
      </w:r>
      <w:r w:rsidR="00D4256A" w:rsidRPr="000A38E5">
        <w:rPr>
          <w:lang w:val="uk-UA"/>
        </w:rPr>
        <w:t>та</w:t>
      </w:r>
      <w:r w:rsidR="00D4256A" w:rsidRPr="000A38E5">
        <w:rPr>
          <w:lang w:val="ru-RU"/>
        </w:rPr>
        <w:t xml:space="preserve"> 116, 15 </w:t>
      </w:r>
      <w:r w:rsidR="00D4256A" w:rsidRPr="000A38E5">
        <w:rPr>
          <w:lang w:val="uk-UA"/>
        </w:rPr>
        <w:t>листопада</w:t>
      </w:r>
      <w:r w:rsidR="00D4256A" w:rsidRPr="000A38E5">
        <w:rPr>
          <w:lang w:val="ru-RU"/>
        </w:rPr>
        <w:t xml:space="preserve"> 2007</w:t>
      </w:r>
      <w:r w:rsidR="00D4256A" w:rsidRPr="000A38E5">
        <w:rPr>
          <w:lang w:val="uk-UA"/>
        </w:rPr>
        <w:t xml:space="preserve"> року)</w:t>
      </w:r>
      <w:r w:rsidR="00D4256A" w:rsidRPr="000A38E5">
        <w:rPr>
          <w:lang w:val="ru-RU"/>
        </w:rPr>
        <w:t xml:space="preserve">, </w:t>
      </w:r>
      <w:r w:rsidR="00D4256A" w:rsidRPr="000A38E5">
        <w:rPr>
          <w:lang w:val="uk-UA"/>
        </w:rPr>
        <w:t>в якій національні органи влади покарали заявника за його поводження в ході</w:t>
      </w:r>
      <w:r w:rsidR="00D4256A" w:rsidRPr="000A38E5">
        <w:rPr>
          <w:lang w:val="ru-RU"/>
        </w:rPr>
        <w:t xml:space="preserve"> </w:t>
      </w:r>
      <w:r w:rsidR="00D4256A" w:rsidRPr="000A38E5">
        <w:rPr>
          <w:lang w:val="uk-UA"/>
        </w:rPr>
        <w:t>демонстрації</w:t>
      </w:r>
      <w:r w:rsidR="00D4256A" w:rsidRPr="000A38E5">
        <w:rPr>
          <w:lang w:val="ru-RU"/>
        </w:rPr>
        <w:t xml:space="preserve">, </w:t>
      </w:r>
      <w:r w:rsidR="00D4256A" w:rsidRPr="000A38E5">
        <w:rPr>
          <w:lang w:val="uk-UA"/>
        </w:rPr>
        <w:t>в даній справі національні органи влади посилалися не на участь заявників</w:t>
      </w:r>
      <w:r w:rsidR="00D4256A" w:rsidRPr="000A38E5">
        <w:rPr>
          <w:lang w:val="ru-RU"/>
        </w:rPr>
        <w:t xml:space="preserve"> </w:t>
      </w:r>
      <w:r w:rsidR="00D4256A" w:rsidRPr="000A38E5">
        <w:rPr>
          <w:lang w:val="uk-UA"/>
        </w:rPr>
        <w:t>у зібранні, а лише на їх відмову виконати накази міліціонерів</w:t>
      </w:r>
      <w:r w:rsidR="00D4256A" w:rsidRPr="000A38E5">
        <w:rPr>
          <w:lang w:val="ru-RU"/>
        </w:rPr>
        <w:t xml:space="preserve">. </w:t>
      </w:r>
      <w:r w:rsidR="00D4256A" w:rsidRPr="000A38E5">
        <w:rPr>
          <w:lang w:val="uk-UA"/>
        </w:rPr>
        <w:t>Таким чином, ані твердження заявників у національних органах влади, ані будь-які рішення,</w:t>
      </w:r>
      <w:r w:rsidR="00D4256A" w:rsidRPr="000A38E5">
        <w:rPr>
          <w:lang w:val="ru-RU"/>
        </w:rPr>
        <w:t xml:space="preserve"> </w:t>
      </w:r>
      <w:r w:rsidR="00D4256A" w:rsidRPr="000A38E5">
        <w:rPr>
          <w:lang w:val="uk-UA"/>
        </w:rPr>
        <w:t>прийняті цими органами влади, не посилалися на їх участь у зібранні</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199</w:t>
      </w:r>
      <w:r w:rsidRPr="000A38E5">
        <w:fldChar w:fldCharType="end"/>
      </w:r>
      <w:r w:rsidR="00D4256A" w:rsidRPr="000A38E5">
        <w:rPr>
          <w:lang w:val="ru-RU"/>
        </w:rPr>
        <w:t>.</w:t>
      </w:r>
      <w:r w:rsidR="00D4256A" w:rsidRPr="00E93710">
        <w:rPr>
          <w:lang w:val="ru-RU"/>
        </w:rPr>
        <w:t xml:space="preserve"> </w:t>
      </w:r>
      <w:r w:rsidR="00D4256A" w:rsidRPr="000A38E5">
        <w:rPr>
          <w:lang w:val="uk-UA"/>
        </w:rPr>
        <w:t>Уряд погодився, що мало місце втручання у право заявників з третього до шостого на свободу мирних зібрань,</w:t>
      </w:r>
      <w:r w:rsidR="00D4256A" w:rsidRPr="000A38E5">
        <w:rPr>
          <w:lang w:val="ru-RU"/>
        </w:rPr>
        <w:t xml:space="preserve"> </w:t>
      </w:r>
      <w:r w:rsidR="00D4256A" w:rsidRPr="000A38E5">
        <w:rPr>
          <w:lang w:val="uk-UA"/>
        </w:rPr>
        <w:t>але стверджував, що воно відповідало вимогам статті</w:t>
      </w:r>
      <w:r w:rsidR="00D4256A" w:rsidRPr="000A38E5">
        <w:t> </w:t>
      </w:r>
      <w:r w:rsidR="00D4256A" w:rsidRPr="000A38E5">
        <w:rPr>
          <w:lang w:val="ru-RU"/>
        </w:rPr>
        <w:t>11</w:t>
      </w:r>
      <w:r w:rsidR="00D4256A" w:rsidRPr="000A38E5">
        <w:t> </w:t>
      </w:r>
      <w:r w:rsidR="00D4256A" w:rsidRPr="000A38E5">
        <w:rPr>
          <w:lang w:val="ru-RU"/>
        </w:rPr>
        <w:t xml:space="preserve">§ 2. </w:t>
      </w:r>
      <w:r w:rsidR="00D4256A" w:rsidRPr="000A38E5">
        <w:rPr>
          <w:lang w:val="uk-UA"/>
        </w:rPr>
        <w:t>Втручання було законним, на основі статті</w:t>
      </w:r>
      <w:r w:rsidR="00D4256A" w:rsidRPr="000A38E5">
        <w:rPr>
          <w:lang w:val="ru-RU"/>
        </w:rPr>
        <w:t xml:space="preserve"> 185 </w:t>
      </w:r>
      <w:r w:rsidR="00D4256A" w:rsidRPr="000A38E5">
        <w:rPr>
          <w:lang w:val="uk-UA"/>
        </w:rPr>
        <w:t>Кодексу адміністративних правопорушень</w:t>
      </w:r>
      <w:r w:rsidR="00D4256A" w:rsidRPr="000A38E5">
        <w:rPr>
          <w:lang w:val="ru-RU"/>
        </w:rPr>
        <w:t xml:space="preserve">. </w:t>
      </w:r>
      <w:r w:rsidR="00D4256A" w:rsidRPr="000A38E5">
        <w:rPr>
          <w:lang w:val="uk-UA"/>
        </w:rPr>
        <w:t>Воно переслідувало законну мету захисту здоров’я</w:t>
      </w:r>
      <w:r w:rsidR="00D4256A" w:rsidRPr="000A38E5">
        <w:rPr>
          <w:lang w:val="ru-RU"/>
        </w:rPr>
        <w:t xml:space="preserve"> </w:t>
      </w:r>
      <w:r w:rsidR="00D4256A" w:rsidRPr="000A38E5">
        <w:rPr>
          <w:lang w:val="uk-UA"/>
        </w:rPr>
        <w:t>протестуючих та робітників, залучених до будівельних робіт</w:t>
      </w:r>
      <w:r w:rsidR="00D4256A" w:rsidRPr="000A38E5">
        <w:rPr>
          <w:lang w:val="ru-RU"/>
        </w:rPr>
        <w:t xml:space="preserve">: </w:t>
      </w:r>
      <w:r w:rsidR="00D4256A" w:rsidRPr="000A38E5">
        <w:rPr>
          <w:lang w:val="uk-UA"/>
        </w:rPr>
        <w:t>перебуваючи на місці будівництва, заявники з третього до шостого</w:t>
      </w:r>
      <w:r w:rsidR="00D4256A" w:rsidRPr="000A38E5">
        <w:rPr>
          <w:lang w:val="ru-RU"/>
        </w:rPr>
        <w:t xml:space="preserve"> </w:t>
      </w:r>
      <w:r w:rsidR="00D4256A" w:rsidRPr="000A38E5">
        <w:rPr>
          <w:lang w:val="uk-UA"/>
        </w:rPr>
        <w:t>втручалися у будівельні роботи</w:t>
      </w:r>
      <w:r w:rsidR="00D4256A" w:rsidRPr="000A38E5">
        <w:rPr>
          <w:lang w:val="ru-RU"/>
        </w:rPr>
        <w:t xml:space="preserve"> </w:t>
      </w:r>
      <w:r w:rsidR="00D4256A" w:rsidRPr="000A38E5">
        <w:rPr>
          <w:lang w:val="uk-UA"/>
        </w:rPr>
        <w:t>та ставили під загрозу своє життя та життя інших осіб</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200</w:t>
      </w:r>
      <w:r w:rsidRPr="000A38E5">
        <w:fldChar w:fldCharType="end"/>
      </w:r>
      <w:r w:rsidR="00D4256A" w:rsidRPr="000A38E5">
        <w:rPr>
          <w:lang w:val="ru-RU"/>
        </w:rPr>
        <w:t>.</w:t>
      </w:r>
      <w:r w:rsidR="00D4256A" w:rsidRPr="00E93710">
        <w:rPr>
          <w:lang w:val="ru-RU"/>
        </w:rPr>
        <w:t xml:space="preserve"> </w:t>
      </w:r>
      <w:r w:rsidR="00D4256A" w:rsidRPr="000A38E5">
        <w:rPr>
          <w:lang w:val="uk-UA"/>
        </w:rPr>
        <w:t>Втручання також було необхідним у демократичному суспільстві та пропорційним</w:t>
      </w:r>
      <w:r w:rsidR="00D4256A" w:rsidRPr="000A38E5">
        <w:rPr>
          <w:lang w:val="ru-RU"/>
        </w:rPr>
        <w:t xml:space="preserve">: </w:t>
      </w:r>
      <w:r w:rsidR="00D4256A" w:rsidRPr="000A38E5">
        <w:rPr>
          <w:lang w:val="uk-UA"/>
        </w:rPr>
        <w:t>воно було необхідним через те, що заявники обрали</w:t>
      </w:r>
      <w:r w:rsidR="00D4256A" w:rsidRPr="000A38E5">
        <w:rPr>
          <w:lang w:val="ru-RU"/>
        </w:rPr>
        <w:t xml:space="preserve"> </w:t>
      </w:r>
      <w:r w:rsidR="00D4256A" w:rsidRPr="000A38E5">
        <w:rPr>
          <w:lang w:val="uk-UA"/>
        </w:rPr>
        <w:t>незаконну поведінку незважаючи на те, що мали можливості</w:t>
      </w:r>
      <w:r w:rsidR="00D4256A" w:rsidRPr="000A38E5">
        <w:rPr>
          <w:lang w:val="ru-RU"/>
        </w:rPr>
        <w:t xml:space="preserve"> </w:t>
      </w:r>
      <w:r w:rsidR="00D4256A" w:rsidRPr="000A38E5">
        <w:rPr>
          <w:lang w:val="uk-UA"/>
        </w:rPr>
        <w:t>висловити свої заперечення проти проекту будівництва, не ставлячи своє життя під загрозу</w:t>
      </w:r>
      <w:r w:rsidR="00D4256A" w:rsidRPr="000A38E5">
        <w:rPr>
          <w:lang w:val="ru-RU"/>
        </w:rPr>
        <w:t xml:space="preserve">. </w:t>
      </w:r>
      <w:r w:rsidR="00D4256A" w:rsidRPr="000A38E5">
        <w:rPr>
          <w:lang w:val="uk-UA"/>
        </w:rPr>
        <w:t>Питання будівництва дороги виникло не раптово, а було результатом</w:t>
      </w:r>
      <w:r w:rsidR="00D4256A" w:rsidRPr="000A38E5">
        <w:rPr>
          <w:lang w:val="ru-RU"/>
        </w:rPr>
        <w:t xml:space="preserve"> </w:t>
      </w:r>
      <w:r w:rsidR="00D4256A" w:rsidRPr="000A38E5">
        <w:rPr>
          <w:lang w:val="uk-UA"/>
        </w:rPr>
        <w:t>довгострокового процесу</w:t>
      </w:r>
      <w:r w:rsidR="00D4256A" w:rsidRPr="000A38E5">
        <w:rPr>
          <w:lang w:val="ru-RU"/>
        </w:rPr>
        <w:t xml:space="preserve">: </w:t>
      </w:r>
      <w:r w:rsidR="00D4256A" w:rsidRPr="000A38E5">
        <w:rPr>
          <w:lang w:val="uk-UA"/>
        </w:rPr>
        <w:t>будівництво дороги передбачалося Планом міського розвитку</w:t>
      </w:r>
      <w:r w:rsidR="00D4256A" w:rsidRPr="000A38E5">
        <w:rPr>
          <w:lang w:val="ru-RU"/>
        </w:rPr>
        <w:t xml:space="preserve">, </w:t>
      </w:r>
      <w:r w:rsidR="00D4256A" w:rsidRPr="000A38E5">
        <w:rPr>
          <w:lang w:val="uk-UA"/>
        </w:rPr>
        <w:t>ухваленим ще 23 червня</w:t>
      </w:r>
      <w:r w:rsidR="00D4256A" w:rsidRPr="000A38E5">
        <w:rPr>
          <w:lang w:val="ru-RU"/>
        </w:rPr>
        <w:t xml:space="preserve"> 2004 року (</w:t>
      </w:r>
      <w:r w:rsidR="00D4256A" w:rsidRPr="000A38E5">
        <w:rPr>
          <w:lang w:val="uk-UA"/>
        </w:rPr>
        <w:t>див. пункт</w:t>
      </w:r>
      <w:r w:rsidR="00D4256A" w:rsidRPr="000A38E5">
        <w:rPr>
          <w:lang w:val="ru-RU"/>
        </w:rPr>
        <w:t xml:space="preserve"> </w:t>
      </w:r>
      <w:fldSimple w:instr=" REF Urban_Development_Plan_2004 \h  \* MERGEFORMAT ">
        <w:r w:rsidR="00D4256A" w:rsidRPr="000A38E5">
          <w:rPr>
            <w:noProof/>
            <w:lang w:val="ru-RU"/>
          </w:rPr>
          <w:t>10</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Заявники мали щонайменше дві можливості висловити свою позицію</w:t>
      </w:r>
      <w:r w:rsidR="00D4256A" w:rsidRPr="000A38E5">
        <w:rPr>
          <w:lang w:val="ru-RU"/>
        </w:rPr>
        <w:t xml:space="preserve">: </w:t>
      </w:r>
      <w:r w:rsidR="00D4256A" w:rsidRPr="000A38E5">
        <w:rPr>
          <w:lang w:val="uk-UA"/>
        </w:rPr>
        <w:t>на громадській консультації, присвяченій Плану міського розвитку</w:t>
      </w:r>
      <w:r w:rsidR="00D4256A" w:rsidRPr="000A38E5">
        <w:rPr>
          <w:lang w:val="ru-RU"/>
        </w:rPr>
        <w:t xml:space="preserve"> </w:t>
      </w:r>
      <w:r w:rsidR="00D4256A" w:rsidRPr="000A38E5">
        <w:rPr>
          <w:lang w:val="uk-UA"/>
        </w:rPr>
        <w:t>та після публікації інформації про план будівництва дороги у</w:t>
      </w:r>
      <w:r w:rsidR="00D4256A" w:rsidRPr="000A38E5">
        <w:rPr>
          <w:lang w:val="ru-RU"/>
        </w:rPr>
        <w:t xml:space="preserve"> 2007 р. (</w:t>
      </w:r>
      <w:r w:rsidR="00D4256A" w:rsidRPr="000A38E5">
        <w:rPr>
          <w:lang w:val="uk-UA"/>
        </w:rPr>
        <w:t>див. пункти</w:t>
      </w:r>
      <w:r w:rsidR="00D4256A" w:rsidRPr="000A38E5">
        <w:rPr>
          <w:lang w:val="ru-RU"/>
        </w:rPr>
        <w:t xml:space="preserve"> </w:t>
      </w:r>
      <w:fldSimple w:instr=" REF Urban_Development_Plan_2004 \h  \* MERGEFORMAT ">
        <w:r w:rsidR="00D4256A" w:rsidRPr="000A38E5">
          <w:rPr>
            <w:noProof/>
            <w:lang w:val="ru-RU"/>
          </w:rPr>
          <w:t>10</w:t>
        </w:r>
      </w:fldSimple>
      <w:r w:rsidR="00D4256A" w:rsidRPr="000A38E5">
        <w:rPr>
          <w:lang w:val="ru-RU"/>
        </w:rPr>
        <w:t xml:space="preserve"> </w:t>
      </w:r>
      <w:r w:rsidR="00D4256A" w:rsidRPr="000A38E5">
        <w:rPr>
          <w:lang w:val="uk-UA"/>
        </w:rPr>
        <w:t>та</w:t>
      </w:r>
      <w:r w:rsidR="00D4256A" w:rsidRPr="000A38E5">
        <w:rPr>
          <w:lang w:val="ru-RU"/>
        </w:rPr>
        <w:t xml:space="preserve"> </w:t>
      </w:r>
      <w:fldSimple w:instr=" REF publication_2010 \h  \* MERGEFORMAT ">
        <w:r w:rsidR="00D4256A" w:rsidRPr="000A38E5">
          <w:rPr>
            <w:noProof/>
            <w:lang w:val="ru-RU"/>
          </w:rPr>
          <w:t>16</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Оскільки більшість протестуючих здійсняла активні дії з захисту навколишнього середовища</w:t>
      </w:r>
      <w:r w:rsidR="00D4256A" w:rsidRPr="000A38E5">
        <w:rPr>
          <w:lang w:val="ru-RU"/>
        </w:rPr>
        <w:t xml:space="preserve">, </w:t>
      </w:r>
      <w:r w:rsidR="00D4256A" w:rsidRPr="000A38E5">
        <w:rPr>
          <w:lang w:val="uk-UA"/>
        </w:rPr>
        <w:t>ця інформація була їм відома</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201</w:t>
      </w:r>
      <w:r w:rsidRPr="000A38E5">
        <w:fldChar w:fldCharType="end"/>
      </w:r>
      <w:r w:rsidR="00D4256A" w:rsidRPr="000A38E5">
        <w:rPr>
          <w:lang w:val="ru-RU"/>
        </w:rPr>
        <w:t>.</w:t>
      </w:r>
      <w:r w:rsidR="00D4256A" w:rsidRPr="00E93710">
        <w:rPr>
          <w:lang w:val="ru-RU"/>
        </w:rPr>
        <w:t xml:space="preserve"> </w:t>
      </w:r>
      <w:r w:rsidR="00D4256A" w:rsidRPr="000A38E5">
        <w:rPr>
          <w:lang w:val="uk-UA"/>
        </w:rPr>
        <w:t>Крім того, мали значення наступні фактори</w:t>
      </w:r>
      <w:r w:rsidR="00D4256A" w:rsidRPr="000A38E5">
        <w:rPr>
          <w:lang w:val="ru-RU"/>
        </w:rPr>
        <w:t>: (</w:t>
      </w:r>
      <w:proofErr w:type="spellStart"/>
      <w:r w:rsidR="00D4256A" w:rsidRPr="000A38E5">
        <w:t>i</w:t>
      </w:r>
      <w:proofErr w:type="spellEnd"/>
      <w:r w:rsidR="00D4256A" w:rsidRPr="000A38E5">
        <w:rPr>
          <w:lang w:val="ru-RU"/>
        </w:rPr>
        <w:t xml:space="preserve">) </w:t>
      </w:r>
      <w:r w:rsidR="00D4256A" w:rsidRPr="000A38E5">
        <w:rPr>
          <w:lang w:val="uk-UA"/>
        </w:rPr>
        <w:t>зона повалення дерев була позначена попереджуючою стрічкою</w:t>
      </w:r>
      <w:r w:rsidR="00D4256A" w:rsidRPr="000A38E5">
        <w:rPr>
          <w:lang w:val="ru-RU"/>
        </w:rPr>
        <w:t>; (</w:t>
      </w:r>
      <w:r w:rsidR="00D4256A" w:rsidRPr="000A38E5">
        <w:t>ii</w:t>
      </w:r>
      <w:r w:rsidR="00D4256A" w:rsidRPr="000A38E5">
        <w:rPr>
          <w:lang w:val="ru-RU"/>
        </w:rPr>
        <w:t xml:space="preserve">) </w:t>
      </w:r>
      <w:r w:rsidR="00D4256A" w:rsidRPr="000A38E5">
        <w:rPr>
          <w:lang w:val="uk-UA"/>
        </w:rPr>
        <w:t>повалення дерев здійснювалося у присутності міліції</w:t>
      </w:r>
      <w:r w:rsidR="00D4256A" w:rsidRPr="000A38E5">
        <w:rPr>
          <w:lang w:val="ru-RU"/>
        </w:rPr>
        <w:t>; (</w:t>
      </w:r>
      <w:r w:rsidR="00D4256A" w:rsidRPr="000A38E5">
        <w:t>iii</w:t>
      </w:r>
      <w:r w:rsidR="00D4256A" w:rsidRPr="000A38E5">
        <w:rPr>
          <w:lang w:val="ru-RU"/>
        </w:rPr>
        <w:t xml:space="preserve">) </w:t>
      </w:r>
      <w:r w:rsidR="00D4256A" w:rsidRPr="000A38E5">
        <w:rPr>
          <w:lang w:val="uk-UA"/>
        </w:rPr>
        <w:t>місце робіт декілька разів відвідували посадові особи,</w:t>
      </w:r>
      <w:r w:rsidR="00D4256A" w:rsidRPr="000A38E5">
        <w:rPr>
          <w:lang w:val="ru-RU"/>
        </w:rPr>
        <w:t xml:space="preserve"> </w:t>
      </w:r>
      <w:r w:rsidR="00D4256A" w:rsidRPr="000A38E5">
        <w:rPr>
          <w:lang w:val="uk-UA"/>
        </w:rPr>
        <w:t>які демонстрували протестуючим документи, що уповноважували будівельні роботи</w:t>
      </w:r>
      <w:r w:rsidR="00D4256A" w:rsidRPr="000A38E5">
        <w:rPr>
          <w:lang w:val="ru-RU"/>
        </w:rPr>
        <w:t xml:space="preserve">; </w:t>
      </w:r>
      <w:r w:rsidR="00D4256A" w:rsidRPr="000A38E5">
        <w:rPr>
          <w:lang w:val="uk-UA"/>
        </w:rPr>
        <w:t>та</w:t>
      </w:r>
      <w:r w:rsidR="00D4256A" w:rsidRPr="000A38E5">
        <w:rPr>
          <w:lang w:val="ru-RU"/>
        </w:rPr>
        <w:t xml:space="preserve"> (</w:t>
      </w:r>
      <w:r w:rsidR="00D4256A" w:rsidRPr="000A38E5">
        <w:t>iv</w:t>
      </w:r>
      <w:r w:rsidR="00D4256A" w:rsidRPr="000A38E5">
        <w:rPr>
          <w:lang w:val="ru-RU"/>
        </w:rPr>
        <w:t xml:space="preserve">) </w:t>
      </w:r>
      <w:r w:rsidR="00D4256A" w:rsidRPr="000A38E5">
        <w:rPr>
          <w:lang w:val="uk-UA"/>
        </w:rPr>
        <w:t>посадові особи неодноразово підкреслювали протестуючим,</w:t>
      </w:r>
      <w:r w:rsidR="00D4256A" w:rsidRPr="000A38E5">
        <w:rPr>
          <w:lang w:val="ru-RU"/>
        </w:rPr>
        <w:t xml:space="preserve"> </w:t>
      </w:r>
      <w:r w:rsidR="00D4256A" w:rsidRPr="000A38E5">
        <w:rPr>
          <w:lang w:val="uk-UA"/>
        </w:rPr>
        <w:t>що вони знаходилися в зоні будівельних робіт</w:t>
      </w:r>
      <w:r w:rsidR="00D4256A" w:rsidRPr="000A38E5">
        <w:rPr>
          <w:lang w:val="ru-RU"/>
        </w:rPr>
        <w:t xml:space="preserve">. </w:t>
      </w:r>
      <w:r w:rsidR="00D4256A" w:rsidRPr="000A38E5">
        <w:rPr>
          <w:lang w:val="uk-UA"/>
        </w:rPr>
        <w:t>Таким чином, протестуючі повинні були знати,</w:t>
      </w:r>
      <w:r w:rsidR="00D4256A" w:rsidRPr="000A38E5">
        <w:rPr>
          <w:lang w:val="ru-RU"/>
        </w:rPr>
        <w:t xml:space="preserve"> </w:t>
      </w:r>
      <w:r w:rsidR="00D4256A" w:rsidRPr="000A38E5">
        <w:rPr>
          <w:lang w:val="uk-UA"/>
        </w:rPr>
        <w:t>що знаходяться в області, де здійснювалися небезпечні дії</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202</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Санкції були застосовані лише до осіб, які постійно залишалися на місці</w:t>
      </w:r>
      <w:r w:rsidR="00D4256A" w:rsidRPr="000A38E5">
        <w:rPr>
          <w:lang w:val="ru-RU"/>
        </w:rPr>
        <w:t xml:space="preserve"> </w:t>
      </w:r>
      <w:r w:rsidR="00D4256A" w:rsidRPr="000A38E5">
        <w:rPr>
          <w:lang w:val="uk-UA"/>
        </w:rPr>
        <w:t>будівництва і таким чином ставили під загрозу своє життя та здоров’я</w:t>
      </w:r>
      <w:r w:rsidR="00D4256A" w:rsidRPr="000A38E5">
        <w:rPr>
          <w:lang w:val="ru-RU"/>
        </w:rPr>
        <w:t xml:space="preserve">. </w:t>
      </w:r>
      <w:r w:rsidR="00D4256A" w:rsidRPr="000A38E5">
        <w:rPr>
          <w:lang w:val="uk-UA"/>
        </w:rPr>
        <w:t>Ніякі санкції не були застосовані до протестуючих, які не втручалися</w:t>
      </w:r>
      <w:r w:rsidR="00D4256A" w:rsidRPr="000A38E5">
        <w:rPr>
          <w:lang w:val="ru-RU"/>
        </w:rPr>
        <w:t xml:space="preserve"> </w:t>
      </w:r>
      <w:r w:rsidR="00D4256A" w:rsidRPr="000A38E5">
        <w:rPr>
          <w:lang w:val="uk-UA"/>
        </w:rPr>
        <w:t>у дії робітників та не перешкоджали руху техніки</w:t>
      </w:r>
      <w:r w:rsidR="00D4256A" w:rsidRPr="000A38E5">
        <w:rPr>
          <w:lang w:val="ru-RU"/>
        </w:rPr>
        <w:t xml:space="preserve">. </w:t>
      </w:r>
      <w:r w:rsidR="00D4256A" w:rsidRPr="000A38E5">
        <w:rPr>
          <w:lang w:val="uk-UA"/>
        </w:rPr>
        <w:t>Зокрема, восьмий та десятий заявники та інші протестуючі були виправдані</w:t>
      </w:r>
      <w:r w:rsidR="00D4256A" w:rsidRPr="000A38E5">
        <w:rPr>
          <w:lang w:val="ru-RU"/>
        </w:rPr>
        <w:t xml:space="preserve">, </w:t>
      </w:r>
      <w:r w:rsidR="00D4256A" w:rsidRPr="000A38E5">
        <w:rPr>
          <w:lang w:val="uk-UA"/>
        </w:rPr>
        <w:t>оскільки суди не визнали доказів невиконання законних наказів міліції</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eight_applicant \h  \* MERGEFORMAT ">
        <w:r w:rsidR="00D4256A" w:rsidRPr="000A38E5">
          <w:rPr>
            <w:noProof/>
            <w:lang w:val="ru-RU"/>
          </w:rPr>
          <w:t>63</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Це демонструвало, що особи, які залишили місце після того, як їм на це вказали,</w:t>
      </w:r>
      <w:r w:rsidR="00D4256A" w:rsidRPr="000A38E5">
        <w:rPr>
          <w:lang w:val="ru-RU"/>
        </w:rPr>
        <w:t xml:space="preserve"> </w:t>
      </w:r>
      <w:r w:rsidR="00D4256A" w:rsidRPr="000A38E5">
        <w:rPr>
          <w:lang w:val="uk-UA"/>
        </w:rPr>
        <w:t>не були покарані</w:t>
      </w:r>
      <w:r w:rsidR="00D4256A" w:rsidRPr="000A38E5">
        <w:rPr>
          <w:lang w:val="ru-RU"/>
        </w:rPr>
        <w:t xml:space="preserve">. </w:t>
      </w:r>
      <w:r w:rsidR="00D4256A" w:rsidRPr="000A38E5">
        <w:rPr>
          <w:lang w:val="uk-UA"/>
        </w:rPr>
        <w:t>У цьому зв’язку Уряд відзначив принцип, визнаний у справі</w:t>
      </w:r>
      <w:r w:rsidR="00D4256A" w:rsidRPr="000A38E5">
        <w:rPr>
          <w:lang w:val="ru-RU"/>
        </w:rPr>
        <w:t xml:space="preserve"> </w:t>
      </w:r>
      <w:proofErr w:type="spellStart"/>
      <w:r w:rsidR="00D4256A" w:rsidRPr="000A38E5">
        <w:rPr>
          <w:i/>
        </w:rPr>
        <w:t>Ezelin</w:t>
      </w:r>
      <w:proofErr w:type="spellEnd"/>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France</w:t>
      </w:r>
      <w:r w:rsidR="00D4256A" w:rsidRPr="000A38E5">
        <w:rPr>
          <w:lang w:val="ru-RU"/>
        </w:rPr>
        <w:t xml:space="preserve"> (26 </w:t>
      </w:r>
      <w:r w:rsidR="00D4256A" w:rsidRPr="000A38E5">
        <w:rPr>
          <w:lang w:val="uk-UA"/>
        </w:rPr>
        <w:t>квітня</w:t>
      </w:r>
      <w:r w:rsidR="00D4256A" w:rsidRPr="000A38E5">
        <w:rPr>
          <w:lang w:val="ru-RU"/>
        </w:rPr>
        <w:t xml:space="preserve"> 1991, §</w:t>
      </w:r>
      <w:r w:rsidR="00D4256A" w:rsidRPr="000A38E5">
        <w:t> </w:t>
      </w:r>
      <w:r w:rsidR="00D4256A" w:rsidRPr="000A38E5">
        <w:rPr>
          <w:lang w:val="ru-RU"/>
        </w:rPr>
        <w:t xml:space="preserve">53, </w:t>
      </w:r>
      <w:r w:rsidR="00D4256A" w:rsidRPr="000A38E5">
        <w:rPr>
          <w:lang w:val="uk-UA"/>
        </w:rPr>
        <w:t>серія</w:t>
      </w:r>
      <w:r w:rsidR="00D4256A" w:rsidRPr="000A38E5">
        <w:rPr>
          <w:lang w:val="ru-RU"/>
        </w:rPr>
        <w:t xml:space="preserve"> </w:t>
      </w:r>
      <w:r w:rsidR="00D4256A" w:rsidRPr="000A38E5">
        <w:t>A</w:t>
      </w:r>
      <w:r w:rsidR="00D4256A" w:rsidRPr="000A38E5">
        <w:rPr>
          <w:lang w:val="ru-RU"/>
        </w:rPr>
        <w:t xml:space="preserve"> </w:t>
      </w:r>
      <w:r w:rsidR="00D4256A" w:rsidRPr="000A38E5">
        <w:rPr>
          <w:lang w:val="uk-UA"/>
        </w:rPr>
        <w:t>№</w:t>
      </w:r>
      <w:r w:rsidR="00D4256A" w:rsidRPr="000A38E5">
        <w:t> </w:t>
      </w:r>
      <w:r w:rsidR="00D4256A" w:rsidRPr="000A38E5">
        <w:rPr>
          <w:lang w:val="ru-RU"/>
        </w:rPr>
        <w:t xml:space="preserve">202), </w:t>
      </w:r>
      <w:r w:rsidR="00D4256A" w:rsidRPr="000A38E5">
        <w:rPr>
          <w:lang w:val="uk-UA"/>
        </w:rPr>
        <w:t>згідно з яким свобода приймати участь у мирному зібранні</w:t>
      </w:r>
      <w:r w:rsidR="00D4256A" w:rsidRPr="000A38E5">
        <w:rPr>
          <w:lang w:val="ru-RU"/>
        </w:rPr>
        <w:t xml:space="preserve"> </w:t>
      </w:r>
      <w:r w:rsidR="00D4256A" w:rsidRPr="000A38E5">
        <w:rPr>
          <w:lang w:val="uk-UA"/>
        </w:rPr>
        <w:t>не могла бути обмеженою до тих пір, поки відповідна особа сама не скоїть</w:t>
      </w:r>
      <w:r w:rsidR="00D4256A" w:rsidRPr="000A38E5">
        <w:rPr>
          <w:lang w:val="ru-RU"/>
        </w:rPr>
        <w:t xml:space="preserve"> «</w:t>
      </w:r>
      <w:r w:rsidR="00D4256A" w:rsidRPr="000A38E5">
        <w:rPr>
          <w:lang w:val="uk-UA"/>
        </w:rPr>
        <w:t>будь-яку дію, варту осуду</w:t>
      </w:r>
      <w:r w:rsidR="00D4256A" w:rsidRPr="000A38E5">
        <w:rPr>
          <w:lang w:val="ru-RU"/>
        </w:rPr>
        <w:t xml:space="preserve">». </w:t>
      </w:r>
      <w:r w:rsidR="00D4256A" w:rsidRPr="000A38E5">
        <w:rPr>
          <w:lang w:val="uk-UA"/>
        </w:rPr>
        <w:t>На думку Уряду, участь в акції протесту не могла виправдати скоєне заявниками правопорушення</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203</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Накладене покарання було пропорційним</w:t>
      </w:r>
      <w:r w:rsidR="00D4256A" w:rsidRPr="000A38E5">
        <w:rPr>
          <w:lang w:val="ru-RU"/>
        </w:rPr>
        <w:t xml:space="preserve">. </w:t>
      </w:r>
      <w:r w:rsidR="00D4256A" w:rsidRPr="000A38E5">
        <w:rPr>
          <w:lang w:val="uk-UA"/>
        </w:rPr>
        <w:t>Вчинені заявниками правопорушення були достатньо серйозними,</w:t>
      </w:r>
      <w:r w:rsidR="00D4256A" w:rsidRPr="000A38E5">
        <w:rPr>
          <w:lang w:val="ru-RU"/>
        </w:rPr>
        <w:t xml:space="preserve"> </w:t>
      </w:r>
      <w:r w:rsidR="00D4256A" w:rsidRPr="000A38E5">
        <w:rPr>
          <w:lang w:val="uk-UA"/>
        </w:rPr>
        <w:t>оскільки були спрямовані на підривання довіри до правоохоронних органів</w:t>
      </w:r>
      <w:r w:rsidR="00D4256A" w:rsidRPr="000A38E5">
        <w:rPr>
          <w:lang w:val="ru-RU"/>
        </w:rPr>
        <w:t xml:space="preserve">. </w:t>
      </w:r>
      <w:r w:rsidR="00D4256A" w:rsidRPr="000A38E5">
        <w:rPr>
          <w:lang w:val="uk-UA"/>
        </w:rPr>
        <w:t>На третього, четвертого та п’ятого заявників був накладений лише мінімальний штраф</w:t>
      </w:r>
      <w:r w:rsidR="00D4256A" w:rsidRPr="000A38E5">
        <w:rPr>
          <w:lang w:val="ru-RU"/>
        </w:rPr>
        <w:t xml:space="preserve">. </w:t>
      </w:r>
      <w:r w:rsidR="00D4256A" w:rsidRPr="000A38E5">
        <w:rPr>
          <w:lang w:val="uk-UA"/>
        </w:rPr>
        <w:t>Шостий заявник був засуджений до позбавлення волі строком на десять діб,</w:t>
      </w:r>
      <w:r w:rsidR="00D4256A" w:rsidRPr="000A38E5">
        <w:rPr>
          <w:lang w:val="ru-RU"/>
        </w:rPr>
        <w:t xml:space="preserve"> </w:t>
      </w:r>
      <w:r w:rsidR="00D4256A" w:rsidRPr="000A38E5">
        <w:rPr>
          <w:lang w:val="uk-UA"/>
        </w:rPr>
        <w:t>оскільки його дії були особливо зухвалими</w:t>
      </w:r>
      <w:r w:rsidR="00D4256A" w:rsidRPr="000A38E5">
        <w:rPr>
          <w:lang w:val="ru-RU"/>
        </w:rPr>
        <w:t xml:space="preserve">. </w:t>
      </w:r>
      <w:r w:rsidR="00D4256A" w:rsidRPr="000A38E5">
        <w:rPr>
          <w:lang w:val="uk-UA"/>
        </w:rPr>
        <w:t>Він демонстрував злісне невиконання наказів</w:t>
      </w:r>
      <w:r w:rsidR="00D4256A" w:rsidRPr="000A38E5">
        <w:rPr>
          <w:lang w:val="ru-RU"/>
        </w:rPr>
        <w:t xml:space="preserve"> </w:t>
      </w:r>
      <w:r w:rsidR="00D4256A" w:rsidRPr="000A38E5">
        <w:rPr>
          <w:lang w:val="uk-UA"/>
        </w:rPr>
        <w:t>покинути місце будівництва і міліція була змушена його видалити</w:t>
      </w:r>
      <w:r w:rsidR="00D4256A" w:rsidRPr="000A38E5">
        <w:rPr>
          <w:lang w:val="ru-RU"/>
        </w:rPr>
        <w:t xml:space="preserve">. </w:t>
      </w:r>
      <w:r w:rsidR="00D4256A" w:rsidRPr="000A38E5">
        <w:rPr>
          <w:lang w:val="uk-UA"/>
        </w:rPr>
        <w:t>Навіть після того, як заявник був видалений з місця будівництва</w:t>
      </w:r>
      <w:r w:rsidR="00D4256A" w:rsidRPr="000A38E5">
        <w:rPr>
          <w:lang w:val="ru-RU"/>
        </w:rPr>
        <w:t xml:space="preserve">, </w:t>
      </w:r>
      <w:r w:rsidR="00D4256A" w:rsidRPr="000A38E5">
        <w:rPr>
          <w:lang w:val="uk-UA"/>
        </w:rPr>
        <w:t>він оголосив, що повернеться</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sixth_app_trial \h  \* MERGEFORMAT ">
        <w:r w:rsidR="00D4256A" w:rsidRPr="000A38E5">
          <w:rPr>
            <w:noProof/>
            <w:lang w:val="ru-RU"/>
          </w:rPr>
          <w:t>65</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Ця повторювана непокора призвела до застосування більш серйозного покарання</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204</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Уряд повторив, що держава-відповідач не несла відповідальність</w:t>
      </w:r>
      <w:r w:rsidR="00D4256A" w:rsidRPr="000A38E5">
        <w:rPr>
          <w:lang w:val="ru-RU"/>
        </w:rPr>
        <w:t xml:space="preserve"> </w:t>
      </w:r>
      <w:r w:rsidR="00D4256A" w:rsidRPr="000A38E5">
        <w:rPr>
          <w:lang w:val="uk-UA"/>
        </w:rPr>
        <w:t xml:space="preserve">за </w:t>
      </w:r>
      <w:proofErr w:type="spellStart"/>
      <w:r w:rsidR="00D4256A" w:rsidRPr="000A38E5">
        <w:rPr>
          <w:lang w:val="uk-UA"/>
        </w:rPr>
        <w:t>стверджувані</w:t>
      </w:r>
      <w:proofErr w:type="spellEnd"/>
      <w:r w:rsidR="00D4256A" w:rsidRPr="000A38E5">
        <w:rPr>
          <w:lang w:val="uk-UA"/>
        </w:rPr>
        <w:t xml:space="preserve"> дії лісорубів</w:t>
      </w:r>
      <w:r w:rsidR="00D4256A" w:rsidRPr="000A38E5">
        <w:rPr>
          <w:lang w:val="ru-RU"/>
        </w:rPr>
        <w:t xml:space="preserve"> </w:t>
      </w:r>
      <w:r w:rsidR="00D4256A" w:rsidRPr="000A38E5">
        <w:rPr>
          <w:lang w:val="uk-UA"/>
        </w:rPr>
        <w:t xml:space="preserve">та працівників </w:t>
      </w:r>
      <w:proofErr w:type="spellStart"/>
      <w:r w:rsidR="00D4256A" w:rsidRPr="000A38E5">
        <w:rPr>
          <w:lang w:val="uk-UA"/>
        </w:rPr>
        <w:t>МО</w:t>
      </w:r>
      <w:proofErr w:type="spellEnd"/>
      <w:r w:rsidR="00D4256A" w:rsidRPr="000A38E5">
        <w:rPr>
          <w:lang w:val="ru-RU"/>
        </w:rPr>
        <w:t xml:space="preserve"> (</w:t>
      </w:r>
      <w:r w:rsidR="00D4256A" w:rsidRPr="000A38E5">
        <w:rPr>
          <w:lang w:val="uk-UA"/>
        </w:rPr>
        <w:t>див. пункти</w:t>
      </w:r>
      <w:r w:rsidR="00D4256A" w:rsidRPr="000A38E5">
        <w:rPr>
          <w:lang w:val="ru-RU"/>
        </w:rPr>
        <w:t xml:space="preserve"> </w:t>
      </w:r>
      <w:fldSimple w:instr=" REF Govt_employer_liability_domestic_law \h  \* MERGEFORMAT ">
        <w:r w:rsidR="00D4256A" w:rsidRPr="000A38E5">
          <w:rPr>
            <w:noProof/>
            <w:lang w:val="ru-RU"/>
          </w:rPr>
          <w:t>118</w:t>
        </w:r>
      </w:fldSimple>
      <w:r w:rsidR="00D4256A" w:rsidRPr="000A38E5">
        <w:rPr>
          <w:lang w:val="ru-RU"/>
        </w:rPr>
        <w:t xml:space="preserve"> </w:t>
      </w:r>
      <w:r w:rsidR="00D4256A" w:rsidRPr="000A38E5">
        <w:rPr>
          <w:lang w:val="uk-UA"/>
        </w:rPr>
        <w:t>та</w:t>
      </w:r>
      <w:r w:rsidR="00D4256A" w:rsidRPr="000A38E5">
        <w:rPr>
          <w:lang w:val="ru-RU"/>
        </w:rPr>
        <w:t xml:space="preserve"> </w:t>
      </w:r>
      <w:fldSimple w:instr=" REF Govt_yes_and_no \h  \* MERGEFORMAT ">
        <w:r w:rsidR="00D4256A" w:rsidRPr="000A38E5">
          <w:rPr>
            <w:noProof/>
            <w:lang w:val="ru-RU"/>
          </w:rPr>
          <w:t>119</w:t>
        </w:r>
      </w:fldSimple>
      <w:r w:rsidR="00D4256A" w:rsidRPr="000A38E5">
        <w:rPr>
          <w:lang w:val="ru-RU"/>
        </w:rPr>
        <w:t xml:space="preserve"> </w:t>
      </w:r>
      <w:r w:rsidR="00D4256A" w:rsidRPr="000A38E5">
        <w:rPr>
          <w:lang w:val="uk-UA"/>
        </w:rPr>
        <w:t>вище</w:t>
      </w:r>
      <w:r w:rsidR="00D4256A" w:rsidRPr="000A38E5">
        <w:rPr>
          <w:lang w:val="ru-RU"/>
        </w:rPr>
        <w:t>)</w:t>
      </w:r>
      <w:r w:rsidR="00D4256A" w:rsidRPr="000A38E5">
        <w:rPr>
          <w:lang w:val="uk-UA"/>
        </w:rPr>
        <w:t>,</w:t>
      </w:r>
      <w:r w:rsidR="00D4256A" w:rsidRPr="000A38E5">
        <w:rPr>
          <w:lang w:val="ru-RU"/>
        </w:rPr>
        <w:t xml:space="preserve"> </w:t>
      </w:r>
      <w:r w:rsidR="00D4256A" w:rsidRPr="000A38E5">
        <w:rPr>
          <w:lang w:val="uk-UA"/>
        </w:rPr>
        <w:t xml:space="preserve">і могла нести відповідальність лише </w:t>
      </w:r>
      <w:r w:rsidR="00D4256A" w:rsidRPr="000A38E5">
        <w:rPr>
          <w:lang w:val="uk-UA"/>
        </w:rPr>
        <w:lastRenderedPageBreak/>
        <w:t>у випадку продемонстрованої бездіяльності міліції</w:t>
      </w:r>
      <w:r w:rsidR="00D4256A" w:rsidRPr="000A38E5">
        <w:rPr>
          <w:lang w:val="ru-RU"/>
        </w:rPr>
        <w:t xml:space="preserve"> </w:t>
      </w:r>
      <w:r w:rsidR="00D4256A" w:rsidRPr="000A38E5">
        <w:rPr>
          <w:lang w:val="uk-UA"/>
        </w:rPr>
        <w:t>під час незаконних дій по відношенню до заявників</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205</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У цьому контексті Уряд підкреслив, що прокуратура</w:t>
      </w:r>
      <w:r w:rsidR="00D4256A" w:rsidRPr="000A38E5">
        <w:rPr>
          <w:lang w:val="ru-RU"/>
        </w:rPr>
        <w:t xml:space="preserve"> </w:t>
      </w:r>
      <w:r w:rsidR="00D4256A" w:rsidRPr="000A38E5">
        <w:rPr>
          <w:lang w:val="uk-UA"/>
        </w:rPr>
        <w:t>не знайшла складу злочину у діях міліціонерів,</w:t>
      </w:r>
      <w:r w:rsidR="00D4256A" w:rsidRPr="000A38E5">
        <w:rPr>
          <w:lang w:val="ru-RU"/>
        </w:rPr>
        <w:t xml:space="preserve"> </w:t>
      </w:r>
      <w:r w:rsidR="00D4256A" w:rsidRPr="000A38E5">
        <w:rPr>
          <w:lang w:val="uk-UA"/>
        </w:rPr>
        <w:t>і 24 травня</w:t>
      </w:r>
      <w:r w:rsidR="00D4256A" w:rsidRPr="000A38E5">
        <w:rPr>
          <w:lang w:val="ru-RU"/>
        </w:rPr>
        <w:t xml:space="preserve"> 2011 </w:t>
      </w:r>
      <w:r w:rsidR="00D4256A" w:rsidRPr="000A38E5">
        <w:rPr>
          <w:lang w:val="uk-UA"/>
        </w:rPr>
        <w:t>року адміністративний суд першої інстанції відхилив скаргу,</w:t>
      </w:r>
      <w:r w:rsidR="00D4256A" w:rsidRPr="000A38E5">
        <w:rPr>
          <w:lang w:val="ru-RU"/>
        </w:rPr>
        <w:t xml:space="preserve"> </w:t>
      </w:r>
      <w:r w:rsidR="00D4256A" w:rsidRPr="000A38E5">
        <w:rPr>
          <w:lang w:val="uk-UA"/>
        </w:rPr>
        <w:t xml:space="preserve">подану заявниками стосовно </w:t>
      </w:r>
      <w:proofErr w:type="spellStart"/>
      <w:r w:rsidR="00D4256A" w:rsidRPr="000A38E5">
        <w:rPr>
          <w:lang w:val="uk-UA"/>
        </w:rPr>
        <w:t>стверджуваної</w:t>
      </w:r>
      <w:proofErr w:type="spellEnd"/>
      <w:r w:rsidR="00D4256A" w:rsidRPr="000A38E5">
        <w:rPr>
          <w:lang w:val="uk-UA"/>
        </w:rPr>
        <w:t xml:space="preserve"> бездіяльності міліції</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admin_courts_first_instance_and_further \h  \* MERGEFORMAT ">
        <w:r w:rsidR="00D4256A" w:rsidRPr="000A38E5">
          <w:rPr>
            <w:noProof/>
            <w:lang w:val="ru-RU"/>
          </w:rPr>
          <w:t>91</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Ці перевірки встановили, що міліція здійснила усі доступні заходи</w:t>
      </w:r>
      <w:r w:rsidR="00D4256A" w:rsidRPr="000A38E5">
        <w:rPr>
          <w:lang w:val="ru-RU"/>
        </w:rPr>
        <w:t xml:space="preserve"> </w:t>
      </w:r>
      <w:r w:rsidR="00D4256A" w:rsidRPr="000A38E5">
        <w:rPr>
          <w:lang w:val="uk-UA"/>
        </w:rPr>
        <w:t>для підтримання закону та порядку у місці будівництва</w:t>
      </w:r>
      <w:r w:rsidR="00D4256A" w:rsidRPr="000A38E5">
        <w:rPr>
          <w:lang w:val="ru-RU"/>
        </w:rPr>
        <w:t xml:space="preserve">. </w:t>
      </w:r>
      <w:r w:rsidR="00D4256A" w:rsidRPr="000A38E5">
        <w:rPr>
          <w:lang w:val="uk-UA"/>
        </w:rPr>
        <w:t>Був складений план охорони громадського порядку, і кілька офіцерів були залучені до операції на постійній основі</w:t>
      </w:r>
      <w:r w:rsidR="00D4256A" w:rsidRPr="000A38E5">
        <w:rPr>
          <w:lang w:val="ru-RU"/>
        </w:rPr>
        <w:t xml:space="preserve">. </w:t>
      </w:r>
      <w:r w:rsidR="00D4256A" w:rsidRPr="000A38E5">
        <w:rPr>
          <w:lang w:val="uk-UA"/>
        </w:rPr>
        <w:t>Якщо б протестуючі належним чином повідомили органи влади</w:t>
      </w:r>
      <w:r w:rsidR="00D4256A" w:rsidRPr="000A38E5">
        <w:rPr>
          <w:lang w:val="ru-RU"/>
        </w:rPr>
        <w:t xml:space="preserve">, </w:t>
      </w:r>
      <w:r w:rsidR="00D4256A" w:rsidRPr="000A38E5">
        <w:rPr>
          <w:lang w:val="uk-UA"/>
        </w:rPr>
        <w:t>до цих офіцерів могли б додати ще кількох</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206</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Протестуючі мали можливість звернути увагу міліції на будь-які незаконні дії</w:t>
      </w:r>
      <w:r w:rsidR="00D4256A" w:rsidRPr="000A38E5">
        <w:rPr>
          <w:lang w:val="ru-RU"/>
        </w:rPr>
        <w:t xml:space="preserve"> </w:t>
      </w:r>
      <w:r w:rsidR="00D4256A" w:rsidRPr="000A38E5">
        <w:rPr>
          <w:lang w:val="uk-UA"/>
        </w:rPr>
        <w:t>шляхом прямого звернення до міліціонерів, присутніх на місці подій,</w:t>
      </w:r>
      <w:r w:rsidR="00D4256A" w:rsidRPr="000A38E5">
        <w:rPr>
          <w:lang w:val="ru-RU"/>
        </w:rPr>
        <w:t xml:space="preserve"> </w:t>
      </w:r>
      <w:r w:rsidR="00D4256A" w:rsidRPr="000A38E5">
        <w:rPr>
          <w:lang w:val="uk-UA"/>
        </w:rPr>
        <w:t>або телефоном за номером екстреної служби міліції</w:t>
      </w:r>
      <w:r w:rsidR="00D4256A" w:rsidRPr="000A38E5">
        <w:rPr>
          <w:lang w:val="ru-RU"/>
        </w:rPr>
        <w:t xml:space="preserve">. </w:t>
      </w:r>
      <w:r w:rsidR="00D4256A" w:rsidRPr="000A38E5">
        <w:rPr>
          <w:lang w:val="uk-UA"/>
        </w:rPr>
        <w:t>Вони це зробили, і міліція належним чином відреагувала на прохання про допомогу</w:t>
      </w:r>
      <w:r w:rsidR="00D4256A" w:rsidRPr="000A38E5">
        <w:rPr>
          <w:lang w:val="ru-RU"/>
        </w:rPr>
        <w:t xml:space="preserve">. </w:t>
      </w:r>
      <w:r w:rsidR="00D4256A" w:rsidRPr="000A38E5">
        <w:rPr>
          <w:lang w:val="uk-UA"/>
        </w:rPr>
        <w:t>З 20 травня до 6 червня</w:t>
      </w:r>
      <w:r w:rsidR="00D4256A" w:rsidRPr="000A38E5">
        <w:rPr>
          <w:lang w:val="ru-RU"/>
        </w:rPr>
        <w:t xml:space="preserve"> 2010 </w:t>
      </w:r>
      <w:r w:rsidR="00D4256A" w:rsidRPr="000A38E5">
        <w:rPr>
          <w:lang w:val="uk-UA"/>
        </w:rPr>
        <w:t>року міліція зареєструвала біля</w:t>
      </w:r>
      <w:r w:rsidR="00D4256A" w:rsidRPr="000A38E5">
        <w:rPr>
          <w:lang w:val="ru-RU"/>
        </w:rPr>
        <w:t xml:space="preserve"> 120 </w:t>
      </w:r>
      <w:r w:rsidR="00D4256A" w:rsidRPr="000A38E5">
        <w:rPr>
          <w:lang w:val="uk-UA"/>
        </w:rPr>
        <w:t xml:space="preserve">скарг та звітів стосовно </w:t>
      </w:r>
      <w:proofErr w:type="spellStart"/>
      <w:r w:rsidR="00D4256A" w:rsidRPr="000A38E5">
        <w:rPr>
          <w:lang w:val="uk-UA"/>
        </w:rPr>
        <w:t>стверджуваних</w:t>
      </w:r>
      <w:proofErr w:type="spellEnd"/>
      <w:r w:rsidR="00D4256A" w:rsidRPr="000A38E5">
        <w:rPr>
          <w:lang w:val="uk-UA"/>
        </w:rPr>
        <w:t xml:space="preserve"> порушень</w:t>
      </w:r>
      <w:r w:rsidR="00D4256A" w:rsidRPr="000A38E5">
        <w:rPr>
          <w:lang w:val="ru-RU"/>
        </w:rPr>
        <w:t xml:space="preserve"> </w:t>
      </w:r>
      <w:r w:rsidR="00D4256A" w:rsidRPr="000A38E5">
        <w:rPr>
          <w:lang w:val="uk-UA"/>
        </w:rPr>
        <w:t>громадського порядку на місці будівництва</w:t>
      </w:r>
      <w:r w:rsidR="00D4256A" w:rsidRPr="000A38E5">
        <w:rPr>
          <w:lang w:val="ru-RU"/>
        </w:rPr>
        <w:t xml:space="preserve">. </w:t>
      </w:r>
      <w:r w:rsidR="00D4256A" w:rsidRPr="000A38E5">
        <w:rPr>
          <w:lang w:val="uk-UA"/>
        </w:rPr>
        <w:t>Однак, хоча протестуючі стверджували, що на місці будівництва існували конфлікти</w:t>
      </w:r>
      <w:r w:rsidR="00D4256A" w:rsidRPr="000A38E5">
        <w:rPr>
          <w:lang w:val="ru-RU"/>
        </w:rPr>
        <w:t xml:space="preserve">, </w:t>
      </w:r>
      <w:r w:rsidR="00D4256A" w:rsidRPr="000A38E5">
        <w:rPr>
          <w:lang w:val="uk-UA"/>
        </w:rPr>
        <w:t>ніхто з них не назвав порушників або постраждалих</w:t>
      </w:r>
      <w:r w:rsidR="00D4256A" w:rsidRPr="000A38E5">
        <w:rPr>
          <w:lang w:val="ru-RU"/>
        </w:rPr>
        <w:t xml:space="preserve"> </w:t>
      </w:r>
      <w:r w:rsidR="00D4256A" w:rsidRPr="000A38E5">
        <w:rPr>
          <w:lang w:val="uk-UA"/>
        </w:rPr>
        <w:t>та не пояснив, у чому полягали конфлікти</w:t>
      </w:r>
      <w:r w:rsidR="00D4256A" w:rsidRPr="000A38E5">
        <w:rPr>
          <w:lang w:val="ru-RU"/>
        </w:rPr>
        <w:t xml:space="preserve">. </w:t>
      </w:r>
      <w:r w:rsidR="00D4256A" w:rsidRPr="000A38E5">
        <w:rPr>
          <w:lang w:val="uk-UA"/>
        </w:rPr>
        <w:t>Це призвело до рішення про відмову в порушенні кримінальної справи</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207</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Міліція здійснила заходи для стабілізації становища</w:t>
      </w:r>
      <w:r w:rsidR="00D4256A" w:rsidRPr="000A38E5">
        <w:rPr>
          <w:lang w:val="ru-RU"/>
        </w:rPr>
        <w:t xml:space="preserve"> </w:t>
      </w:r>
      <w:r w:rsidR="00D4256A" w:rsidRPr="000A38E5">
        <w:rPr>
          <w:lang w:val="uk-UA"/>
        </w:rPr>
        <w:t>та взяття його під контроль</w:t>
      </w:r>
      <w:r w:rsidR="00D4256A" w:rsidRPr="000A38E5">
        <w:rPr>
          <w:lang w:val="ru-RU"/>
        </w:rPr>
        <w:t xml:space="preserve">. </w:t>
      </w:r>
      <w:r w:rsidR="00D4256A" w:rsidRPr="000A38E5">
        <w:rPr>
          <w:lang w:val="uk-UA"/>
        </w:rPr>
        <w:t>Наприклад, за словами одного з протестуючих</w:t>
      </w:r>
      <w:r w:rsidR="00D4256A" w:rsidRPr="000A38E5">
        <w:rPr>
          <w:lang w:val="ru-RU"/>
        </w:rPr>
        <w:t xml:space="preserve">, </w:t>
      </w:r>
      <w:r w:rsidR="00D4256A" w:rsidRPr="000A38E5">
        <w:rPr>
          <w:lang w:val="uk-UA"/>
        </w:rPr>
        <w:t>в ході конфронтації 27 травня</w:t>
      </w:r>
      <w:r w:rsidR="00D4256A" w:rsidRPr="000A38E5">
        <w:rPr>
          <w:lang w:val="ru-RU"/>
        </w:rPr>
        <w:t xml:space="preserve"> </w:t>
      </w:r>
      <w:r w:rsidR="00D4256A" w:rsidRPr="000A38E5">
        <w:rPr>
          <w:lang w:val="uk-UA"/>
        </w:rPr>
        <w:t>між протестуючими та робітниками</w:t>
      </w:r>
      <w:r w:rsidR="00D4256A" w:rsidRPr="000A38E5">
        <w:rPr>
          <w:lang w:val="ru-RU"/>
        </w:rPr>
        <w:t xml:space="preserve">, </w:t>
      </w:r>
      <w:r w:rsidR="00D4256A" w:rsidRPr="000A38E5">
        <w:rPr>
          <w:lang w:val="uk-UA"/>
        </w:rPr>
        <w:t>майор міліції встав між двома сторонами</w:t>
      </w:r>
      <w:r w:rsidR="00D4256A" w:rsidRPr="000A38E5">
        <w:rPr>
          <w:lang w:val="ru-RU"/>
        </w:rPr>
        <w:t xml:space="preserve">, </w:t>
      </w:r>
      <w:r w:rsidR="00D4256A" w:rsidRPr="000A38E5">
        <w:rPr>
          <w:lang w:val="uk-UA"/>
        </w:rPr>
        <w:t>наказавши протестуючим розійтися, що вони й зробили</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208</w:t>
      </w:r>
      <w:r w:rsidRPr="000A38E5">
        <w:fldChar w:fldCharType="end"/>
      </w:r>
      <w:r w:rsidR="00D4256A" w:rsidRPr="000A38E5">
        <w:rPr>
          <w:lang w:val="ru-RU"/>
        </w:rPr>
        <w:t>.</w:t>
      </w:r>
      <w:r w:rsidR="00D4256A" w:rsidRPr="00E93710">
        <w:rPr>
          <w:lang w:val="ru-RU"/>
        </w:rPr>
        <w:t xml:space="preserve"> </w:t>
      </w:r>
      <w:r w:rsidR="00D4256A" w:rsidRPr="000A38E5">
        <w:rPr>
          <w:lang w:val="uk-UA"/>
        </w:rPr>
        <w:t xml:space="preserve">У будь-якому випадку дії працівників </w:t>
      </w:r>
      <w:proofErr w:type="spellStart"/>
      <w:r w:rsidR="00D4256A" w:rsidRPr="000A38E5">
        <w:rPr>
          <w:lang w:val="uk-UA"/>
        </w:rPr>
        <w:t>МО</w:t>
      </w:r>
      <w:proofErr w:type="spellEnd"/>
      <w:r w:rsidR="00D4256A" w:rsidRPr="000A38E5">
        <w:rPr>
          <w:lang w:val="uk-UA"/>
        </w:rPr>
        <w:t>, навіть ті, які були описані заявниками</w:t>
      </w:r>
      <w:r w:rsidR="00D4256A" w:rsidRPr="000A38E5">
        <w:rPr>
          <w:lang w:val="ru-RU"/>
        </w:rPr>
        <w:t xml:space="preserve">, </w:t>
      </w:r>
      <w:r w:rsidR="00D4256A" w:rsidRPr="000A38E5">
        <w:rPr>
          <w:lang w:val="uk-UA"/>
        </w:rPr>
        <w:t>не були незаконними та не вимагали втручання міліції</w:t>
      </w:r>
      <w:r w:rsidR="00D4256A" w:rsidRPr="000A38E5">
        <w:rPr>
          <w:lang w:val="ru-RU"/>
        </w:rPr>
        <w:t xml:space="preserve">. </w:t>
      </w:r>
      <w:r w:rsidR="00D4256A" w:rsidRPr="000A38E5">
        <w:rPr>
          <w:lang w:val="uk-UA"/>
        </w:rPr>
        <w:t>Міліціонери пояснили протестуючим, що вони знаходилися в зоні поточного будівництва</w:t>
      </w:r>
      <w:r w:rsidR="00D4256A" w:rsidRPr="000A38E5">
        <w:rPr>
          <w:lang w:val="ru-RU"/>
        </w:rPr>
        <w:t xml:space="preserve">, </w:t>
      </w:r>
      <w:r w:rsidR="00D4256A" w:rsidRPr="000A38E5">
        <w:rPr>
          <w:lang w:val="uk-UA"/>
        </w:rPr>
        <w:t>яка була позначена стрічкою</w:t>
      </w:r>
      <w:r w:rsidR="00D4256A" w:rsidRPr="000A38E5">
        <w:rPr>
          <w:lang w:val="ru-RU"/>
        </w:rPr>
        <w:t xml:space="preserve">. </w:t>
      </w:r>
      <w:r w:rsidR="00D4256A" w:rsidRPr="000A38E5">
        <w:rPr>
          <w:lang w:val="uk-UA"/>
        </w:rPr>
        <w:t>Були призначені охоронці для забезпечення доступу до цієї зони тільки уповноваженим працівникам</w:t>
      </w:r>
      <w:r w:rsidR="00D4256A" w:rsidRPr="000A38E5">
        <w:rPr>
          <w:lang w:val="ru-RU"/>
        </w:rPr>
        <w:t xml:space="preserve"> </w:t>
      </w:r>
      <w:r w:rsidR="00D4256A" w:rsidRPr="000A38E5">
        <w:rPr>
          <w:lang w:val="uk-UA"/>
        </w:rPr>
        <w:t>та забезпечення безпеки цих працівників</w:t>
      </w:r>
      <w:r w:rsidR="00D4256A" w:rsidRPr="000A38E5">
        <w:rPr>
          <w:lang w:val="ru-RU"/>
        </w:rPr>
        <w:t xml:space="preserve">. </w:t>
      </w:r>
      <w:r w:rsidR="00D4256A" w:rsidRPr="000A38E5">
        <w:rPr>
          <w:lang w:val="uk-UA"/>
        </w:rPr>
        <w:t xml:space="preserve">Тому охоронці з </w:t>
      </w:r>
      <w:proofErr w:type="spellStart"/>
      <w:r w:rsidR="00D4256A" w:rsidRPr="000A38E5">
        <w:rPr>
          <w:lang w:val="uk-UA"/>
        </w:rPr>
        <w:t>МО</w:t>
      </w:r>
      <w:proofErr w:type="spellEnd"/>
      <w:r w:rsidR="00D4256A" w:rsidRPr="000A38E5">
        <w:rPr>
          <w:lang w:val="uk-UA"/>
        </w:rPr>
        <w:t xml:space="preserve"> та ПО намагалися відштовхнути протестуючих</w:t>
      </w:r>
      <w:r w:rsidR="00D4256A" w:rsidRPr="000A38E5">
        <w:rPr>
          <w:lang w:val="ru-RU"/>
        </w:rPr>
        <w:t xml:space="preserve"> </w:t>
      </w:r>
      <w:r w:rsidR="00D4256A" w:rsidRPr="000A38E5">
        <w:rPr>
          <w:lang w:val="uk-UA"/>
        </w:rPr>
        <w:t>від зони будівництва</w:t>
      </w:r>
      <w:r w:rsidR="00D4256A" w:rsidRPr="000A38E5">
        <w:rPr>
          <w:lang w:val="ru-RU"/>
        </w:rPr>
        <w:t xml:space="preserve">. </w:t>
      </w:r>
      <w:r w:rsidR="00D4256A" w:rsidRPr="000A38E5">
        <w:rPr>
          <w:lang w:val="uk-UA"/>
        </w:rPr>
        <w:t>Уповноважений національний орган, прокуратура, не визнав порушення закону</w:t>
      </w:r>
      <w:r w:rsidR="00D4256A" w:rsidRPr="000A38E5">
        <w:rPr>
          <w:lang w:val="ru-RU"/>
        </w:rPr>
        <w:t xml:space="preserve"> </w:t>
      </w:r>
      <w:r w:rsidR="00D4256A" w:rsidRPr="000A38E5">
        <w:rPr>
          <w:lang w:val="uk-UA"/>
        </w:rPr>
        <w:t>з боку охоронців</w:t>
      </w:r>
      <w:r w:rsidR="00D4256A" w:rsidRPr="000A38E5">
        <w:rPr>
          <w:lang w:val="ru-RU"/>
        </w:rPr>
        <w:t xml:space="preserve">. </w:t>
      </w:r>
      <w:r w:rsidR="00D4256A" w:rsidRPr="000A38E5">
        <w:rPr>
          <w:lang w:val="uk-UA"/>
        </w:rPr>
        <w:t>Вони діяли відповідно до повноважень, якими їх наділили Ліцензійні умови</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Licensing_Rules_guards_powers \h  \* MERGEFORMAT ">
        <w:r w:rsidR="00D4256A" w:rsidRPr="000A38E5">
          <w:rPr>
            <w:noProof/>
            <w:lang w:val="ru-RU"/>
          </w:rPr>
          <w:t>107</w:t>
        </w:r>
      </w:fldSimple>
      <w:r w:rsidR="00D4256A" w:rsidRPr="000A38E5">
        <w:rPr>
          <w:lang w:val="ru-RU"/>
        </w:rPr>
        <w:t xml:space="preserve"> </w:t>
      </w:r>
      <w:r w:rsidR="00D4256A" w:rsidRPr="000A38E5">
        <w:rPr>
          <w:lang w:val="uk-UA"/>
        </w:rPr>
        <w:t>вище</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209</w:t>
      </w:r>
      <w:r w:rsidRPr="000A38E5">
        <w:fldChar w:fldCharType="end"/>
      </w:r>
      <w:r w:rsidR="00D4256A" w:rsidRPr="000A38E5">
        <w:rPr>
          <w:lang w:val="ru-RU"/>
        </w:rPr>
        <w:t>.</w:t>
      </w:r>
      <w:r w:rsidR="00D4256A" w:rsidRPr="00E93710">
        <w:rPr>
          <w:lang w:val="ru-RU"/>
        </w:rPr>
        <w:t xml:space="preserve"> </w:t>
      </w:r>
      <w:r w:rsidR="00D4256A" w:rsidRPr="000A38E5">
        <w:rPr>
          <w:lang w:val="uk-UA"/>
        </w:rPr>
        <w:t>Після перевірок прокуратура прийняла рішення про відмову в порушенні кримінальних проваджень</w:t>
      </w:r>
      <w:r w:rsidR="00D4256A" w:rsidRPr="000A38E5">
        <w:rPr>
          <w:lang w:val="ru-RU"/>
        </w:rPr>
        <w:t xml:space="preserve"> </w:t>
      </w:r>
      <w:r w:rsidR="00D4256A" w:rsidRPr="000A38E5">
        <w:rPr>
          <w:lang w:val="uk-UA"/>
        </w:rPr>
        <w:t xml:space="preserve">проти працівників </w:t>
      </w:r>
      <w:proofErr w:type="spellStart"/>
      <w:r w:rsidR="00D4256A" w:rsidRPr="000A38E5">
        <w:rPr>
          <w:lang w:val="uk-UA"/>
        </w:rPr>
        <w:t>МО</w:t>
      </w:r>
      <w:proofErr w:type="spellEnd"/>
      <w:r w:rsidR="00D4256A" w:rsidRPr="000A38E5">
        <w:rPr>
          <w:lang w:val="ru-RU"/>
        </w:rPr>
        <w:t xml:space="preserve">, </w:t>
      </w:r>
      <w:r w:rsidR="00D4256A" w:rsidRPr="000A38E5">
        <w:rPr>
          <w:lang w:val="uk-UA"/>
        </w:rPr>
        <w:t>визнавши, що усі дії охоронців, асоційовані з виконанням їх обов’язків, були законними</w:t>
      </w:r>
      <w:r w:rsidR="00D4256A" w:rsidRPr="000A38E5">
        <w:rPr>
          <w:lang w:val="ru-RU"/>
        </w:rPr>
        <w:t xml:space="preserve">. </w:t>
      </w:r>
      <w:r w:rsidR="00D4256A" w:rsidRPr="000A38E5">
        <w:rPr>
          <w:lang w:val="uk-UA"/>
        </w:rPr>
        <w:t xml:space="preserve">Прокуратура встановила, що на місці подій було лише п’ять працівників </w:t>
      </w:r>
      <w:proofErr w:type="spellStart"/>
      <w:r w:rsidR="00D4256A" w:rsidRPr="000A38E5">
        <w:rPr>
          <w:lang w:val="uk-UA"/>
        </w:rPr>
        <w:t>МО</w:t>
      </w:r>
      <w:proofErr w:type="spellEnd"/>
      <w:r w:rsidR="00D4256A" w:rsidRPr="000A38E5">
        <w:rPr>
          <w:lang w:val="ru-RU"/>
        </w:rPr>
        <w:t xml:space="preserve">, </w:t>
      </w:r>
      <w:r w:rsidR="00D4256A" w:rsidRPr="000A38E5">
        <w:rPr>
          <w:lang w:val="uk-UA"/>
        </w:rPr>
        <w:t>усі з яких носили відзнаки ухваленого типу</w:t>
      </w:r>
      <w:r w:rsidR="00D4256A" w:rsidRPr="000A38E5">
        <w:rPr>
          <w:lang w:val="ru-RU"/>
        </w:rPr>
        <w:t xml:space="preserve">. </w:t>
      </w:r>
      <w:r w:rsidR="00D4256A" w:rsidRPr="000A38E5">
        <w:rPr>
          <w:lang w:val="uk-UA"/>
        </w:rPr>
        <w:t xml:space="preserve">Відповідно до твердження директора </w:t>
      </w:r>
      <w:proofErr w:type="spellStart"/>
      <w:r w:rsidR="00D4256A" w:rsidRPr="000A38E5">
        <w:rPr>
          <w:lang w:val="uk-UA"/>
        </w:rPr>
        <w:t>МО</w:t>
      </w:r>
      <w:proofErr w:type="spellEnd"/>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MG_director_strangers_on_site \h  \* MERGEFORMAT ">
        <w:r w:rsidR="00D4256A" w:rsidRPr="000A38E5">
          <w:rPr>
            <w:noProof/>
            <w:lang w:val="ru-RU"/>
          </w:rPr>
          <w:t>75</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 xml:space="preserve">були також присутні деякі інші особи з відзнаками </w:t>
      </w:r>
      <w:proofErr w:type="spellStart"/>
      <w:r w:rsidR="00D4256A" w:rsidRPr="000A38E5">
        <w:rPr>
          <w:lang w:val="uk-UA"/>
        </w:rPr>
        <w:t>МО</w:t>
      </w:r>
      <w:proofErr w:type="spellEnd"/>
      <w:r w:rsidR="00D4256A" w:rsidRPr="000A38E5">
        <w:rPr>
          <w:lang w:val="ru-RU"/>
        </w:rPr>
        <w:t xml:space="preserve">. </w:t>
      </w:r>
      <w:r w:rsidR="00D4256A" w:rsidRPr="000A38E5">
        <w:rPr>
          <w:lang w:val="uk-UA"/>
        </w:rPr>
        <w:t>Після того, як директор сказав їм зняти відзнаки і вони це зробили</w:t>
      </w:r>
      <w:r w:rsidR="00D4256A" w:rsidRPr="000A38E5">
        <w:rPr>
          <w:lang w:val="ru-RU"/>
        </w:rPr>
        <w:t xml:space="preserve">, </w:t>
      </w:r>
      <w:r w:rsidR="00D4256A" w:rsidRPr="000A38E5">
        <w:rPr>
          <w:lang w:val="uk-UA"/>
        </w:rPr>
        <w:t xml:space="preserve">ніхто окрім згаданих п’яти працівників </w:t>
      </w:r>
      <w:proofErr w:type="spellStart"/>
      <w:r w:rsidR="00D4256A" w:rsidRPr="000A38E5">
        <w:rPr>
          <w:lang w:val="uk-UA"/>
        </w:rPr>
        <w:t>МО</w:t>
      </w:r>
      <w:proofErr w:type="spellEnd"/>
      <w:r w:rsidR="00D4256A" w:rsidRPr="000A38E5">
        <w:rPr>
          <w:lang w:val="uk-UA"/>
        </w:rPr>
        <w:t xml:space="preserve"> не носив відзнаки</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210</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Беручи це до уваги, Уряд наполягав, що не було ніяких фактів,</w:t>
      </w:r>
      <w:r w:rsidR="00D4256A" w:rsidRPr="000A38E5">
        <w:rPr>
          <w:lang w:val="ru-RU"/>
        </w:rPr>
        <w:t xml:space="preserve"> </w:t>
      </w:r>
      <w:r w:rsidR="00D4256A" w:rsidRPr="000A38E5">
        <w:rPr>
          <w:lang w:val="uk-UA"/>
        </w:rPr>
        <w:t xml:space="preserve">які б указували, що будь-яка конкретна дія з боку працівників </w:t>
      </w:r>
      <w:proofErr w:type="spellStart"/>
      <w:r w:rsidR="00D4256A" w:rsidRPr="000A38E5">
        <w:rPr>
          <w:lang w:val="uk-UA"/>
        </w:rPr>
        <w:t>МО</w:t>
      </w:r>
      <w:proofErr w:type="spellEnd"/>
      <w:r w:rsidR="00D4256A" w:rsidRPr="000A38E5">
        <w:rPr>
          <w:lang w:val="ru-RU"/>
        </w:rPr>
        <w:t xml:space="preserve"> </w:t>
      </w:r>
      <w:r w:rsidR="00D4256A" w:rsidRPr="000A38E5">
        <w:rPr>
          <w:lang w:val="uk-UA"/>
        </w:rPr>
        <w:t>могла вважатися втручанням до прав заявників</w:t>
      </w:r>
      <w:r w:rsidR="00D4256A" w:rsidRPr="000A38E5">
        <w:rPr>
          <w:lang w:val="ru-RU"/>
        </w:rPr>
        <w:t xml:space="preserve"> </w:t>
      </w:r>
      <w:r w:rsidR="00D4256A" w:rsidRPr="000A38E5">
        <w:rPr>
          <w:lang w:val="uk-UA"/>
        </w:rPr>
        <w:t>відповідно до статті 11 Конвенції</w:t>
      </w:r>
      <w:r w:rsidR="00D4256A" w:rsidRPr="000A38E5">
        <w:rPr>
          <w:lang w:val="ru-RU"/>
        </w:rPr>
        <w:t>.</w:t>
      </w:r>
    </w:p>
    <w:p w:rsidR="00D4256A" w:rsidRPr="000A38E5" w:rsidRDefault="00D4256A" w:rsidP="00D4256A">
      <w:pPr>
        <w:pStyle w:val="ECHRHeading2"/>
        <w:rPr>
          <w:lang w:val="uk-UA"/>
        </w:rPr>
      </w:pPr>
      <w:r w:rsidRPr="000A38E5">
        <w:t>B</w:t>
      </w:r>
      <w:r w:rsidRPr="000A38E5">
        <w:rPr>
          <w:lang w:val="ru-RU"/>
        </w:rPr>
        <w:t>.</w:t>
      </w:r>
      <w:r w:rsidRPr="00E93710">
        <w:rPr>
          <w:lang w:val="ru-RU"/>
        </w:rPr>
        <w:t xml:space="preserve"> </w:t>
      </w:r>
      <w:r w:rsidRPr="000A38E5">
        <w:rPr>
          <w:lang w:val="uk-UA"/>
        </w:rPr>
        <w:t>Оцінка Суду</w:t>
      </w:r>
    </w:p>
    <w:p w:rsidR="00D4256A" w:rsidRPr="000A38E5" w:rsidRDefault="00D4256A" w:rsidP="00D4256A">
      <w:pPr>
        <w:pStyle w:val="ECHRHeading3"/>
        <w:rPr>
          <w:lang w:val="uk-UA"/>
        </w:rPr>
      </w:pPr>
      <w:r w:rsidRPr="000A38E5">
        <w:rPr>
          <w:lang w:val="ru-RU"/>
        </w:rPr>
        <w:t>1.</w:t>
      </w:r>
      <w:r w:rsidRPr="00E93710">
        <w:rPr>
          <w:lang w:val="ru-RU"/>
        </w:rPr>
        <w:t xml:space="preserve"> </w:t>
      </w:r>
      <w:r w:rsidRPr="000A38E5">
        <w:rPr>
          <w:lang w:val="uk-UA"/>
        </w:rPr>
        <w:t>Прийнятність</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211</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 xml:space="preserve">Скарга третього заявника стосовно </w:t>
      </w:r>
      <w:proofErr w:type="spellStart"/>
      <w:r w:rsidR="00D4256A" w:rsidRPr="000A38E5">
        <w:rPr>
          <w:lang w:val="uk-UA"/>
        </w:rPr>
        <w:t>стверджуваної</w:t>
      </w:r>
      <w:proofErr w:type="spellEnd"/>
      <w:r w:rsidR="00D4256A" w:rsidRPr="000A38E5">
        <w:rPr>
          <w:lang w:val="uk-UA"/>
        </w:rPr>
        <w:t xml:space="preserve"> погрози бензопилою</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apps_submissions_forms_of_interference \h  \* MERGEFORMAT ">
        <w:r w:rsidR="00D4256A" w:rsidRPr="000A38E5">
          <w:rPr>
            <w:noProof/>
            <w:lang w:val="ru-RU"/>
          </w:rPr>
          <w:t>188</w:t>
        </w:r>
      </w:fldSimple>
      <w:r w:rsidR="00D4256A" w:rsidRPr="000A38E5">
        <w:rPr>
          <w:lang w:val="ru-RU"/>
        </w:rPr>
        <w:t xml:space="preserve"> (</w:t>
      </w:r>
      <w:r w:rsidR="00D4256A" w:rsidRPr="000A38E5">
        <w:t>ii</w:t>
      </w:r>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є повторенням його скарги за статтею 3</w:t>
      </w:r>
      <w:r w:rsidR="00D4256A" w:rsidRPr="000A38E5">
        <w:rPr>
          <w:lang w:val="ru-RU"/>
        </w:rPr>
        <w:t xml:space="preserve"> </w:t>
      </w:r>
      <w:r w:rsidR="00D4256A" w:rsidRPr="000A38E5">
        <w:rPr>
          <w:lang w:val="uk-UA"/>
        </w:rPr>
        <w:t>і повинна бути відхилена за тих же підстав</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conclusion_admissibility_A3_third_app \h  \* MERGEFORMAT ">
        <w:r w:rsidR="00D4256A" w:rsidRPr="000A38E5">
          <w:rPr>
            <w:noProof/>
            <w:lang w:val="ru-RU"/>
          </w:rPr>
          <w:t>147</w:t>
        </w:r>
      </w:fldSimple>
      <w:r w:rsidR="00D4256A" w:rsidRPr="000A38E5">
        <w:rPr>
          <w:lang w:val="ru-RU"/>
        </w:rPr>
        <w:t xml:space="preserve"> </w:t>
      </w:r>
      <w:r w:rsidR="00D4256A" w:rsidRPr="000A38E5">
        <w:rPr>
          <w:lang w:val="uk-UA"/>
        </w:rPr>
        <w:t>вище</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212</w:t>
      </w:r>
      <w:r w:rsidRPr="000A38E5">
        <w:fldChar w:fldCharType="end"/>
      </w:r>
      <w:r w:rsidR="00D4256A" w:rsidRPr="000A38E5">
        <w:rPr>
          <w:lang w:val="ru-RU"/>
        </w:rPr>
        <w:t>.</w:t>
      </w:r>
      <w:r w:rsidR="00D4256A" w:rsidRPr="00E93710">
        <w:rPr>
          <w:lang w:val="ru-RU"/>
        </w:rPr>
        <w:t xml:space="preserve"> </w:t>
      </w:r>
      <w:r w:rsidR="00D4256A" w:rsidRPr="000A38E5">
        <w:rPr>
          <w:lang w:val="uk-UA"/>
        </w:rPr>
        <w:t>Що стосується скарг заявників про усні погрози</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apps_submissions_forms_of_interference \h  \* MERGEFORMAT ">
        <w:r w:rsidR="00D4256A" w:rsidRPr="000A38E5">
          <w:rPr>
            <w:noProof/>
            <w:lang w:val="ru-RU"/>
          </w:rPr>
          <w:t>188</w:t>
        </w:r>
      </w:fldSimple>
      <w:r w:rsidR="00D4256A" w:rsidRPr="000A38E5">
        <w:rPr>
          <w:lang w:val="ru-RU"/>
        </w:rPr>
        <w:t xml:space="preserve"> (</w:t>
      </w:r>
      <w:r w:rsidR="00D4256A" w:rsidRPr="000A38E5">
        <w:t>iv</w:t>
      </w:r>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вони є цілком необґрунтованими</w:t>
      </w:r>
      <w:r w:rsidR="00D4256A" w:rsidRPr="000A38E5">
        <w:rPr>
          <w:lang w:val="ru-RU"/>
        </w:rPr>
        <w:t xml:space="preserve">. </w:t>
      </w:r>
      <w:r w:rsidR="00D4256A" w:rsidRPr="000A38E5">
        <w:rPr>
          <w:lang w:val="uk-UA"/>
        </w:rPr>
        <w:t>У матеріалах національного розслідування немає ніяких доказів усних погроз</w:t>
      </w:r>
      <w:r w:rsidR="00D4256A" w:rsidRPr="000A38E5">
        <w:rPr>
          <w:lang w:val="ru-RU"/>
        </w:rPr>
        <w:t xml:space="preserve">, </w:t>
      </w:r>
      <w:r w:rsidR="00D4256A" w:rsidRPr="000A38E5">
        <w:rPr>
          <w:lang w:val="uk-UA"/>
        </w:rPr>
        <w:t>як і у фото та відеоматеріалах, наданих заявниками, та інших матеріалах справи</w:t>
      </w:r>
      <w:r w:rsidR="00D4256A" w:rsidRPr="000A38E5">
        <w:rPr>
          <w:lang w:val="ru-RU"/>
        </w:rPr>
        <w:t>.</w:t>
      </w:r>
    </w:p>
    <w:p w:rsidR="00D4256A" w:rsidRPr="000A38E5" w:rsidRDefault="004E7608" w:rsidP="00D4256A">
      <w:pPr>
        <w:pStyle w:val="ECHRPara"/>
        <w:rPr>
          <w:lang w:val="ru-RU"/>
        </w:rPr>
      </w:pPr>
      <w:r w:rsidRPr="000A38E5">
        <w:lastRenderedPageBreak/>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213</w:t>
      </w:r>
      <w:r w:rsidRPr="000A38E5">
        <w:fldChar w:fldCharType="end"/>
      </w:r>
      <w:r w:rsidR="00D4256A" w:rsidRPr="000A38E5">
        <w:rPr>
          <w:lang w:val="ru-RU"/>
        </w:rPr>
        <w:t>.</w:t>
      </w:r>
      <w:r w:rsidR="00D4256A" w:rsidRPr="00E93710">
        <w:rPr>
          <w:lang w:val="ru-RU"/>
        </w:rPr>
        <w:t xml:space="preserve"> </w:t>
      </w:r>
      <w:r w:rsidR="00D4256A" w:rsidRPr="000A38E5">
        <w:rPr>
          <w:lang w:val="uk-UA"/>
        </w:rPr>
        <w:t>Крім того, ніщо не вказує на те, що заявники можуть вважати себе «потерпілими»</w:t>
      </w:r>
      <w:r w:rsidR="00D4256A" w:rsidRPr="000A38E5">
        <w:rPr>
          <w:lang w:val="ru-RU"/>
        </w:rPr>
        <w:t xml:space="preserve"> </w:t>
      </w:r>
      <w:r w:rsidR="00D4256A" w:rsidRPr="000A38E5">
        <w:rPr>
          <w:lang w:val="uk-UA"/>
        </w:rPr>
        <w:t>у розумінні статті 34 Конвенції</w:t>
      </w:r>
      <w:r w:rsidR="00D4256A" w:rsidRPr="000A38E5">
        <w:rPr>
          <w:lang w:val="ru-RU"/>
        </w:rPr>
        <w:t xml:space="preserve"> </w:t>
      </w:r>
      <w:r w:rsidR="00D4256A" w:rsidRPr="000A38E5">
        <w:rPr>
          <w:lang w:val="uk-UA"/>
        </w:rPr>
        <w:t>у зв’язку з їх скаргами про те, що невідомі протестуючі були під загрозою</w:t>
      </w:r>
      <w:r w:rsidR="00D4256A" w:rsidRPr="000A38E5">
        <w:rPr>
          <w:lang w:val="ru-RU"/>
        </w:rPr>
        <w:t xml:space="preserve"> </w:t>
      </w:r>
      <w:r w:rsidR="00D4256A" w:rsidRPr="000A38E5">
        <w:rPr>
          <w:lang w:val="uk-UA"/>
        </w:rPr>
        <w:t>в ході повалення дерев та будівництва</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apps_submissions_forms_of_interference \h  \* MERGEFORMAT ">
        <w:r w:rsidR="00D4256A" w:rsidRPr="000A38E5">
          <w:rPr>
            <w:noProof/>
            <w:lang w:val="ru-RU"/>
          </w:rPr>
          <w:t>188</w:t>
        </w:r>
      </w:fldSimple>
      <w:r w:rsidR="00D4256A" w:rsidRPr="000A38E5">
        <w:rPr>
          <w:lang w:val="ru-RU"/>
        </w:rPr>
        <w:t xml:space="preserve"> (</w:t>
      </w:r>
      <w:r w:rsidR="00D4256A" w:rsidRPr="000A38E5">
        <w:t>v</w:t>
      </w:r>
      <w:r w:rsidR="00D4256A" w:rsidRPr="000A38E5">
        <w:rPr>
          <w:lang w:val="ru-RU"/>
        </w:rPr>
        <w:t xml:space="preserve">) </w:t>
      </w:r>
      <w:r w:rsidR="00D4256A" w:rsidRPr="000A38E5">
        <w:rPr>
          <w:lang w:val="uk-UA"/>
        </w:rPr>
        <w:t>та</w:t>
      </w:r>
      <w:r w:rsidR="00D4256A" w:rsidRPr="000A38E5">
        <w:rPr>
          <w:lang w:val="ru-RU"/>
        </w:rPr>
        <w:t xml:space="preserve"> (</w:t>
      </w:r>
      <w:r w:rsidR="00D4256A" w:rsidRPr="000A38E5">
        <w:t>vi</w:t>
      </w:r>
      <w:r w:rsidR="00D4256A" w:rsidRPr="000A38E5">
        <w:rPr>
          <w:lang w:val="ru-RU"/>
        </w:rPr>
        <w:t xml:space="preserve">) </w:t>
      </w:r>
      <w:r w:rsidR="00D4256A" w:rsidRPr="000A38E5">
        <w:rPr>
          <w:lang w:val="uk-UA"/>
        </w:rPr>
        <w:t>вище</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214</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Аналогічні міркування застосовуються до скарг заявників</w:t>
      </w:r>
      <w:r w:rsidR="00D4256A" w:rsidRPr="000A38E5">
        <w:rPr>
          <w:lang w:val="ru-RU"/>
        </w:rPr>
        <w:t xml:space="preserve"> </w:t>
      </w:r>
      <w:r w:rsidR="00D4256A" w:rsidRPr="000A38E5">
        <w:rPr>
          <w:lang w:val="uk-UA"/>
        </w:rPr>
        <w:t>стосовно фізичного насилля проти них у ході</w:t>
      </w:r>
      <w:r w:rsidR="00D4256A" w:rsidRPr="000A38E5">
        <w:rPr>
          <w:lang w:val="ru-RU"/>
        </w:rPr>
        <w:t xml:space="preserve"> </w:t>
      </w:r>
      <w:r w:rsidR="00D4256A" w:rsidRPr="000A38E5">
        <w:rPr>
          <w:lang w:val="uk-UA"/>
        </w:rPr>
        <w:t>спроби розгону з боку міліції</w:t>
      </w:r>
      <w:r w:rsidR="00D4256A" w:rsidRPr="000A38E5">
        <w:rPr>
          <w:lang w:val="ru-RU"/>
        </w:rPr>
        <w:t xml:space="preserve"> 25 </w:t>
      </w:r>
      <w:r w:rsidR="00D4256A" w:rsidRPr="000A38E5">
        <w:rPr>
          <w:lang w:val="uk-UA"/>
        </w:rPr>
        <w:t>травня</w:t>
      </w:r>
      <w:r w:rsidR="00D4256A" w:rsidRPr="000A38E5">
        <w:rPr>
          <w:lang w:val="ru-RU"/>
        </w:rPr>
        <w:t xml:space="preserve"> 2010 </w:t>
      </w:r>
      <w:r w:rsidR="00D4256A" w:rsidRPr="000A38E5">
        <w:rPr>
          <w:lang w:val="uk-UA"/>
        </w:rPr>
        <w:t>року та з 20 травня до 6 червня</w:t>
      </w:r>
      <w:r w:rsidR="00D4256A" w:rsidRPr="000A38E5">
        <w:rPr>
          <w:lang w:val="ru-RU"/>
        </w:rPr>
        <w:t xml:space="preserve"> 2010</w:t>
      </w:r>
      <w:r w:rsidR="00D4256A" w:rsidRPr="000A38E5">
        <w:rPr>
          <w:lang w:val="uk-UA"/>
        </w:rPr>
        <w:t xml:space="preserve"> року</w:t>
      </w:r>
      <w:r w:rsidR="00D4256A" w:rsidRPr="000A38E5">
        <w:rPr>
          <w:lang w:val="ru-RU"/>
        </w:rPr>
        <w:t xml:space="preserve"> </w:t>
      </w:r>
      <w:r w:rsidR="00D4256A" w:rsidRPr="000A38E5">
        <w:rPr>
          <w:lang w:val="uk-UA"/>
        </w:rPr>
        <w:t xml:space="preserve">з боку лісорубів та працівників </w:t>
      </w:r>
      <w:proofErr w:type="spellStart"/>
      <w:r w:rsidR="00D4256A" w:rsidRPr="000A38E5">
        <w:rPr>
          <w:lang w:val="uk-UA"/>
        </w:rPr>
        <w:t>МО</w:t>
      </w:r>
      <w:proofErr w:type="spellEnd"/>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apps_submissions_forms_of_interference \h  \* MERGEFORMAT ">
        <w:r w:rsidR="00D4256A" w:rsidRPr="000A38E5">
          <w:rPr>
            <w:noProof/>
            <w:lang w:val="ru-RU"/>
          </w:rPr>
          <w:t>188</w:t>
        </w:r>
      </w:fldSimple>
      <w:r w:rsidR="00D4256A" w:rsidRPr="000A38E5">
        <w:rPr>
          <w:lang w:val="ru-RU"/>
        </w:rPr>
        <w:t xml:space="preserve"> (</w:t>
      </w:r>
      <w:r w:rsidR="00D4256A" w:rsidRPr="000A38E5">
        <w:t>iii</w:t>
      </w:r>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Акція протесту заявників була спонтанною, за їх власним визнанням</w:t>
      </w:r>
      <w:r w:rsidR="00D4256A" w:rsidRPr="000A38E5">
        <w:rPr>
          <w:lang w:val="ru-RU"/>
        </w:rPr>
        <w:t xml:space="preserve">, </w:t>
      </w:r>
      <w:r w:rsidR="00D4256A" w:rsidRPr="000A38E5">
        <w:rPr>
          <w:lang w:val="uk-UA"/>
        </w:rPr>
        <w:t>не було організаторів</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apps_submissions_spontaneous \h  \* MERGEFORMAT ">
        <w:r w:rsidR="00D4256A" w:rsidRPr="000A38E5">
          <w:rPr>
            <w:noProof/>
            <w:lang w:val="ru-RU"/>
          </w:rPr>
          <w:t>193</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і, як видавалося, не було стабільного складу учасників</w:t>
      </w:r>
      <w:r w:rsidR="00D4256A" w:rsidRPr="000A38E5">
        <w:rPr>
          <w:lang w:val="ru-RU"/>
        </w:rPr>
        <w:t xml:space="preserve">. </w:t>
      </w:r>
      <w:r w:rsidR="00D4256A" w:rsidRPr="000A38E5">
        <w:rPr>
          <w:lang w:val="uk-UA"/>
        </w:rPr>
        <w:t>У цьому контексті Суд також відзначає доводи Уряду</w:t>
      </w:r>
      <w:r w:rsidR="00D4256A" w:rsidRPr="000A38E5">
        <w:rPr>
          <w:lang w:val="ru-RU"/>
        </w:rPr>
        <w:t xml:space="preserve">, </w:t>
      </w:r>
      <w:r w:rsidR="00D4256A" w:rsidRPr="000A38E5">
        <w:rPr>
          <w:lang w:val="uk-UA"/>
        </w:rPr>
        <w:t>які, у свою чергу, базуються на твердженнях перших двох заявників</w:t>
      </w:r>
      <w:r w:rsidR="00D4256A" w:rsidRPr="000A38E5">
        <w:rPr>
          <w:lang w:val="ru-RU"/>
        </w:rPr>
        <w:t xml:space="preserve"> </w:t>
      </w:r>
      <w:r w:rsidR="00D4256A" w:rsidRPr="000A38E5">
        <w:rPr>
          <w:lang w:val="uk-UA"/>
        </w:rPr>
        <w:t>у національному суді</w:t>
      </w:r>
      <w:r w:rsidR="00D4256A" w:rsidRPr="000A38E5">
        <w:rPr>
          <w:lang w:val="ru-RU"/>
        </w:rPr>
        <w:t xml:space="preserve">, </w:t>
      </w:r>
      <w:r w:rsidR="00D4256A" w:rsidRPr="000A38E5">
        <w:rPr>
          <w:lang w:val="uk-UA"/>
        </w:rPr>
        <w:t>про те, що деякі з присутніх на місці подій людей могли підійти через цікавість</w:t>
      </w:r>
      <w:r w:rsidR="00D4256A" w:rsidRPr="000A38E5">
        <w:rPr>
          <w:lang w:val="ru-RU"/>
        </w:rPr>
        <w:t xml:space="preserve"> (</w:t>
      </w:r>
      <w:r w:rsidR="00D4256A" w:rsidRPr="000A38E5">
        <w:rPr>
          <w:lang w:val="uk-UA"/>
        </w:rPr>
        <w:t>див. пункти</w:t>
      </w:r>
      <w:r w:rsidR="00D4256A" w:rsidRPr="000A38E5">
        <w:rPr>
          <w:lang w:val="ru-RU"/>
        </w:rPr>
        <w:t xml:space="preserve"> </w:t>
      </w:r>
      <w:fldSimple w:instr=" REF Govt_curiosity \h  \* MERGEFORMAT ">
        <w:r w:rsidR="00D4256A" w:rsidRPr="000A38E5">
          <w:rPr>
            <w:noProof/>
            <w:lang w:val="ru-RU"/>
          </w:rPr>
          <w:t>198</w:t>
        </w:r>
      </w:fldSimple>
      <w:r w:rsidR="00D4256A" w:rsidRPr="000A38E5">
        <w:rPr>
          <w:lang w:val="ru-RU"/>
        </w:rPr>
        <w:t xml:space="preserve">, </w:t>
      </w:r>
      <w:fldSimple w:instr=" REF first_applicant_statement_in_court \h  \* MERGEFORMAT ">
        <w:r w:rsidR="00D4256A" w:rsidRPr="000A38E5">
          <w:rPr>
            <w:noProof/>
            <w:lang w:val="ru-RU"/>
          </w:rPr>
          <w:t>52</w:t>
        </w:r>
      </w:fldSimple>
      <w:r w:rsidR="00D4256A" w:rsidRPr="000A38E5">
        <w:rPr>
          <w:lang w:val="ru-RU"/>
        </w:rPr>
        <w:t xml:space="preserve"> </w:t>
      </w:r>
      <w:r w:rsidR="00D4256A" w:rsidRPr="000A38E5">
        <w:rPr>
          <w:lang w:val="uk-UA"/>
        </w:rPr>
        <w:t>та</w:t>
      </w:r>
      <w:r w:rsidR="00D4256A" w:rsidRPr="000A38E5">
        <w:rPr>
          <w:lang w:val="ru-RU"/>
        </w:rPr>
        <w:t xml:space="preserve"> </w:t>
      </w:r>
      <w:fldSimple w:instr=" REF second_applicant_statement_in_court \h  \* MERGEFORMAT ">
        <w:r w:rsidR="00D4256A" w:rsidRPr="000A38E5">
          <w:rPr>
            <w:noProof/>
            <w:lang w:val="ru-RU"/>
          </w:rPr>
          <w:t>53</w:t>
        </w:r>
      </w:fldSimple>
      <w:r w:rsidR="00D4256A" w:rsidRPr="000A38E5">
        <w:rPr>
          <w:lang w:val="ru-RU"/>
        </w:rPr>
        <w:t xml:space="preserve"> </w:t>
      </w:r>
      <w:r w:rsidR="00D4256A" w:rsidRPr="000A38E5">
        <w:rPr>
          <w:lang w:val="uk-UA"/>
        </w:rPr>
        <w:t>вище</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215</w:t>
      </w:r>
      <w:r w:rsidRPr="000A38E5">
        <w:fldChar w:fldCharType="end"/>
      </w:r>
      <w:r w:rsidR="00D4256A" w:rsidRPr="000A38E5">
        <w:rPr>
          <w:lang w:val="ru-RU"/>
        </w:rPr>
        <w:t>.</w:t>
      </w:r>
      <w:r w:rsidR="00D4256A" w:rsidRPr="00E93710">
        <w:rPr>
          <w:lang w:val="ru-RU"/>
        </w:rPr>
        <w:t xml:space="preserve"> </w:t>
      </w:r>
      <w:r w:rsidR="00D4256A" w:rsidRPr="000A38E5">
        <w:rPr>
          <w:lang w:val="uk-UA"/>
        </w:rPr>
        <w:t>Через це невідомо, хто з заявників приймав участь в якій акції протесту в який день</w:t>
      </w:r>
      <w:r w:rsidR="00D4256A" w:rsidRPr="000A38E5">
        <w:rPr>
          <w:lang w:val="ru-RU"/>
        </w:rPr>
        <w:t xml:space="preserve">. </w:t>
      </w:r>
      <w:r w:rsidR="00D4256A" w:rsidRPr="000A38E5">
        <w:rPr>
          <w:lang w:val="uk-UA"/>
        </w:rPr>
        <w:t>Крім того, зв’язок між заявниками та двома НУО, які були ідентифіковані</w:t>
      </w:r>
      <w:r w:rsidR="00D4256A" w:rsidRPr="000A38E5">
        <w:rPr>
          <w:lang w:val="ru-RU"/>
        </w:rPr>
        <w:t xml:space="preserve"> </w:t>
      </w:r>
      <w:r w:rsidR="00D4256A" w:rsidRPr="000A38E5">
        <w:rPr>
          <w:lang w:val="uk-UA"/>
        </w:rPr>
        <w:t>у національних провадженнях як асоційовані з протестами</w:t>
      </w:r>
      <w:r w:rsidR="00D4256A" w:rsidRPr="000A38E5">
        <w:rPr>
          <w:lang w:val="ru-RU"/>
        </w:rPr>
        <w:t xml:space="preserve"> (</w:t>
      </w:r>
      <w:r w:rsidR="00D4256A" w:rsidRPr="000A38E5">
        <w:rPr>
          <w:lang w:val="uk-UA"/>
        </w:rPr>
        <w:t>див. пункти</w:t>
      </w:r>
      <w:r w:rsidR="00D4256A" w:rsidRPr="000A38E5">
        <w:rPr>
          <w:lang w:val="ru-RU"/>
        </w:rPr>
        <w:t xml:space="preserve"> </w:t>
      </w:r>
      <w:fldSimple w:instr=" REF police_report_law_enforcement_measures \h  \* MERGEFORMAT ">
        <w:r w:rsidR="00D4256A" w:rsidRPr="000A38E5">
          <w:rPr>
            <w:noProof/>
            <w:lang w:val="ru-RU"/>
          </w:rPr>
          <w:t>76</w:t>
        </w:r>
      </w:fldSimple>
      <w:r w:rsidR="00D4256A" w:rsidRPr="000A38E5">
        <w:rPr>
          <w:lang w:val="ru-RU"/>
        </w:rPr>
        <w:t xml:space="preserve"> </w:t>
      </w:r>
      <w:r w:rsidR="00D4256A" w:rsidRPr="000A38E5">
        <w:rPr>
          <w:lang w:val="uk-UA"/>
        </w:rPr>
        <w:t>та</w:t>
      </w:r>
      <w:r w:rsidR="00D4256A" w:rsidRPr="000A38E5">
        <w:rPr>
          <w:lang w:val="ru-RU"/>
        </w:rPr>
        <w:t xml:space="preserve"> </w:t>
      </w:r>
      <w:fldSimple w:instr=" REF complaints_investigated \h  \* MERGEFORMAT ">
        <w:r w:rsidR="00D4256A" w:rsidRPr="000A38E5">
          <w:rPr>
            <w:noProof/>
            <w:lang w:val="ru-RU"/>
          </w:rPr>
          <w:t>81</w:t>
        </w:r>
      </w:fldSimple>
      <w:r w:rsidR="00D4256A" w:rsidRPr="000A38E5">
        <w:rPr>
          <w:lang w:val="uk-UA"/>
        </w:rPr>
        <w:t>,</w:t>
      </w:r>
      <w:r w:rsidR="00D4256A" w:rsidRPr="000A38E5">
        <w:rPr>
          <w:lang w:val="ru-RU"/>
        </w:rPr>
        <w:t xml:space="preserve"> </w:t>
      </w:r>
      <w:r w:rsidR="00D4256A" w:rsidRPr="000A38E5">
        <w:rPr>
          <w:lang w:val="uk-UA"/>
        </w:rPr>
        <w:t>а також пункт</w:t>
      </w:r>
      <w:r w:rsidR="00D4256A" w:rsidRPr="000A38E5">
        <w:rPr>
          <w:lang w:val="ru-RU"/>
        </w:rPr>
        <w:t xml:space="preserve"> </w:t>
      </w:r>
      <w:fldSimple w:instr=" REF video_20_May \h  \* MERGEFORMAT ">
        <w:r w:rsidR="00D4256A" w:rsidRPr="000A38E5">
          <w:rPr>
            <w:noProof/>
            <w:lang w:val="ru-RU"/>
          </w:rPr>
          <w:t>31</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є неочевидним</w:t>
      </w:r>
      <w:r w:rsidR="00D4256A" w:rsidRPr="000A38E5">
        <w:rPr>
          <w:lang w:val="ru-RU"/>
        </w:rPr>
        <w:t xml:space="preserve">. </w:t>
      </w:r>
      <w:r w:rsidR="00D4256A" w:rsidRPr="000A38E5">
        <w:rPr>
          <w:lang w:val="uk-UA"/>
        </w:rPr>
        <w:t>Матеріали справи демонструють, що більшість дій проти протесту була спрямована</w:t>
      </w:r>
      <w:r w:rsidR="00D4256A" w:rsidRPr="000A38E5">
        <w:rPr>
          <w:lang w:val="ru-RU"/>
        </w:rPr>
        <w:t xml:space="preserve"> </w:t>
      </w:r>
      <w:r w:rsidR="00D4256A" w:rsidRPr="000A38E5">
        <w:rPr>
          <w:lang w:val="uk-UA"/>
        </w:rPr>
        <w:t>на запобігання входу окремих протестуючих на територію будівництва</w:t>
      </w:r>
      <w:r w:rsidR="00D4256A" w:rsidRPr="000A38E5">
        <w:rPr>
          <w:lang w:val="ru-RU"/>
        </w:rPr>
        <w:t xml:space="preserve">, </w:t>
      </w:r>
      <w:r w:rsidR="00D4256A" w:rsidRPr="000A38E5">
        <w:rPr>
          <w:lang w:val="uk-UA"/>
        </w:rPr>
        <w:t>а не на розгін, або навіть обмеження акції протесту в цілому</w:t>
      </w:r>
      <w:r w:rsidR="00D4256A" w:rsidRPr="000A38E5">
        <w:rPr>
          <w:lang w:val="ru-RU"/>
        </w:rPr>
        <w:t xml:space="preserve"> (</w:t>
      </w:r>
      <w:r w:rsidR="00D4256A" w:rsidRPr="000A38E5">
        <w:rPr>
          <w:lang w:val="uk-UA"/>
        </w:rPr>
        <w:t>див., наприклад, докази стосовно подій</w:t>
      </w:r>
      <w:r w:rsidR="00D4256A" w:rsidRPr="000A38E5">
        <w:rPr>
          <w:lang w:val="ru-RU"/>
        </w:rPr>
        <w:t xml:space="preserve"> 23 </w:t>
      </w:r>
      <w:r w:rsidR="00D4256A" w:rsidRPr="000A38E5">
        <w:rPr>
          <w:lang w:val="uk-UA"/>
        </w:rPr>
        <w:t>та</w:t>
      </w:r>
      <w:r w:rsidR="00D4256A" w:rsidRPr="000A38E5">
        <w:rPr>
          <w:lang w:val="ru-RU"/>
        </w:rPr>
        <w:t xml:space="preserve"> 25 </w:t>
      </w:r>
      <w:r w:rsidR="00D4256A" w:rsidRPr="000A38E5">
        <w:rPr>
          <w:lang w:val="uk-UA"/>
        </w:rPr>
        <w:t>травня, у пунктах</w:t>
      </w:r>
      <w:r w:rsidR="00D4256A" w:rsidRPr="000A38E5">
        <w:rPr>
          <w:lang w:val="ru-RU"/>
        </w:rPr>
        <w:t xml:space="preserve"> </w:t>
      </w:r>
      <w:fldSimple w:instr=" REF video_23_May \h  \* MERGEFORMAT ">
        <w:r w:rsidR="00D4256A" w:rsidRPr="000A38E5">
          <w:rPr>
            <w:noProof/>
            <w:lang w:val="ru-RU"/>
          </w:rPr>
          <w:t>33</w:t>
        </w:r>
      </w:fldSimple>
      <w:r w:rsidR="00D4256A" w:rsidRPr="000A38E5">
        <w:rPr>
          <w:lang w:val="ru-RU"/>
        </w:rPr>
        <w:t xml:space="preserve"> </w:t>
      </w:r>
      <w:r w:rsidR="00D4256A" w:rsidRPr="000A38E5">
        <w:rPr>
          <w:lang w:val="uk-UA"/>
        </w:rPr>
        <w:t>та</w:t>
      </w:r>
      <w:r w:rsidR="00D4256A" w:rsidRPr="000A38E5">
        <w:t> </w:t>
      </w:r>
      <w:fldSimple w:instr=" REF video_25_May \h  \* MERGEFORMAT ">
        <w:r w:rsidR="00D4256A" w:rsidRPr="000A38E5">
          <w:rPr>
            <w:noProof/>
            <w:lang w:val="ru-RU"/>
          </w:rPr>
          <w:t>35</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У більшості випадків ніщо не вказує на особи окремих протестуючих</w:t>
      </w:r>
      <w:r w:rsidR="00D4256A" w:rsidRPr="000A38E5">
        <w:rPr>
          <w:lang w:val="ru-RU"/>
        </w:rPr>
        <w:t xml:space="preserve"> </w:t>
      </w:r>
      <w:r w:rsidR="00D4256A" w:rsidRPr="000A38E5">
        <w:rPr>
          <w:lang w:val="uk-UA"/>
        </w:rPr>
        <w:t>та на те, чи заявники були серед них</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216</w:t>
      </w:r>
      <w:r w:rsidRPr="000A38E5">
        <w:fldChar w:fldCharType="end"/>
      </w:r>
      <w:r w:rsidR="00D4256A" w:rsidRPr="000A38E5">
        <w:rPr>
          <w:lang w:val="ru-RU"/>
        </w:rPr>
        <w:t>.</w:t>
      </w:r>
      <w:r w:rsidR="00D4256A" w:rsidRPr="00E93710">
        <w:rPr>
          <w:lang w:val="ru-RU"/>
        </w:rPr>
        <w:t xml:space="preserve"> </w:t>
      </w:r>
      <w:r w:rsidR="00D4256A" w:rsidRPr="000A38E5">
        <w:rPr>
          <w:lang w:val="uk-UA"/>
        </w:rPr>
        <w:t>Відповідно, ці скарги повинні бути відхилені як явно необґрунтовані</w:t>
      </w:r>
      <w:r w:rsidR="00D4256A" w:rsidRPr="000A38E5">
        <w:rPr>
          <w:lang w:val="ru-RU"/>
        </w:rPr>
        <w:t xml:space="preserve"> </w:t>
      </w:r>
      <w:r w:rsidR="00D4256A" w:rsidRPr="000A38E5">
        <w:rPr>
          <w:lang w:val="uk-UA"/>
        </w:rPr>
        <w:t>або несумісні з Конвенцією</w:t>
      </w:r>
      <w:r w:rsidR="00D4256A" w:rsidRPr="000A38E5">
        <w:rPr>
          <w:lang w:val="ru-RU"/>
        </w:rPr>
        <w:t xml:space="preserve"> </w:t>
      </w:r>
      <w:proofErr w:type="spellStart"/>
      <w:r w:rsidR="00D4256A" w:rsidRPr="000A38E5">
        <w:rPr>
          <w:i/>
        </w:rPr>
        <w:t>ratione</w:t>
      </w:r>
      <w:proofErr w:type="spellEnd"/>
      <w:r w:rsidR="00D4256A" w:rsidRPr="000A38E5">
        <w:rPr>
          <w:i/>
          <w:lang w:val="ru-RU"/>
        </w:rPr>
        <w:t xml:space="preserve"> </w:t>
      </w:r>
      <w:r w:rsidR="00D4256A" w:rsidRPr="000A38E5">
        <w:rPr>
          <w:i/>
        </w:rPr>
        <w:t>personae</w:t>
      </w:r>
      <w:r w:rsidR="00D4256A" w:rsidRPr="000A38E5">
        <w:rPr>
          <w:lang w:val="ru-RU"/>
        </w:rPr>
        <w:t xml:space="preserve">, </w:t>
      </w:r>
      <w:r w:rsidR="00D4256A" w:rsidRPr="000A38E5">
        <w:rPr>
          <w:lang w:val="uk-UA"/>
        </w:rPr>
        <w:t>відповідно до статті</w:t>
      </w:r>
      <w:r w:rsidR="00D4256A" w:rsidRPr="000A38E5">
        <w:rPr>
          <w:lang w:val="ru-RU"/>
        </w:rPr>
        <w:t xml:space="preserve"> 35 §§ 3 (</w:t>
      </w:r>
      <w:r w:rsidR="00D4256A" w:rsidRPr="000A38E5">
        <w:t>a</w:t>
      </w:r>
      <w:r w:rsidR="00D4256A" w:rsidRPr="000A38E5">
        <w:rPr>
          <w:lang w:val="ru-RU"/>
        </w:rPr>
        <w:t xml:space="preserve">) </w:t>
      </w:r>
      <w:r w:rsidR="00D4256A" w:rsidRPr="000A38E5">
        <w:rPr>
          <w:lang w:val="uk-UA"/>
        </w:rPr>
        <w:t>та 4 Конвенції</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217</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Решта скарг першого-сьомого та дев’ятого заявників</w:t>
      </w:r>
      <w:r w:rsidR="00D4256A" w:rsidRPr="000A38E5">
        <w:rPr>
          <w:lang w:val="ru-RU"/>
        </w:rPr>
        <w:t xml:space="preserve"> </w:t>
      </w:r>
      <w:r w:rsidR="00D4256A" w:rsidRPr="000A38E5">
        <w:rPr>
          <w:lang w:val="uk-UA"/>
        </w:rPr>
        <w:t>відповідно до статті</w:t>
      </w:r>
      <w:r w:rsidR="00D4256A" w:rsidRPr="000A38E5">
        <w:rPr>
          <w:lang w:val="ru-RU"/>
        </w:rPr>
        <w:t xml:space="preserve"> 11 (</w:t>
      </w:r>
      <w:r w:rsidR="00D4256A" w:rsidRPr="000A38E5">
        <w:rPr>
          <w:lang w:val="uk-UA"/>
        </w:rPr>
        <w:t>див. пункт</w:t>
      </w:r>
      <w:r w:rsidR="00D4256A" w:rsidRPr="000A38E5">
        <w:rPr>
          <w:lang w:val="ru-RU"/>
        </w:rPr>
        <w:t xml:space="preserve"> </w:t>
      </w:r>
      <w:fldSimple w:instr=" REF apps_submissions_forms_of_interference \h  \* MERGEFORMAT ">
        <w:r w:rsidR="00D4256A" w:rsidRPr="000A38E5">
          <w:rPr>
            <w:noProof/>
            <w:lang w:val="ru-RU"/>
          </w:rPr>
          <w:t>188</w:t>
        </w:r>
      </w:fldSimple>
      <w:r w:rsidR="00D4256A" w:rsidRPr="000A38E5">
        <w:rPr>
          <w:lang w:val="ru-RU"/>
        </w:rPr>
        <w:t xml:space="preserve"> (</w:t>
      </w:r>
      <w:proofErr w:type="spellStart"/>
      <w:r w:rsidR="00D4256A" w:rsidRPr="000A38E5">
        <w:t>i</w:t>
      </w:r>
      <w:proofErr w:type="spellEnd"/>
      <w:r w:rsidR="00D4256A" w:rsidRPr="000A38E5">
        <w:rPr>
          <w:lang w:val="ru-RU"/>
        </w:rPr>
        <w:t xml:space="preserve">) </w:t>
      </w:r>
      <w:r w:rsidR="00D4256A" w:rsidRPr="000A38E5">
        <w:rPr>
          <w:lang w:val="uk-UA"/>
        </w:rPr>
        <w:t>та</w:t>
      </w:r>
      <w:r w:rsidR="00D4256A" w:rsidRPr="000A38E5">
        <w:rPr>
          <w:lang w:val="ru-RU"/>
        </w:rPr>
        <w:t xml:space="preserve"> (</w:t>
      </w:r>
      <w:r w:rsidR="00D4256A" w:rsidRPr="000A38E5">
        <w:t>vii</w:t>
      </w:r>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не є явно необґрунтованими в розумінні статті</w:t>
      </w:r>
      <w:r w:rsidR="00D4256A" w:rsidRPr="000A38E5">
        <w:rPr>
          <w:lang w:val="ru-RU"/>
        </w:rPr>
        <w:t xml:space="preserve"> 35 § 3 (</w:t>
      </w:r>
      <w:r w:rsidR="00D4256A" w:rsidRPr="000A38E5">
        <w:t>a</w:t>
      </w:r>
      <w:r w:rsidR="00D4256A" w:rsidRPr="000A38E5">
        <w:rPr>
          <w:lang w:val="ru-RU"/>
        </w:rPr>
        <w:t xml:space="preserve">) </w:t>
      </w:r>
      <w:r w:rsidR="00D4256A" w:rsidRPr="000A38E5">
        <w:rPr>
          <w:lang w:val="uk-UA"/>
        </w:rPr>
        <w:t>Конвенції</w:t>
      </w:r>
      <w:r w:rsidR="00D4256A" w:rsidRPr="000A38E5">
        <w:rPr>
          <w:lang w:val="ru-RU"/>
        </w:rPr>
        <w:t xml:space="preserve">. </w:t>
      </w:r>
      <w:r w:rsidR="00D4256A" w:rsidRPr="000A38E5">
        <w:rPr>
          <w:lang w:val="uk-UA"/>
        </w:rPr>
        <w:t>Вони не є неприйнятними за будь-яких інших підстав. Тому вони повинні бути визнані прийнятними</w:t>
      </w:r>
      <w:r w:rsidR="00D4256A" w:rsidRPr="000A38E5">
        <w:rPr>
          <w:lang w:val="ru-RU"/>
        </w:rPr>
        <w:t>.</w:t>
      </w:r>
    </w:p>
    <w:p w:rsidR="00D4256A" w:rsidRPr="000A38E5" w:rsidRDefault="00D4256A" w:rsidP="00D4256A">
      <w:pPr>
        <w:pStyle w:val="ECHRHeading3"/>
        <w:rPr>
          <w:lang w:val="uk-UA"/>
        </w:rPr>
      </w:pPr>
      <w:r w:rsidRPr="000A38E5">
        <w:rPr>
          <w:lang w:val="ru-RU"/>
        </w:rPr>
        <w:t>2.</w:t>
      </w:r>
      <w:r w:rsidRPr="00E93710">
        <w:rPr>
          <w:lang w:val="ru-RU"/>
        </w:rPr>
        <w:t xml:space="preserve"> </w:t>
      </w:r>
      <w:r w:rsidRPr="000A38E5">
        <w:rPr>
          <w:lang w:val="uk-UA"/>
        </w:rPr>
        <w:t>Суть справи</w:t>
      </w:r>
    </w:p>
    <w:p w:rsidR="00D4256A" w:rsidRPr="000A38E5" w:rsidRDefault="00D4256A" w:rsidP="00D4256A">
      <w:pPr>
        <w:pStyle w:val="ECHRHeading4"/>
        <w:rPr>
          <w:lang w:val="uk-UA"/>
        </w:rPr>
      </w:pPr>
      <w:r w:rsidRPr="000A38E5">
        <w:rPr>
          <w:lang w:val="ru-RU"/>
        </w:rPr>
        <w:t>(</w:t>
      </w:r>
      <w:r w:rsidRPr="000A38E5">
        <w:t>a</w:t>
      </w:r>
      <w:r w:rsidRPr="000A38E5">
        <w:rPr>
          <w:lang w:val="ru-RU"/>
        </w:rPr>
        <w:t>)</w:t>
      </w:r>
      <w:r w:rsidRPr="00E93710">
        <w:rPr>
          <w:lang w:val="ru-RU"/>
        </w:rPr>
        <w:t xml:space="preserve"> </w:t>
      </w:r>
      <w:r w:rsidRPr="000A38E5">
        <w:rPr>
          <w:lang w:val="uk-UA"/>
        </w:rPr>
        <w:t>Відповідні принципи</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218</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Суд повторює свою практику стосовно того, що формулювання</w:t>
      </w:r>
      <w:r w:rsidR="00D4256A" w:rsidRPr="000A38E5">
        <w:rPr>
          <w:lang w:val="ru-RU"/>
        </w:rPr>
        <w:t xml:space="preserve"> </w:t>
      </w:r>
      <w:r w:rsidR="00D4256A" w:rsidRPr="000A38E5">
        <w:rPr>
          <w:lang w:val="uk-UA"/>
        </w:rPr>
        <w:t>«передбачено законом» та «відповідно до закону»</w:t>
      </w:r>
      <w:r w:rsidR="00D4256A" w:rsidRPr="000A38E5">
        <w:rPr>
          <w:lang w:val="ru-RU"/>
        </w:rPr>
        <w:t xml:space="preserve"> </w:t>
      </w:r>
      <w:r w:rsidR="00D4256A" w:rsidRPr="000A38E5">
        <w:rPr>
          <w:lang w:val="uk-UA"/>
        </w:rPr>
        <w:t>у статтях 8-11 Конвенції</w:t>
      </w:r>
      <w:r w:rsidR="00D4256A" w:rsidRPr="000A38E5">
        <w:rPr>
          <w:lang w:val="ru-RU"/>
        </w:rPr>
        <w:t xml:space="preserve"> </w:t>
      </w:r>
      <w:r w:rsidR="00D4256A" w:rsidRPr="000A38E5">
        <w:rPr>
          <w:lang w:val="uk-UA"/>
        </w:rPr>
        <w:t>не тільки вимагають, щоб оскаржуваний захід мав законну основу в національному законодавстві</w:t>
      </w:r>
      <w:r w:rsidR="00D4256A" w:rsidRPr="000A38E5">
        <w:rPr>
          <w:lang w:val="ru-RU"/>
        </w:rPr>
        <w:t xml:space="preserve">, </w:t>
      </w:r>
      <w:r w:rsidR="00D4256A" w:rsidRPr="000A38E5">
        <w:rPr>
          <w:lang w:val="uk-UA"/>
        </w:rPr>
        <w:t>але й посилаються на якість відповідного закону</w:t>
      </w:r>
      <w:r w:rsidR="00D4256A" w:rsidRPr="000A38E5">
        <w:rPr>
          <w:lang w:val="ru-RU"/>
        </w:rPr>
        <w:t xml:space="preserve">, </w:t>
      </w:r>
      <w:r w:rsidR="00D4256A" w:rsidRPr="000A38E5">
        <w:rPr>
          <w:lang w:val="uk-UA"/>
        </w:rPr>
        <w:t>який повинен був доступним відповідній особі та мати передбачувані наслідки</w:t>
      </w:r>
      <w:r w:rsidR="00D4256A" w:rsidRPr="000A38E5">
        <w:rPr>
          <w:lang w:val="ru-RU"/>
        </w:rPr>
        <w:t xml:space="preserve"> (</w:t>
      </w:r>
      <w:r w:rsidR="00D4256A" w:rsidRPr="000A38E5">
        <w:rPr>
          <w:lang w:val="uk-UA"/>
        </w:rPr>
        <w:t>див.</w:t>
      </w:r>
      <w:r w:rsidR="00D4256A" w:rsidRPr="000A38E5">
        <w:rPr>
          <w:lang w:val="ru-RU"/>
        </w:rPr>
        <w:t xml:space="preserve"> </w:t>
      </w:r>
      <w:proofErr w:type="spellStart"/>
      <w:r w:rsidR="00D4256A" w:rsidRPr="000A38E5">
        <w:rPr>
          <w:i/>
        </w:rPr>
        <w:t>Kudrevi</w:t>
      </w:r>
      <w:r w:rsidR="00D4256A" w:rsidRPr="000A38E5">
        <w:rPr>
          <w:i/>
          <w:lang w:val="ru-RU"/>
        </w:rPr>
        <w:t>č</w:t>
      </w:r>
      <w:r w:rsidR="00D4256A" w:rsidRPr="000A38E5">
        <w:rPr>
          <w:i/>
        </w:rPr>
        <w:t>ius</w:t>
      </w:r>
      <w:proofErr w:type="spellEnd"/>
      <w:r w:rsidR="00D4256A" w:rsidRPr="000A38E5">
        <w:rPr>
          <w:lang w:val="ru-RU"/>
        </w:rPr>
        <w:t xml:space="preserve"> </w:t>
      </w:r>
      <w:r w:rsidR="00D4256A" w:rsidRPr="000A38E5">
        <w:rPr>
          <w:i/>
        </w:rPr>
        <w:t>and</w:t>
      </w:r>
      <w:r w:rsidR="00D4256A" w:rsidRPr="000A38E5">
        <w:rPr>
          <w:i/>
          <w:lang w:val="ru-RU"/>
        </w:rPr>
        <w:t xml:space="preserve"> </w:t>
      </w:r>
      <w:r w:rsidR="00D4256A" w:rsidRPr="000A38E5">
        <w:rPr>
          <w:i/>
        </w:rPr>
        <w:t>Others</w:t>
      </w:r>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Lithuania</w:t>
      </w:r>
      <w:r w:rsidR="00D4256A" w:rsidRPr="000A38E5">
        <w:rPr>
          <w:i/>
          <w:lang w:val="ru-RU"/>
        </w:rPr>
        <w:t xml:space="preserve"> </w:t>
      </w:r>
      <w:r w:rsidR="00D4256A" w:rsidRPr="000A38E5">
        <w:rPr>
          <w:lang w:val="ru-RU"/>
        </w:rPr>
        <w:t>[</w:t>
      </w:r>
      <w:r w:rsidR="00D4256A" w:rsidRPr="000A38E5">
        <w:t>GC</w:t>
      </w:r>
      <w:r w:rsidR="00D4256A" w:rsidRPr="000A38E5">
        <w:rPr>
          <w:lang w:val="ru-RU"/>
        </w:rPr>
        <w:t>]</w:t>
      </w:r>
      <w:r w:rsidR="00D4256A" w:rsidRPr="000A38E5">
        <w:rPr>
          <w:snapToGrid w:val="0"/>
          <w:lang w:val="ru-RU"/>
        </w:rPr>
        <w:t xml:space="preserve">, </w:t>
      </w:r>
      <w:r w:rsidR="00D4256A" w:rsidRPr="000A38E5">
        <w:rPr>
          <w:lang w:val="uk-UA"/>
        </w:rPr>
        <w:t>№</w:t>
      </w:r>
      <w:r w:rsidR="00D4256A" w:rsidRPr="000A38E5">
        <w:rPr>
          <w:lang w:val="ru-RU"/>
        </w:rPr>
        <w:t xml:space="preserve"> 37553/05, § 108, </w:t>
      </w:r>
      <w:r w:rsidR="00D4256A" w:rsidRPr="000A38E5">
        <w:t>ECHR</w:t>
      </w:r>
      <w:r w:rsidR="00D4256A" w:rsidRPr="000A38E5">
        <w:rPr>
          <w:lang w:val="ru-RU"/>
        </w:rPr>
        <w:t xml:space="preserve"> 2015, </w:t>
      </w:r>
      <w:r w:rsidR="00D4256A" w:rsidRPr="000A38E5">
        <w:rPr>
          <w:lang w:val="uk-UA"/>
        </w:rPr>
        <w:t>з подальшими посиланнями</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219</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Право на свободу зібрання, одна зі свобод демократичного суспільства</w:t>
      </w:r>
      <w:r w:rsidR="00D4256A" w:rsidRPr="000A38E5">
        <w:rPr>
          <w:lang w:val="ru-RU"/>
        </w:rPr>
        <w:t xml:space="preserve">, </w:t>
      </w:r>
      <w:r w:rsidR="00D4256A" w:rsidRPr="000A38E5">
        <w:rPr>
          <w:lang w:val="uk-UA"/>
        </w:rPr>
        <w:t>підлягає ряду винятків, які повинні тлумачитися вузько,</w:t>
      </w:r>
      <w:r w:rsidR="00D4256A" w:rsidRPr="000A38E5">
        <w:rPr>
          <w:lang w:val="ru-RU"/>
        </w:rPr>
        <w:t xml:space="preserve"> </w:t>
      </w:r>
      <w:r w:rsidR="00D4256A" w:rsidRPr="000A38E5">
        <w:rPr>
          <w:lang w:val="uk-UA"/>
        </w:rPr>
        <w:t>і необхідність будь-яких обмежень повинна бути переконливо встановлена</w:t>
      </w:r>
      <w:r w:rsidR="00D4256A" w:rsidRPr="000A38E5">
        <w:rPr>
          <w:lang w:val="ru-RU"/>
        </w:rPr>
        <w:t xml:space="preserve">. </w:t>
      </w:r>
      <w:r w:rsidR="00D4256A" w:rsidRPr="000A38E5">
        <w:rPr>
          <w:lang w:val="uk-UA"/>
        </w:rPr>
        <w:t>При розгляді того, чи обмеження гарантованих Конвенцією прав та свобод</w:t>
      </w:r>
      <w:r w:rsidR="00D4256A" w:rsidRPr="000A38E5">
        <w:rPr>
          <w:lang w:val="ru-RU"/>
        </w:rPr>
        <w:t xml:space="preserve"> </w:t>
      </w:r>
      <w:r w:rsidR="00D4256A" w:rsidRPr="000A38E5">
        <w:rPr>
          <w:lang w:val="uk-UA"/>
        </w:rPr>
        <w:t>може вважатися «необхідним у демократичному суспільстві»</w:t>
      </w:r>
      <w:r w:rsidR="00D4256A" w:rsidRPr="000A38E5">
        <w:rPr>
          <w:lang w:val="ru-RU"/>
        </w:rPr>
        <w:t xml:space="preserve">, </w:t>
      </w:r>
      <w:r w:rsidR="00D4256A" w:rsidRPr="000A38E5">
        <w:rPr>
          <w:lang w:val="uk-UA"/>
        </w:rPr>
        <w:t>Договірні Держави користуються певною, але не необмеженою, свободою розсуду</w:t>
      </w:r>
      <w:r w:rsidR="00D4256A" w:rsidRPr="000A38E5">
        <w:rPr>
          <w:lang w:val="ru-RU"/>
        </w:rPr>
        <w:t xml:space="preserve">. </w:t>
      </w:r>
      <w:r w:rsidR="00D4256A" w:rsidRPr="000A38E5">
        <w:rPr>
          <w:lang w:val="uk-UA"/>
        </w:rPr>
        <w:t>У будь-якому випадку, Суд робить остаточний висновок про відповідність обмеження вимогам Конвенції,</w:t>
      </w:r>
      <w:r w:rsidR="00D4256A" w:rsidRPr="000A38E5">
        <w:rPr>
          <w:lang w:val="ru-RU"/>
        </w:rPr>
        <w:t xml:space="preserve"> </w:t>
      </w:r>
      <w:r w:rsidR="00D4256A" w:rsidRPr="000A38E5">
        <w:rPr>
          <w:lang w:val="uk-UA"/>
        </w:rPr>
        <w:t>і це необхідно зробити шляхом оцінки обставин конкретної справи</w:t>
      </w:r>
      <w:r w:rsidR="00D4256A" w:rsidRPr="000A38E5">
        <w:rPr>
          <w:lang w:val="ru-RU"/>
        </w:rPr>
        <w:t xml:space="preserve"> (</w:t>
      </w:r>
      <w:r w:rsidR="00D4256A" w:rsidRPr="000A38E5">
        <w:rPr>
          <w:lang w:val="uk-UA"/>
        </w:rPr>
        <w:t>там же</w:t>
      </w:r>
      <w:r w:rsidR="00D4256A" w:rsidRPr="000A38E5">
        <w:rPr>
          <w:lang w:val="ru-RU"/>
        </w:rPr>
        <w:t>, §</w:t>
      </w:r>
      <w:r w:rsidR="00D4256A" w:rsidRPr="000A38E5">
        <w:t> </w:t>
      </w:r>
      <w:r w:rsidR="00D4256A" w:rsidRPr="000A38E5">
        <w:rPr>
          <w:lang w:val="ru-RU"/>
        </w:rPr>
        <w:t>142).</w:t>
      </w:r>
    </w:p>
    <w:p w:rsidR="00D4256A" w:rsidRPr="000A38E5" w:rsidRDefault="004E7608" w:rsidP="00D4256A">
      <w:pPr>
        <w:pStyle w:val="ECHRPara"/>
        <w:rPr>
          <w:lang w:val="uk-UA"/>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220</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Коли Суд здійснює свій контроль</w:t>
      </w:r>
      <w:r w:rsidR="00D4256A" w:rsidRPr="000A38E5">
        <w:rPr>
          <w:lang w:val="ru-RU"/>
        </w:rPr>
        <w:t xml:space="preserve">, </w:t>
      </w:r>
      <w:r w:rsidR="00D4256A" w:rsidRPr="000A38E5">
        <w:rPr>
          <w:lang w:val="uk-UA"/>
        </w:rPr>
        <w:t>його задача полягає не в тому, щоб замінити власною думкою висновки відповідних національних органів,</w:t>
      </w:r>
      <w:r w:rsidR="00D4256A" w:rsidRPr="000A38E5">
        <w:rPr>
          <w:lang w:val="ru-RU"/>
        </w:rPr>
        <w:t xml:space="preserve"> </w:t>
      </w:r>
      <w:r w:rsidR="00D4256A" w:rsidRPr="000A38E5">
        <w:rPr>
          <w:lang w:val="uk-UA"/>
        </w:rPr>
        <w:t>а в перегляді відповідно до статті 11 прийнятих ними рішень</w:t>
      </w:r>
      <w:r w:rsidR="00D4256A" w:rsidRPr="000A38E5">
        <w:rPr>
          <w:lang w:val="ru-RU"/>
        </w:rPr>
        <w:t xml:space="preserve">. </w:t>
      </w:r>
      <w:r w:rsidR="00D4256A" w:rsidRPr="000A38E5">
        <w:rPr>
          <w:lang w:val="uk-UA"/>
        </w:rPr>
        <w:t>Це не означає, що Суд повинен обмежитися переконанням стосовно того, чи держава скористалася свободою розсуду розумно, обережно та добросовісно; він повинен звернути увагу на оскаржуване втручання у світлі справи в цілому та визначити, після встановлення, що воно переслідувало «законну мету», чи воно відповідало «нагальному суспільному інтересу», та зокрема, чи воно було пропорційним цій меті та чи підстави, надані національними органами влади для його виправдання, були «належними та достатніми» (там же, § 143).</w:t>
      </w:r>
    </w:p>
    <w:p w:rsidR="00D4256A" w:rsidRPr="000A38E5" w:rsidRDefault="004E7608" w:rsidP="00D4256A">
      <w:pPr>
        <w:pStyle w:val="ECHRPara"/>
        <w:rPr>
          <w:lang w:val="ru-RU"/>
        </w:rPr>
      </w:pPr>
      <w:r w:rsidRPr="000A38E5">
        <w:lastRenderedPageBreak/>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221</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Характер та тяжкість накладених покарань також є факторами,</w:t>
      </w:r>
      <w:r w:rsidR="00D4256A" w:rsidRPr="000A38E5">
        <w:rPr>
          <w:lang w:val="ru-RU"/>
        </w:rPr>
        <w:t xml:space="preserve"> </w:t>
      </w:r>
      <w:r w:rsidR="00D4256A" w:rsidRPr="000A38E5">
        <w:rPr>
          <w:lang w:val="uk-UA"/>
        </w:rPr>
        <w:t>які необхідно прийняти до уваги при оцінці пропорційності</w:t>
      </w:r>
      <w:r w:rsidR="00D4256A" w:rsidRPr="000A38E5">
        <w:rPr>
          <w:lang w:val="ru-RU"/>
        </w:rPr>
        <w:t xml:space="preserve"> </w:t>
      </w:r>
      <w:r w:rsidR="00D4256A" w:rsidRPr="000A38E5">
        <w:rPr>
          <w:lang w:val="uk-UA"/>
        </w:rPr>
        <w:t>втручання по відношенню до переслідуваної мети</w:t>
      </w:r>
      <w:r w:rsidR="00D4256A" w:rsidRPr="000A38E5">
        <w:rPr>
          <w:lang w:val="ru-RU"/>
        </w:rPr>
        <w:t xml:space="preserve">. </w:t>
      </w:r>
      <w:r w:rsidR="00D4256A" w:rsidRPr="000A38E5">
        <w:rPr>
          <w:lang w:val="uk-UA"/>
        </w:rPr>
        <w:t>Якщо накладені на учасників демонстрації санкції є кримінальними за своїм характером</w:t>
      </w:r>
      <w:r w:rsidR="00D4256A" w:rsidRPr="000A38E5">
        <w:rPr>
          <w:lang w:val="ru-RU"/>
        </w:rPr>
        <w:t xml:space="preserve">, </w:t>
      </w:r>
      <w:r w:rsidR="00D4256A" w:rsidRPr="000A38E5">
        <w:rPr>
          <w:lang w:val="uk-UA"/>
        </w:rPr>
        <w:t>вони вимагають особливого обґрунтування</w:t>
      </w:r>
      <w:r w:rsidR="00D4256A" w:rsidRPr="000A38E5">
        <w:rPr>
          <w:lang w:val="ru-RU"/>
        </w:rPr>
        <w:t xml:space="preserve">. </w:t>
      </w:r>
      <w:r w:rsidR="00D4256A" w:rsidRPr="000A38E5">
        <w:rPr>
          <w:lang w:val="uk-UA"/>
        </w:rPr>
        <w:t>Мирна демонстрація, в принципі, не тягнути за собою загрозу</w:t>
      </w:r>
      <w:r w:rsidR="00D4256A" w:rsidRPr="000A38E5">
        <w:rPr>
          <w:lang w:val="ru-RU"/>
        </w:rPr>
        <w:t xml:space="preserve"> </w:t>
      </w:r>
      <w:r w:rsidR="00D4256A" w:rsidRPr="000A38E5">
        <w:rPr>
          <w:lang w:val="uk-UA"/>
        </w:rPr>
        <w:t>кримінального покарання</w:t>
      </w:r>
      <w:r w:rsidR="00D4256A" w:rsidRPr="000A38E5">
        <w:rPr>
          <w:lang w:val="ru-RU"/>
        </w:rPr>
        <w:t xml:space="preserve">, </w:t>
      </w:r>
      <w:r w:rsidR="00D4256A" w:rsidRPr="000A38E5">
        <w:rPr>
          <w:lang w:val="uk-UA"/>
        </w:rPr>
        <w:t>і особливо позбавлення волі</w:t>
      </w:r>
      <w:r w:rsidR="00D4256A" w:rsidRPr="000A38E5">
        <w:rPr>
          <w:lang w:val="ru-RU"/>
        </w:rPr>
        <w:t xml:space="preserve">. </w:t>
      </w:r>
      <w:r w:rsidR="00D4256A" w:rsidRPr="000A38E5">
        <w:rPr>
          <w:lang w:val="uk-UA"/>
        </w:rPr>
        <w:t>Таким чином, Суд повинен розглянути з особливою ретельністю справи,</w:t>
      </w:r>
      <w:r w:rsidR="00D4256A" w:rsidRPr="000A38E5">
        <w:rPr>
          <w:lang w:val="ru-RU"/>
        </w:rPr>
        <w:t xml:space="preserve"> </w:t>
      </w:r>
      <w:r w:rsidR="00D4256A" w:rsidRPr="000A38E5">
        <w:rPr>
          <w:lang w:val="uk-UA"/>
        </w:rPr>
        <w:t>в яких санкції, накладені національними органами влади</w:t>
      </w:r>
      <w:r w:rsidR="00D4256A" w:rsidRPr="000A38E5">
        <w:rPr>
          <w:lang w:val="ru-RU"/>
        </w:rPr>
        <w:t xml:space="preserve"> </w:t>
      </w:r>
      <w:r w:rsidR="00D4256A" w:rsidRPr="000A38E5">
        <w:rPr>
          <w:lang w:val="uk-UA"/>
        </w:rPr>
        <w:t>за ненасильницьку поведінку, становлять позбавлення волі</w:t>
      </w:r>
      <w:r w:rsidR="00D4256A" w:rsidRPr="000A38E5">
        <w:rPr>
          <w:lang w:val="ru-RU"/>
        </w:rPr>
        <w:t xml:space="preserve"> (</w:t>
      </w:r>
      <w:r w:rsidR="00D4256A" w:rsidRPr="000A38E5">
        <w:rPr>
          <w:lang w:val="uk-UA"/>
        </w:rPr>
        <w:t>там же</w:t>
      </w:r>
      <w:r w:rsidR="00D4256A" w:rsidRPr="000A38E5">
        <w:rPr>
          <w:lang w:val="ru-RU"/>
        </w:rPr>
        <w:t>, § 146).</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222</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Держави повинні не тільки утримуватися від застосування</w:t>
      </w:r>
      <w:r w:rsidR="00D4256A" w:rsidRPr="000A38E5">
        <w:rPr>
          <w:lang w:val="ru-RU"/>
        </w:rPr>
        <w:t xml:space="preserve"> </w:t>
      </w:r>
      <w:r w:rsidR="00D4256A" w:rsidRPr="000A38E5">
        <w:rPr>
          <w:lang w:val="uk-UA"/>
        </w:rPr>
        <w:t>невиправданих непрямих обмежень</w:t>
      </w:r>
      <w:r w:rsidR="00D4256A" w:rsidRPr="000A38E5">
        <w:rPr>
          <w:lang w:val="ru-RU"/>
        </w:rPr>
        <w:t xml:space="preserve"> </w:t>
      </w:r>
      <w:r w:rsidR="00D4256A" w:rsidRPr="000A38E5">
        <w:rPr>
          <w:lang w:val="uk-UA"/>
        </w:rPr>
        <w:t>права на мирні зібрання,</w:t>
      </w:r>
      <w:r w:rsidR="00D4256A" w:rsidRPr="000A38E5">
        <w:rPr>
          <w:lang w:val="ru-RU"/>
        </w:rPr>
        <w:t xml:space="preserve"> </w:t>
      </w:r>
      <w:r w:rsidR="00D4256A" w:rsidRPr="000A38E5">
        <w:rPr>
          <w:lang w:val="uk-UA"/>
        </w:rPr>
        <w:t>але й захищати це право</w:t>
      </w:r>
      <w:r w:rsidR="00D4256A" w:rsidRPr="000A38E5">
        <w:rPr>
          <w:lang w:val="ru-RU"/>
        </w:rPr>
        <w:t xml:space="preserve">. </w:t>
      </w:r>
      <w:r w:rsidR="00D4256A" w:rsidRPr="000A38E5">
        <w:rPr>
          <w:lang w:val="uk-UA"/>
        </w:rPr>
        <w:t>Хоча ключовим об’єктом статті 11 є захист особи</w:t>
      </w:r>
      <w:r w:rsidR="00D4256A" w:rsidRPr="000A38E5">
        <w:rPr>
          <w:lang w:val="ru-RU"/>
        </w:rPr>
        <w:t xml:space="preserve"> </w:t>
      </w:r>
      <w:r w:rsidR="00D4256A" w:rsidRPr="000A38E5">
        <w:rPr>
          <w:lang w:val="uk-UA"/>
        </w:rPr>
        <w:t>від довільного втручання</w:t>
      </w:r>
      <w:r w:rsidR="00D4256A" w:rsidRPr="000A38E5">
        <w:rPr>
          <w:lang w:val="ru-RU"/>
        </w:rPr>
        <w:t xml:space="preserve"> </w:t>
      </w:r>
      <w:r w:rsidR="00D4256A" w:rsidRPr="000A38E5">
        <w:rPr>
          <w:lang w:val="uk-UA"/>
        </w:rPr>
        <w:t>державних органів влади у користування захищеними правами</w:t>
      </w:r>
      <w:r w:rsidR="00D4256A" w:rsidRPr="000A38E5">
        <w:rPr>
          <w:lang w:val="ru-RU"/>
        </w:rPr>
        <w:t xml:space="preserve">, </w:t>
      </w:r>
      <w:r w:rsidR="00D4256A" w:rsidRPr="000A38E5">
        <w:rPr>
          <w:lang w:val="uk-UA"/>
        </w:rPr>
        <w:t>крім цього можуть існувати позитивні обов’язки</w:t>
      </w:r>
      <w:r w:rsidR="00D4256A" w:rsidRPr="000A38E5">
        <w:rPr>
          <w:lang w:val="ru-RU"/>
        </w:rPr>
        <w:t xml:space="preserve"> </w:t>
      </w:r>
      <w:r w:rsidR="00D4256A" w:rsidRPr="000A38E5">
        <w:rPr>
          <w:lang w:val="uk-UA"/>
        </w:rPr>
        <w:t>щодо забезпечення ефективного користування цими правами</w:t>
      </w:r>
      <w:r w:rsidR="00D4256A" w:rsidRPr="000A38E5">
        <w:rPr>
          <w:lang w:val="ru-RU"/>
        </w:rPr>
        <w:t xml:space="preserve"> (</w:t>
      </w:r>
      <w:r w:rsidR="00D4256A" w:rsidRPr="000A38E5">
        <w:rPr>
          <w:lang w:val="uk-UA"/>
        </w:rPr>
        <w:t>там же</w:t>
      </w:r>
      <w:r w:rsidR="00D4256A" w:rsidRPr="000A38E5">
        <w:rPr>
          <w:lang w:val="ru-RU"/>
        </w:rPr>
        <w:t xml:space="preserve">., § 158). </w:t>
      </w:r>
      <w:r w:rsidR="00D4256A" w:rsidRPr="000A38E5">
        <w:rPr>
          <w:lang w:val="uk-UA"/>
        </w:rPr>
        <w:t>Органи влади мають обов’язок щодо здійснення належних заходів</w:t>
      </w:r>
      <w:r w:rsidR="00D4256A" w:rsidRPr="000A38E5">
        <w:rPr>
          <w:lang w:val="ru-RU"/>
        </w:rPr>
        <w:t xml:space="preserve"> </w:t>
      </w:r>
      <w:r w:rsidR="00D4256A" w:rsidRPr="000A38E5">
        <w:rPr>
          <w:lang w:val="uk-UA"/>
        </w:rPr>
        <w:t>стосовно законних демонстрацій для забезпечення їх мирного проведення</w:t>
      </w:r>
      <w:r w:rsidR="00D4256A" w:rsidRPr="000A38E5">
        <w:rPr>
          <w:lang w:val="ru-RU"/>
        </w:rPr>
        <w:t xml:space="preserve"> </w:t>
      </w:r>
      <w:r w:rsidR="00D4256A" w:rsidRPr="000A38E5">
        <w:rPr>
          <w:lang w:val="uk-UA"/>
        </w:rPr>
        <w:t>та безпеки усіх громадян</w:t>
      </w:r>
      <w:r w:rsidR="00D4256A" w:rsidRPr="000A38E5">
        <w:rPr>
          <w:lang w:val="ru-RU"/>
        </w:rPr>
        <w:t xml:space="preserve">. </w:t>
      </w:r>
      <w:r w:rsidR="00D4256A" w:rsidRPr="000A38E5">
        <w:rPr>
          <w:lang w:val="uk-UA"/>
        </w:rPr>
        <w:t>Однак, вони не можуть гарантувати це абсолютно</w:t>
      </w:r>
      <w:r w:rsidR="00D4256A" w:rsidRPr="000A38E5">
        <w:rPr>
          <w:lang w:val="ru-RU"/>
        </w:rPr>
        <w:t xml:space="preserve"> </w:t>
      </w:r>
      <w:r w:rsidR="00D4256A" w:rsidRPr="000A38E5">
        <w:rPr>
          <w:lang w:val="uk-UA"/>
        </w:rPr>
        <w:t>і мають широку свободу розсуду при виборі заходів</w:t>
      </w:r>
      <w:r w:rsidR="00D4256A" w:rsidRPr="000A38E5">
        <w:rPr>
          <w:lang w:val="ru-RU"/>
        </w:rPr>
        <w:t xml:space="preserve">. </w:t>
      </w:r>
      <w:r w:rsidR="00D4256A" w:rsidRPr="000A38E5">
        <w:rPr>
          <w:lang w:val="uk-UA"/>
        </w:rPr>
        <w:t>У цій галузі їх обов’язок відповідно до статті 11 Конвенції</w:t>
      </w:r>
      <w:r w:rsidR="00D4256A" w:rsidRPr="000A38E5">
        <w:rPr>
          <w:lang w:val="ru-RU"/>
        </w:rPr>
        <w:t xml:space="preserve"> </w:t>
      </w:r>
      <w:r w:rsidR="00D4256A" w:rsidRPr="000A38E5">
        <w:rPr>
          <w:lang w:val="uk-UA"/>
        </w:rPr>
        <w:t>є обов’язком здійснення заходів, а не обов’язком досягнути результатів</w:t>
      </w:r>
      <w:r w:rsidR="00D4256A" w:rsidRPr="000A38E5">
        <w:rPr>
          <w:lang w:val="ru-RU"/>
        </w:rPr>
        <w:t xml:space="preserve"> (</w:t>
      </w:r>
      <w:r w:rsidR="00D4256A" w:rsidRPr="000A38E5">
        <w:rPr>
          <w:lang w:val="uk-UA"/>
        </w:rPr>
        <w:t>див. також</w:t>
      </w:r>
      <w:r w:rsidR="00D4256A" w:rsidRPr="000A38E5">
        <w:rPr>
          <w:lang w:val="ru-RU"/>
        </w:rPr>
        <w:t>, §</w:t>
      </w:r>
      <w:r w:rsidR="00D4256A" w:rsidRPr="000A38E5">
        <w:t> </w:t>
      </w:r>
      <w:r w:rsidR="00D4256A" w:rsidRPr="000A38E5">
        <w:rPr>
          <w:lang w:val="ru-RU"/>
        </w:rPr>
        <w:t xml:space="preserve">159, </w:t>
      </w:r>
      <w:r w:rsidR="00D4256A" w:rsidRPr="000A38E5">
        <w:rPr>
          <w:lang w:val="uk-UA"/>
        </w:rPr>
        <w:t>та</w:t>
      </w:r>
      <w:r w:rsidR="00D4256A" w:rsidRPr="000A38E5">
        <w:rPr>
          <w:lang w:val="ru-RU"/>
        </w:rPr>
        <w:t xml:space="preserve"> </w:t>
      </w:r>
      <w:proofErr w:type="spellStart"/>
      <w:r w:rsidR="00D4256A" w:rsidRPr="000A38E5">
        <w:rPr>
          <w:i/>
        </w:rPr>
        <w:t>Frumkin</w:t>
      </w:r>
      <w:proofErr w:type="spellEnd"/>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Russia</w:t>
      </w:r>
      <w:r w:rsidR="00D4256A" w:rsidRPr="000A38E5">
        <w:rPr>
          <w:lang w:val="ru-RU"/>
        </w:rPr>
        <w:t xml:space="preserve">, </w:t>
      </w:r>
      <w:r w:rsidR="00D4256A" w:rsidRPr="000A38E5">
        <w:rPr>
          <w:lang w:val="uk-UA"/>
        </w:rPr>
        <w:t>№</w:t>
      </w:r>
      <w:r w:rsidR="00D4256A" w:rsidRPr="000A38E5">
        <w:t> </w:t>
      </w:r>
      <w:r w:rsidR="00D4256A" w:rsidRPr="000A38E5">
        <w:rPr>
          <w:lang w:val="ru-RU"/>
        </w:rPr>
        <w:t>74568/12</w:t>
      </w:r>
      <w:r w:rsidR="00D4256A" w:rsidRPr="000A38E5">
        <w:rPr>
          <w:snapToGrid w:val="0"/>
          <w:lang w:val="ru-RU"/>
        </w:rPr>
        <w:t xml:space="preserve">, § 96, </w:t>
      </w:r>
      <w:r w:rsidR="00D4256A" w:rsidRPr="000A38E5">
        <w:t>ECHR</w:t>
      </w:r>
      <w:r w:rsidR="00D4256A" w:rsidRPr="000A38E5">
        <w:rPr>
          <w:lang w:val="ru-RU"/>
        </w:rPr>
        <w:t xml:space="preserve"> 2016 (</w:t>
      </w:r>
      <w:r w:rsidR="00D4256A" w:rsidRPr="000A38E5">
        <w:rPr>
          <w:lang w:val="uk-UA"/>
        </w:rPr>
        <w:t>витяги</w:t>
      </w:r>
      <w:r w:rsidR="00D4256A" w:rsidRPr="000A38E5">
        <w:rPr>
          <w:lang w:val="ru-RU"/>
        </w:rPr>
        <w:t>)).</w:t>
      </w:r>
    </w:p>
    <w:p w:rsidR="00D4256A" w:rsidRPr="000A38E5" w:rsidRDefault="00D4256A" w:rsidP="00D4256A">
      <w:pPr>
        <w:pStyle w:val="ECHRHeading4"/>
        <w:rPr>
          <w:lang w:val="uk-UA"/>
        </w:rPr>
      </w:pPr>
      <w:r w:rsidRPr="000A38E5">
        <w:rPr>
          <w:lang w:val="ru-RU"/>
        </w:rPr>
        <w:t>(</w:t>
      </w:r>
      <w:r w:rsidRPr="000A38E5">
        <w:t>b</w:t>
      </w:r>
      <w:r w:rsidRPr="000A38E5">
        <w:rPr>
          <w:lang w:val="ru-RU"/>
        </w:rPr>
        <w:t>)</w:t>
      </w:r>
      <w:r w:rsidRPr="00E93710">
        <w:rPr>
          <w:lang w:val="ru-RU"/>
        </w:rPr>
        <w:t xml:space="preserve"> </w:t>
      </w:r>
      <w:r w:rsidRPr="000A38E5">
        <w:rPr>
          <w:lang w:val="uk-UA"/>
        </w:rPr>
        <w:t>Застосування цих принципів до даної справи</w:t>
      </w:r>
    </w:p>
    <w:p w:rsidR="00D4256A" w:rsidRPr="000A38E5" w:rsidRDefault="00D4256A" w:rsidP="00D4256A">
      <w:pPr>
        <w:pStyle w:val="ECHRHeading5"/>
        <w:rPr>
          <w:lang w:val="uk-UA"/>
        </w:rPr>
      </w:pPr>
      <w:r w:rsidRPr="000A38E5">
        <w:rPr>
          <w:lang w:val="ru-RU"/>
        </w:rPr>
        <w:t>(</w:t>
      </w:r>
      <w:proofErr w:type="spellStart"/>
      <w:r w:rsidRPr="000A38E5">
        <w:t>i</w:t>
      </w:r>
      <w:proofErr w:type="spellEnd"/>
      <w:r w:rsidRPr="000A38E5">
        <w:rPr>
          <w:lang w:val="ru-RU"/>
        </w:rPr>
        <w:t>)</w:t>
      </w:r>
      <w:r w:rsidRPr="00E93710">
        <w:rPr>
          <w:lang w:val="ru-RU"/>
        </w:rPr>
        <w:t xml:space="preserve"> </w:t>
      </w:r>
      <w:r w:rsidRPr="000A38E5">
        <w:rPr>
          <w:lang w:val="uk-UA"/>
        </w:rPr>
        <w:t>Арешти та засудження перших шести заявників</w:t>
      </w:r>
    </w:p>
    <w:p w:rsidR="00D4256A" w:rsidRPr="000A38E5" w:rsidRDefault="00D4256A" w:rsidP="00D4256A">
      <w:pPr>
        <w:pStyle w:val="ECHRHeading6"/>
        <w:rPr>
          <w:lang w:val="uk-UA"/>
        </w:rPr>
      </w:pPr>
      <w:r w:rsidRPr="000A38E5">
        <w:rPr>
          <w:lang w:val="ru-RU"/>
        </w:rPr>
        <w:t>(</w:t>
      </w:r>
      <w:r w:rsidRPr="000A38E5">
        <w:t>α</w:t>
      </w:r>
      <w:r w:rsidRPr="000A38E5">
        <w:rPr>
          <w:lang w:val="ru-RU"/>
        </w:rPr>
        <w:t>)</w:t>
      </w:r>
      <w:r w:rsidRPr="00E93710">
        <w:rPr>
          <w:lang w:val="ru-RU"/>
        </w:rPr>
        <w:t xml:space="preserve"> </w:t>
      </w:r>
      <w:r w:rsidRPr="000A38E5">
        <w:rPr>
          <w:lang w:val="uk-UA"/>
        </w:rPr>
        <w:t>Чи мало місце втручання</w:t>
      </w:r>
      <w:r w:rsidRPr="000A38E5">
        <w:rPr>
          <w:lang w:val="ru-RU"/>
        </w:rPr>
        <w:t xml:space="preserve">: </w:t>
      </w:r>
      <w:r w:rsidRPr="000A38E5">
        <w:rPr>
          <w:lang w:val="uk-UA"/>
        </w:rPr>
        <w:t>перші шість заявників</w:t>
      </w:r>
    </w:p>
    <w:p w:rsidR="00D4256A" w:rsidRPr="000A38E5" w:rsidRDefault="00D4256A" w:rsidP="00D4256A">
      <w:pPr>
        <w:pStyle w:val="ECHRHeading7"/>
        <w:rPr>
          <w:lang w:val="uk-UA"/>
        </w:rPr>
      </w:pPr>
      <w:r w:rsidRPr="000A38E5">
        <w:rPr>
          <w:lang w:val="uk-UA"/>
        </w:rPr>
        <w:t>Перший та другий заявники</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223</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Уряд стверджував, що не було втручання у право першого та другого заявника</w:t>
      </w:r>
      <w:r w:rsidR="00D4256A" w:rsidRPr="000A38E5">
        <w:rPr>
          <w:lang w:val="ru-RU"/>
        </w:rPr>
        <w:t xml:space="preserve"> </w:t>
      </w:r>
      <w:r w:rsidR="00D4256A" w:rsidRPr="000A38E5">
        <w:rPr>
          <w:lang w:val="uk-UA"/>
        </w:rPr>
        <w:t>на свободу мирного зібрання</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Govt_curiosity \h  \* MERGEFORMAT ">
        <w:r w:rsidR="00D4256A" w:rsidRPr="000A38E5">
          <w:rPr>
            <w:noProof/>
            <w:lang w:val="ru-RU"/>
          </w:rPr>
          <w:t>198</w:t>
        </w:r>
      </w:fldSimple>
      <w:r w:rsidR="00D4256A" w:rsidRPr="000A38E5">
        <w:rPr>
          <w:lang w:val="ru-RU"/>
        </w:rPr>
        <w:t xml:space="preserve"> </w:t>
      </w:r>
      <w:r w:rsidR="00D4256A" w:rsidRPr="000A38E5">
        <w:rPr>
          <w:lang w:val="uk-UA"/>
        </w:rPr>
        <w:t>вище</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224</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Суд зазначає, що, як показують матеріали справи</w:t>
      </w:r>
      <w:r w:rsidR="00D4256A" w:rsidRPr="000A38E5">
        <w:rPr>
          <w:lang w:val="ru-RU"/>
        </w:rPr>
        <w:t xml:space="preserve">, </w:t>
      </w:r>
      <w:r w:rsidR="00D4256A" w:rsidRPr="000A38E5">
        <w:rPr>
          <w:lang w:val="uk-UA"/>
        </w:rPr>
        <w:t>видається, що позиція протестуючих у парку ім. Горького полягала в тому, що вони захищали парк як громадський простір, відкритий для кожного в якості місця відпочинку, не надаючи своїй акції офіційну назву (див.. наприклад, пункт</w:t>
      </w:r>
      <w:r w:rsidR="00D4256A" w:rsidRPr="000A38E5">
        <w:t> </w:t>
      </w:r>
      <w:fldSimple w:instr=" REF police_report_law_enforcement_measures \h  \* MERGEFORMAT ">
        <w:r w:rsidR="00D4256A" w:rsidRPr="000A38E5">
          <w:rPr>
            <w:noProof/>
            <w:lang w:val="ru-RU"/>
          </w:rPr>
          <w:t>76</w:t>
        </w:r>
      </w:fldSimple>
      <w:r w:rsidR="00D4256A" w:rsidRPr="000A38E5">
        <w:rPr>
          <w:lang w:val="uk-UA"/>
        </w:rPr>
        <w:t xml:space="preserve"> вище). Тому цій позиції повністю відповідали твердження першого та другого заявника про те, що вони користувалися парком як громадським простором. Беручи до уваги обставини</w:t>
      </w:r>
      <w:r w:rsidR="00D4256A" w:rsidRPr="000A38E5">
        <w:rPr>
          <w:lang w:val="ru-RU"/>
        </w:rPr>
        <w:t xml:space="preserve">, </w:t>
      </w:r>
      <w:r w:rsidR="00D4256A" w:rsidRPr="000A38E5">
        <w:rPr>
          <w:lang w:val="uk-UA"/>
        </w:rPr>
        <w:t>ця позиція мала на увазі їх опозицію проведенню в парку будь-яких будівельних робіт</w:t>
      </w:r>
      <w:r w:rsidR="00D4256A" w:rsidRPr="000A38E5">
        <w:rPr>
          <w:lang w:val="ru-RU"/>
        </w:rPr>
        <w:t xml:space="preserve">. </w:t>
      </w:r>
      <w:r w:rsidR="00D4256A" w:rsidRPr="000A38E5">
        <w:rPr>
          <w:lang w:val="uk-UA"/>
        </w:rPr>
        <w:t>Крім того, не заперечувалося, що перший та другий заявники</w:t>
      </w:r>
      <w:r w:rsidR="00D4256A" w:rsidRPr="000A38E5">
        <w:rPr>
          <w:lang w:val="ru-RU"/>
        </w:rPr>
        <w:t xml:space="preserve"> </w:t>
      </w:r>
      <w:r w:rsidR="00D4256A" w:rsidRPr="000A38E5">
        <w:rPr>
          <w:lang w:val="uk-UA"/>
        </w:rPr>
        <w:t>дійсно знаходилися серед протестуючих, які 28 травня</w:t>
      </w:r>
      <w:r w:rsidR="00D4256A" w:rsidRPr="000A38E5">
        <w:rPr>
          <w:lang w:val="ru-RU"/>
        </w:rPr>
        <w:t xml:space="preserve"> 2010</w:t>
      </w:r>
      <w:r w:rsidR="00D4256A" w:rsidRPr="000A38E5">
        <w:rPr>
          <w:lang w:val="uk-UA"/>
        </w:rPr>
        <w:t xml:space="preserve"> року</w:t>
      </w:r>
      <w:r w:rsidR="00D4256A" w:rsidRPr="000A38E5">
        <w:rPr>
          <w:lang w:val="ru-RU"/>
        </w:rPr>
        <w:t xml:space="preserve"> </w:t>
      </w:r>
      <w:r w:rsidR="00D4256A" w:rsidRPr="000A38E5">
        <w:rPr>
          <w:lang w:val="uk-UA"/>
        </w:rPr>
        <w:t>блокували рух бульдозера біля залізничного переїзду в ділянці, означеній, як зона будівництва</w:t>
      </w:r>
      <w:r w:rsidR="00D4256A" w:rsidRPr="000A38E5">
        <w:rPr>
          <w:lang w:val="ru-RU"/>
        </w:rPr>
        <w:t xml:space="preserve">. </w:t>
      </w:r>
      <w:r w:rsidR="00D4256A" w:rsidRPr="000A38E5">
        <w:rPr>
          <w:lang w:val="uk-UA"/>
        </w:rPr>
        <w:t>Вони були закликані залишити місце будівництва та дозволити будівництву продовжитися,</w:t>
      </w:r>
      <w:r w:rsidR="00D4256A" w:rsidRPr="000A38E5">
        <w:rPr>
          <w:lang w:val="ru-RU"/>
        </w:rPr>
        <w:t xml:space="preserve"> </w:t>
      </w:r>
      <w:r w:rsidR="00D4256A" w:rsidRPr="000A38E5">
        <w:rPr>
          <w:lang w:val="uk-UA"/>
        </w:rPr>
        <w:t>але не виконали наказ</w:t>
      </w:r>
      <w:r w:rsidR="00D4256A" w:rsidRPr="000A38E5">
        <w:rPr>
          <w:lang w:val="ru-RU"/>
        </w:rPr>
        <w:t xml:space="preserve">, </w:t>
      </w:r>
      <w:r w:rsidR="00D4256A" w:rsidRPr="000A38E5">
        <w:rPr>
          <w:lang w:val="uk-UA"/>
        </w:rPr>
        <w:t xml:space="preserve">були оточені працівниками </w:t>
      </w:r>
      <w:proofErr w:type="spellStart"/>
      <w:r w:rsidR="00D4256A" w:rsidRPr="000A38E5">
        <w:rPr>
          <w:lang w:val="uk-UA"/>
        </w:rPr>
        <w:t>МО</w:t>
      </w:r>
      <w:proofErr w:type="spellEnd"/>
      <w:r w:rsidR="00D4256A" w:rsidRPr="000A38E5">
        <w:rPr>
          <w:lang w:val="uk-UA"/>
        </w:rPr>
        <w:t xml:space="preserve"> та видалені з місця будівництва</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video_28_May \h  \* MERGEFORMAT ">
        <w:r w:rsidR="00D4256A" w:rsidRPr="000A38E5">
          <w:rPr>
            <w:noProof/>
            <w:lang w:val="ru-RU"/>
          </w:rPr>
          <w:t>45</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З цієї послідовності подій очевидно, що особи, які продовжували бути присутніми</w:t>
      </w:r>
      <w:r w:rsidR="00D4256A" w:rsidRPr="000A38E5">
        <w:rPr>
          <w:lang w:val="ru-RU"/>
        </w:rPr>
        <w:t xml:space="preserve"> </w:t>
      </w:r>
      <w:r w:rsidR="00D4256A" w:rsidRPr="000A38E5">
        <w:rPr>
          <w:lang w:val="uk-UA"/>
        </w:rPr>
        <w:t>у цій обмеженій групі протестуючих</w:t>
      </w:r>
      <w:r w:rsidR="00D4256A" w:rsidRPr="000A38E5">
        <w:rPr>
          <w:lang w:val="ru-RU"/>
        </w:rPr>
        <w:t xml:space="preserve"> </w:t>
      </w:r>
      <w:r w:rsidR="00D4256A" w:rsidRPr="000A38E5">
        <w:rPr>
          <w:lang w:val="uk-UA"/>
        </w:rPr>
        <w:t>до часу затримання, не могли вважатися сторонніми особами,</w:t>
      </w:r>
      <w:r w:rsidR="00D4256A" w:rsidRPr="000A38E5">
        <w:rPr>
          <w:lang w:val="ru-RU"/>
        </w:rPr>
        <w:t xml:space="preserve"> </w:t>
      </w:r>
      <w:r w:rsidR="00D4256A" w:rsidRPr="000A38E5">
        <w:rPr>
          <w:lang w:val="uk-UA"/>
        </w:rPr>
        <w:t>які не знали, що відбувалося та випадково потрапили до гущі подій</w:t>
      </w:r>
      <w:r w:rsidR="00D4256A" w:rsidRPr="000A38E5">
        <w:rPr>
          <w:lang w:val="ru-RU"/>
        </w:rPr>
        <w:t xml:space="preserve">, </w:t>
      </w:r>
      <w:r w:rsidR="00D4256A" w:rsidRPr="000A38E5">
        <w:rPr>
          <w:lang w:val="uk-UA"/>
        </w:rPr>
        <w:t>оскільки будь-яка стороння особа мала можливість</w:t>
      </w:r>
      <w:r w:rsidR="00D4256A" w:rsidRPr="000A38E5">
        <w:rPr>
          <w:lang w:val="ru-RU"/>
        </w:rPr>
        <w:t xml:space="preserve"> </w:t>
      </w:r>
      <w:r w:rsidR="00D4256A" w:rsidRPr="000A38E5">
        <w:rPr>
          <w:lang w:val="uk-UA"/>
        </w:rPr>
        <w:t>покинути територію до оточення охоронцями</w:t>
      </w:r>
      <w:r w:rsidR="00D4256A" w:rsidRPr="000A38E5">
        <w:rPr>
          <w:lang w:val="ru-RU"/>
        </w:rPr>
        <w:t>.</w:t>
      </w:r>
    </w:p>
    <w:p w:rsidR="00D4256A" w:rsidRPr="000A38E5" w:rsidRDefault="004E7608" w:rsidP="00D4256A">
      <w:pPr>
        <w:pStyle w:val="ECHRPara"/>
        <w:rPr>
          <w:lang w:val="uk-UA"/>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225</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Крім того, національні суди визнали встановленим</w:t>
      </w:r>
      <w:r w:rsidR="00D4256A" w:rsidRPr="000A38E5">
        <w:rPr>
          <w:lang w:val="ru-RU"/>
        </w:rPr>
        <w:t xml:space="preserve">, </w:t>
      </w:r>
      <w:r w:rsidR="00D4256A" w:rsidRPr="000A38E5">
        <w:rPr>
          <w:lang w:val="uk-UA"/>
        </w:rPr>
        <w:t>що перший та другий заявники опиралися виведенню з місця будівництва</w:t>
      </w:r>
      <w:r w:rsidR="00D4256A" w:rsidRPr="000A38E5">
        <w:rPr>
          <w:lang w:val="ru-RU"/>
        </w:rPr>
        <w:t xml:space="preserve"> </w:t>
      </w:r>
      <w:r w:rsidR="00D4256A" w:rsidRPr="000A38E5">
        <w:rPr>
          <w:lang w:val="uk-UA"/>
        </w:rPr>
        <w:t>міліцією</w:t>
      </w:r>
      <w:r w:rsidR="00D4256A" w:rsidRPr="000A38E5">
        <w:rPr>
          <w:lang w:val="ru-RU"/>
        </w:rPr>
        <w:t xml:space="preserve">, </w:t>
      </w:r>
      <w:r w:rsidR="00D4256A" w:rsidRPr="000A38E5">
        <w:rPr>
          <w:lang w:val="uk-UA"/>
        </w:rPr>
        <w:t>що, як і блокування залізничного переїзду, було обструктивною тактикою протесту,</w:t>
      </w:r>
      <w:r w:rsidR="00D4256A" w:rsidRPr="000A38E5">
        <w:rPr>
          <w:lang w:val="ru-RU"/>
        </w:rPr>
        <w:t xml:space="preserve"> </w:t>
      </w:r>
      <w:r w:rsidR="00D4256A" w:rsidRPr="000A38E5">
        <w:rPr>
          <w:lang w:val="uk-UA"/>
        </w:rPr>
        <w:t>яку використовували протестуючі у парку ім. Горького. Окрім цього, в одному з міліцейських звітів у справі про адміністративне правопорушення другого заявника ясно говориться, що він був заарештований за участь у протесті на будівельному майданчику в парку (див. пункт</w:t>
      </w:r>
      <w:r w:rsidR="00D4256A" w:rsidRPr="000A38E5">
        <w:t> </w:t>
      </w:r>
      <w:fldSimple w:instr=" REF second_applicants_adminoffence_reports \h  \* MERGEFORMAT ">
        <w:r w:rsidR="00D4256A" w:rsidRPr="000A38E5">
          <w:rPr>
            <w:noProof/>
            <w:lang w:val="ru-RU"/>
          </w:rPr>
          <w:t>49</w:t>
        </w:r>
      </w:fldSimple>
      <w:r w:rsidR="00D4256A" w:rsidRPr="000A38E5">
        <w:rPr>
          <w:lang w:val="uk-UA"/>
        </w:rPr>
        <w:t xml:space="preserve"> вище).</w:t>
      </w:r>
    </w:p>
    <w:p w:rsidR="00D4256A" w:rsidRPr="000A38E5" w:rsidRDefault="004E7608" w:rsidP="00D4256A">
      <w:pPr>
        <w:pStyle w:val="ECHRPara"/>
        <w:rPr>
          <w:lang w:val="uk-UA"/>
        </w:rPr>
      </w:pPr>
      <w:r w:rsidRPr="000A38E5">
        <w:fldChar w:fldCharType="begin"/>
      </w:r>
      <w:r w:rsidR="00D4256A" w:rsidRPr="000A38E5">
        <w:rPr>
          <w:lang w:val="uk-UA"/>
        </w:rPr>
        <w:instrText xml:space="preserve"> </w:instrText>
      </w:r>
      <w:r w:rsidR="00D4256A" w:rsidRPr="000A38E5">
        <w:instrText>SEQ</w:instrText>
      </w:r>
      <w:r w:rsidR="00D4256A" w:rsidRPr="000A38E5">
        <w:rPr>
          <w:lang w:val="uk-UA"/>
        </w:rPr>
        <w:instrText xml:space="preserve"> </w:instrText>
      </w:r>
      <w:r w:rsidR="00D4256A" w:rsidRPr="000A38E5">
        <w:instrText>level</w:instrText>
      </w:r>
      <w:r w:rsidR="00D4256A" w:rsidRPr="000A38E5">
        <w:rPr>
          <w:lang w:val="uk-UA"/>
        </w:rPr>
        <w:instrText>0 \*</w:instrText>
      </w:r>
      <w:r w:rsidR="00D4256A" w:rsidRPr="000A38E5">
        <w:instrText>arabic</w:instrText>
      </w:r>
      <w:r w:rsidR="00D4256A" w:rsidRPr="000A38E5">
        <w:rPr>
          <w:lang w:val="uk-UA"/>
        </w:rPr>
        <w:instrText xml:space="preserve"> </w:instrText>
      </w:r>
      <w:r w:rsidRPr="000A38E5">
        <w:fldChar w:fldCharType="separate"/>
      </w:r>
      <w:r w:rsidR="00D4256A" w:rsidRPr="00E93710">
        <w:rPr>
          <w:noProof/>
          <w:lang w:val="uk-UA"/>
        </w:rPr>
        <w:t>226</w:t>
      </w:r>
      <w:r w:rsidRPr="000A38E5">
        <w:rPr>
          <w:noProof/>
        </w:rPr>
        <w:fldChar w:fldCharType="end"/>
      </w:r>
      <w:r w:rsidR="00D4256A" w:rsidRPr="000A38E5">
        <w:rPr>
          <w:lang w:val="uk-UA"/>
        </w:rPr>
        <w:t>.</w:t>
      </w:r>
      <w:r w:rsidR="00D4256A" w:rsidRPr="00E93710">
        <w:rPr>
          <w:lang w:val="uk-UA"/>
        </w:rPr>
        <w:t xml:space="preserve"> </w:t>
      </w:r>
      <w:r w:rsidR="00D4256A" w:rsidRPr="000A38E5">
        <w:rPr>
          <w:lang w:val="uk-UA"/>
        </w:rPr>
        <w:t xml:space="preserve">Нарешті, Суду відомо про тогочасне втручання </w:t>
      </w:r>
      <w:r w:rsidR="00D4256A" w:rsidRPr="000A38E5">
        <w:t>Amnesty</w:t>
      </w:r>
      <w:r w:rsidR="00D4256A" w:rsidRPr="000A38E5">
        <w:rPr>
          <w:lang w:val="uk-UA"/>
        </w:rPr>
        <w:t xml:space="preserve"> </w:t>
      </w:r>
      <w:r w:rsidR="00D4256A" w:rsidRPr="000A38E5">
        <w:t>International</w:t>
      </w:r>
      <w:r w:rsidR="00D4256A" w:rsidRPr="000A38E5">
        <w:rPr>
          <w:lang w:val="uk-UA"/>
        </w:rPr>
        <w:t xml:space="preserve"> щодо першого та другого заявників, на яких посилалися як на протестуючих (див. пункт </w:t>
      </w:r>
      <w:fldSimple w:instr=" REF Amnesty_letter \h  \* MERGEFORMAT ">
        <w:r w:rsidR="00D4256A" w:rsidRPr="000A38E5">
          <w:rPr>
            <w:lang w:val="uk-UA"/>
          </w:rPr>
          <w:t>117</w:t>
        </w:r>
      </w:fldSimple>
      <w:r w:rsidR="00D4256A" w:rsidRPr="000A38E5">
        <w:rPr>
          <w:lang w:val="uk-UA"/>
        </w:rPr>
        <w:t xml:space="preserve"> вище).</w:t>
      </w:r>
    </w:p>
    <w:p w:rsidR="00D4256A" w:rsidRPr="000A38E5" w:rsidRDefault="004E7608" w:rsidP="00D4256A">
      <w:pPr>
        <w:pStyle w:val="ECHRPara"/>
        <w:rPr>
          <w:lang w:val="uk-UA"/>
        </w:rPr>
      </w:pPr>
      <w:r w:rsidRPr="000A38E5">
        <w:lastRenderedPageBreak/>
        <w:fldChar w:fldCharType="begin"/>
      </w:r>
      <w:r w:rsidR="00D4256A" w:rsidRPr="000A38E5">
        <w:rPr>
          <w:lang w:val="uk-UA"/>
        </w:rPr>
        <w:instrText xml:space="preserve"> </w:instrText>
      </w:r>
      <w:r w:rsidR="00D4256A" w:rsidRPr="000A38E5">
        <w:instrText>SEQ</w:instrText>
      </w:r>
      <w:r w:rsidR="00D4256A" w:rsidRPr="000A38E5">
        <w:rPr>
          <w:lang w:val="uk-UA"/>
        </w:rPr>
        <w:instrText xml:space="preserve"> </w:instrText>
      </w:r>
      <w:r w:rsidR="00D4256A" w:rsidRPr="000A38E5">
        <w:instrText>level</w:instrText>
      </w:r>
      <w:r w:rsidR="00D4256A" w:rsidRPr="000A38E5">
        <w:rPr>
          <w:lang w:val="uk-UA"/>
        </w:rPr>
        <w:instrText>0 \*</w:instrText>
      </w:r>
      <w:r w:rsidR="00D4256A" w:rsidRPr="000A38E5">
        <w:instrText>arabic</w:instrText>
      </w:r>
      <w:r w:rsidR="00D4256A" w:rsidRPr="000A38E5">
        <w:rPr>
          <w:lang w:val="uk-UA"/>
        </w:rPr>
        <w:instrText xml:space="preserve"> </w:instrText>
      </w:r>
      <w:r w:rsidRPr="000A38E5">
        <w:fldChar w:fldCharType="separate"/>
      </w:r>
      <w:r w:rsidR="00D4256A" w:rsidRPr="000A38E5">
        <w:rPr>
          <w:noProof/>
          <w:lang w:val="ru-RU"/>
        </w:rPr>
        <w:t>227</w:t>
      </w:r>
      <w:r w:rsidRPr="000A38E5">
        <w:rPr>
          <w:noProof/>
        </w:rPr>
        <w:fldChar w:fldCharType="end"/>
      </w:r>
      <w:r w:rsidR="00D4256A" w:rsidRPr="000A38E5">
        <w:rPr>
          <w:lang w:val="uk-UA"/>
        </w:rPr>
        <w:t>.</w:t>
      </w:r>
      <w:r w:rsidR="00D4256A" w:rsidRPr="00E93710">
        <w:rPr>
          <w:lang w:val="ru-RU"/>
        </w:rPr>
        <w:t xml:space="preserve"> </w:t>
      </w:r>
      <w:r w:rsidR="00D4256A" w:rsidRPr="000A38E5">
        <w:rPr>
          <w:lang w:val="uk-UA"/>
        </w:rPr>
        <w:t xml:space="preserve">Відповідно до встановленого </w:t>
      </w:r>
      <w:proofErr w:type="spellStart"/>
      <w:r w:rsidR="00D4256A" w:rsidRPr="000A38E5">
        <w:rPr>
          <w:lang w:val="uk-UA"/>
        </w:rPr>
        <w:t>прецедентного</w:t>
      </w:r>
      <w:proofErr w:type="spellEnd"/>
      <w:r w:rsidR="00D4256A" w:rsidRPr="000A38E5">
        <w:rPr>
          <w:lang w:val="uk-UA"/>
        </w:rPr>
        <w:t xml:space="preserve"> права Суду, заходи, здійснені органами влади протягом зібрання, такі як розгін або затримання учасників, та покарання, накладені за участь у зібранні, дорівнюють втручанню у право на свободу мирного зібрання (див. </w:t>
      </w:r>
      <w:proofErr w:type="spellStart"/>
      <w:r w:rsidR="00D4256A" w:rsidRPr="000A38E5">
        <w:rPr>
          <w:i/>
        </w:rPr>
        <w:t>Navalnyy</w:t>
      </w:r>
      <w:proofErr w:type="spellEnd"/>
      <w:r w:rsidR="00D4256A" w:rsidRPr="000A38E5">
        <w:rPr>
          <w:i/>
          <w:lang w:val="uk-UA"/>
        </w:rPr>
        <w:t xml:space="preserve"> </w:t>
      </w:r>
      <w:r w:rsidR="00D4256A" w:rsidRPr="000A38E5">
        <w:rPr>
          <w:i/>
        </w:rPr>
        <w:t>and</w:t>
      </w:r>
      <w:r w:rsidR="00D4256A" w:rsidRPr="000A38E5">
        <w:rPr>
          <w:i/>
          <w:lang w:val="uk-UA"/>
        </w:rPr>
        <w:t xml:space="preserve"> </w:t>
      </w:r>
      <w:proofErr w:type="spellStart"/>
      <w:r w:rsidR="00D4256A" w:rsidRPr="000A38E5">
        <w:rPr>
          <w:i/>
        </w:rPr>
        <w:t>Yashin</w:t>
      </w:r>
      <w:proofErr w:type="spellEnd"/>
      <w:r w:rsidR="00D4256A" w:rsidRPr="000A38E5">
        <w:rPr>
          <w:lang w:val="uk-UA"/>
        </w:rPr>
        <w:t xml:space="preserve"> </w:t>
      </w:r>
      <w:r w:rsidR="00D4256A" w:rsidRPr="000A38E5">
        <w:rPr>
          <w:i/>
        </w:rPr>
        <w:t>v</w:t>
      </w:r>
      <w:r w:rsidR="00D4256A" w:rsidRPr="000A38E5">
        <w:rPr>
          <w:i/>
          <w:lang w:val="uk-UA"/>
        </w:rPr>
        <w:t xml:space="preserve">. </w:t>
      </w:r>
      <w:r w:rsidR="00D4256A" w:rsidRPr="000A38E5">
        <w:rPr>
          <w:i/>
        </w:rPr>
        <w:t>Russia</w:t>
      </w:r>
      <w:r w:rsidR="00D4256A" w:rsidRPr="000A38E5">
        <w:rPr>
          <w:lang w:val="uk-UA"/>
        </w:rPr>
        <w:t>, № 76204/11</w:t>
      </w:r>
      <w:r w:rsidR="00D4256A" w:rsidRPr="000A38E5">
        <w:rPr>
          <w:snapToGrid w:val="0"/>
          <w:lang w:val="uk-UA"/>
        </w:rPr>
        <w:t>, § 51, 4 грудня 2014</w:t>
      </w:r>
      <w:r w:rsidR="00D4256A" w:rsidRPr="000A38E5">
        <w:rPr>
          <w:lang w:val="uk-UA"/>
        </w:rPr>
        <w:t>, з подальшими посиланнями).</w:t>
      </w:r>
    </w:p>
    <w:p w:rsidR="00D4256A" w:rsidRPr="000A38E5" w:rsidRDefault="004E7608" w:rsidP="00D4256A">
      <w:pPr>
        <w:pStyle w:val="ECHRPara"/>
        <w:rPr>
          <w:lang w:val="ru-RU"/>
        </w:rPr>
      </w:pPr>
      <w:r w:rsidRPr="000A38E5">
        <w:fldChar w:fldCharType="begin"/>
      </w:r>
      <w:r w:rsidR="00D4256A" w:rsidRPr="000A38E5">
        <w:rPr>
          <w:lang w:val="uk-UA"/>
        </w:rPr>
        <w:instrText xml:space="preserve"> </w:instrText>
      </w:r>
      <w:r w:rsidR="00D4256A" w:rsidRPr="000A38E5">
        <w:instrText>SEQ</w:instrText>
      </w:r>
      <w:r w:rsidR="00D4256A" w:rsidRPr="000A38E5">
        <w:rPr>
          <w:lang w:val="uk-UA"/>
        </w:rPr>
        <w:instrText xml:space="preserve"> </w:instrText>
      </w:r>
      <w:r w:rsidR="00D4256A" w:rsidRPr="000A38E5">
        <w:instrText>level</w:instrText>
      </w:r>
      <w:r w:rsidR="00D4256A" w:rsidRPr="000A38E5">
        <w:rPr>
          <w:lang w:val="uk-UA"/>
        </w:rPr>
        <w:instrText>0 \*</w:instrText>
      </w:r>
      <w:r w:rsidR="00D4256A" w:rsidRPr="000A38E5">
        <w:instrText>arabic</w:instrText>
      </w:r>
      <w:r w:rsidR="00D4256A" w:rsidRPr="000A38E5">
        <w:rPr>
          <w:lang w:val="uk-UA"/>
        </w:rPr>
        <w:instrText xml:space="preserve"> </w:instrText>
      </w:r>
      <w:r w:rsidRPr="000A38E5">
        <w:fldChar w:fldCharType="separate"/>
      </w:r>
      <w:r w:rsidR="00D4256A" w:rsidRPr="000A38E5">
        <w:rPr>
          <w:noProof/>
          <w:lang w:val="ru-RU"/>
        </w:rPr>
        <w:t>228</w:t>
      </w:r>
      <w:r w:rsidRPr="000A38E5">
        <w:rPr>
          <w:noProof/>
        </w:rPr>
        <w:fldChar w:fldCharType="end"/>
      </w:r>
      <w:r w:rsidR="00D4256A" w:rsidRPr="000A38E5">
        <w:rPr>
          <w:lang w:val="uk-UA"/>
        </w:rPr>
        <w:t>.</w:t>
      </w:r>
      <w:r w:rsidR="00D4256A" w:rsidRPr="00E93710">
        <w:rPr>
          <w:lang w:val="ru-RU"/>
        </w:rPr>
        <w:t xml:space="preserve"> </w:t>
      </w:r>
      <w:r w:rsidR="00D4256A" w:rsidRPr="000A38E5">
        <w:rPr>
          <w:lang w:val="uk-UA"/>
        </w:rPr>
        <w:t>Суд робить висновок, що мало місце втручання у право першого та другого заявників</w:t>
      </w:r>
      <w:r w:rsidR="00D4256A" w:rsidRPr="000A38E5">
        <w:rPr>
          <w:lang w:val="ru-RU"/>
        </w:rPr>
        <w:t xml:space="preserve"> </w:t>
      </w:r>
      <w:r w:rsidR="00D4256A" w:rsidRPr="000A38E5">
        <w:rPr>
          <w:lang w:val="uk-UA"/>
        </w:rPr>
        <w:t>на свободу мирного зібрання</w:t>
      </w:r>
      <w:r w:rsidR="00D4256A" w:rsidRPr="000A38E5">
        <w:rPr>
          <w:lang w:val="ru-RU"/>
        </w:rPr>
        <w:t>.</w:t>
      </w:r>
    </w:p>
    <w:p w:rsidR="00D4256A" w:rsidRPr="000A38E5" w:rsidRDefault="00D4256A" w:rsidP="00D4256A">
      <w:pPr>
        <w:pStyle w:val="ECHRHeading7"/>
        <w:rPr>
          <w:lang w:val="uk-UA"/>
        </w:rPr>
      </w:pPr>
      <w:r w:rsidRPr="000A38E5">
        <w:rPr>
          <w:lang w:val="uk-UA"/>
        </w:rPr>
        <w:t>П’ятий заявник</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229</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Уряд не заперечував, що п’ятий заявник</w:t>
      </w:r>
      <w:r w:rsidR="00D4256A" w:rsidRPr="000A38E5">
        <w:rPr>
          <w:lang w:val="ru-RU"/>
        </w:rPr>
        <w:t xml:space="preserve">, </w:t>
      </w:r>
      <w:r w:rsidR="00D4256A" w:rsidRPr="000A38E5">
        <w:rPr>
          <w:lang w:val="uk-UA"/>
        </w:rPr>
        <w:t>незалежно від того, що провадження проти нього були припинені</w:t>
      </w:r>
      <w:r w:rsidR="00D4256A" w:rsidRPr="000A38E5">
        <w:rPr>
          <w:lang w:val="ru-RU"/>
        </w:rPr>
        <w:t xml:space="preserve">, </w:t>
      </w:r>
      <w:r w:rsidR="00D4256A" w:rsidRPr="000A38E5">
        <w:rPr>
          <w:lang w:val="uk-UA"/>
        </w:rPr>
        <w:t>міг усе ще вважатися «потерпілим» від порушення</w:t>
      </w:r>
      <w:r w:rsidR="00D4256A" w:rsidRPr="000A38E5">
        <w:rPr>
          <w:lang w:val="ru-RU"/>
        </w:rPr>
        <w:t xml:space="preserve"> </w:t>
      </w:r>
      <w:r w:rsidR="00D4256A" w:rsidRPr="000A38E5">
        <w:rPr>
          <w:lang w:val="uk-UA"/>
        </w:rPr>
        <w:t>його права відповідно до статті 11 Конвенції,</w:t>
      </w:r>
      <w:r w:rsidR="00D4256A" w:rsidRPr="000A38E5">
        <w:rPr>
          <w:lang w:val="ru-RU"/>
        </w:rPr>
        <w:t xml:space="preserve"> </w:t>
      </w:r>
      <w:r w:rsidR="00D4256A" w:rsidRPr="000A38E5">
        <w:rPr>
          <w:lang w:val="uk-UA"/>
        </w:rPr>
        <w:t>і що мало місце втручання у це право</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Govt_interference_with_third_to_sixth \h  \* MERGEFORMAT ">
        <w:r w:rsidR="00D4256A" w:rsidRPr="000A38E5">
          <w:rPr>
            <w:noProof/>
            <w:lang w:val="ru-RU"/>
          </w:rPr>
          <w:t>199</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У будь-якому випадку, як і інші заявники, п’ятий заявник був видалений з місця будівництва</w:t>
      </w:r>
      <w:r w:rsidR="00D4256A" w:rsidRPr="000A38E5">
        <w:rPr>
          <w:lang w:val="ru-RU"/>
        </w:rPr>
        <w:t xml:space="preserve"> </w:t>
      </w:r>
      <w:r w:rsidR="00D4256A" w:rsidRPr="000A38E5">
        <w:rPr>
          <w:lang w:val="uk-UA"/>
        </w:rPr>
        <w:t>міліцією</w:t>
      </w:r>
      <w:r w:rsidR="00D4256A" w:rsidRPr="000A38E5">
        <w:rPr>
          <w:lang w:val="ru-RU"/>
        </w:rPr>
        <w:t xml:space="preserve">, </w:t>
      </w:r>
      <w:r w:rsidR="00D4256A" w:rsidRPr="000A38E5">
        <w:rPr>
          <w:lang w:val="uk-UA"/>
        </w:rPr>
        <w:t>що саме по собі становить втручання у право на свободу мирного зібрання</w:t>
      </w:r>
      <w:r w:rsidR="00D4256A" w:rsidRPr="000A38E5">
        <w:rPr>
          <w:lang w:val="ru-RU"/>
        </w:rPr>
        <w:t xml:space="preserve">, </w:t>
      </w:r>
      <w:r w:rsidR="00D4256A" w:rsidRPr="000A38E5">
        <w:rPr>
          <w:lang w:val="uk-UA"/>
        </w:rPr>
        <w:t>та пізніше отримав офіційну догану за свої дії</w:t>
      </w:r>
      <w:r w:rsidR="00D4256A" w:rsidRPr="000A38E5">
        <w:rPr>
          <w:lang w:val="ru-RU"/>
        </w:rPr>
        <w:t xml:space="preserve"> (</w:t>
      </w:r>
      <w:r w:rsidR="00D4256A" w:rsidRPr="000A38E5">
        <w:rPr>
          <w:lang w:val="uk-UA"/>
        </w:rPr>
        <w:t>див. пункти</w:t>
      </w:r>
      <w:r w:rsidR="00D4256A" w:rsidRPr="000A38E5">
        <w:rPr>
          <w:lang w:val="ru-RU"/>
        </w:rPr>
        <w:t xml:space="preserve"> </w:t>
      </w:r>
      <w:fldSimple w:instr=" REF events_of_28may_start \h  \* MERGEFORMAT ">
        <w:r w:rsidR="00D4256A" w:rsidRPr="000A38E5">
          <w:rPr>
            <w:noProof/>
            <w:lang w:val="ru-RU"/>
          </w:rPr>
          <w:t>43</w:t>
        </w:r>
      </w:fldSimple>
      <w:r w:rsidR="00D4256A" w:rsidRPr="000A38E5">
        <w:rPr>
          <w:lang w:val="ru-RU"/>
        </w:rPr>
        <w:t xml:space="preserve"> </w:t>
      </w:r>
      <w:r w:rsidR="00D4256A" w:rsidRPr="000A38E5">
        <w:rPr>
          <w:lang w:val="uk-UA"/>
        </w:rPr>
        <w:t>та</w:t>
      </w:r>
      <w:r w:rsidR="00D4256A" w:rsidRPr="000A38E5">
        <w:rPr>
          <w:lang w:val="ru-RU"/>
        </w:rPr>
        <w:t xml:space="preserve"> </w:t>
      </w:r>
      <w:fldSimple w:instr=" REF fith_applicant_acquittal \h  \* MERGEFORMAT ">
        <w:r w:rsidR="00D4256A" w:rsidRPr="000A38E5">
          <w:rPr>
            <w:noProof/>
            <w:lang w:val="ru-RU"/>
          </w:rPr>
          <w:t>62</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Відповідно, заявник може продовжувати стверджувати, що став потерпілим від втручання</w:t>
      </w:r>
      <w:r w:rsidR="00D4256A" w:rsidRPr="000A38E5">
        <w:rPr>
          <w:lang w:val="ru-RU"/>
        </w:rPr>
        <w:t xml:space="preserve"> </w:t>
      </w:r>
      <w:r w:rsidR="00D4256A" w:rsidRPr="000A38E5">
        <w:rPr>
          <w:lang w:val="uk-UA"/>
        </w:rPr>
        <w:t>у його право відповідно до статті 11 Конвенції</w:t>
      </w:r>
      <w:r w:rsidR="00D4256A" w:rsidRPr="000A38E5">
        <w:rPr>
          <w:lang w:val="ru-RU"/>
        </w:rPr>
        <w:t>.</w:t>
      </w:r>
    </w:p>
    <w:p w:rsidR="00D4256A" w:rsidRPr="000A38E5" w:rsidRDefault="00D4256A" w:rsidP="00D4256A">
      <w:pPr>
        <w:pStyle w:val="ECHRHeading7"/>
        <w:rPr>
          <w:lang w:val="uk-UA"/>
        </w:rPr>
      </w:pPr>
      <w:r w:rsidRPr="000A38E5">
        <w:rPr>
          <w:lang w:val="uk-UA"/>
        </w:rPr>
        <w:t>Третій, четвертий та шостий заявники</w:t>
      </w:r>
    </w:p>
    <w:p w:rsidR="00D4256A" w:rsidRPr="000A38E5" w:rsidRDefault="004E7608" w:rsidP="00D4256A">
      <w:pPr>
        <w:pStyle w:val="ECHRPara"/>
        <w:rPr>
          <w:lang w:val="ru-RU" w:bidi="en-US"/>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230</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Уряд не заперечував, що засудження цих заявників</w:t>
      </w:r>
      <w:r w:rsidR="00D4256A" w:rsidRPr="000A38E5">
        <w:rPr>
          <w:lang w:val="ru-RU"/>
        </w:rPr>
        <w:t xml:space="preserve"> </w:t>
      </w:r>
      <w:r w:rsidR="00D4256A" w:rsidRPr="000A38E5">
        <w:rPr>
          <w:lang w:val="uk-UA"/>
        </w:rPr>
        <w:t>становило втручання у їх право на свободу зібрання</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Govt_interference_with_third_to_sixth \h  \* MERGEFORMAT ">
        <w:r w:rsidR="00D4256A" w:rsidRPr="000A38E5">
          <w:rPr>
            <w:noProof/>
            <w:lang w:val="ru-RU"/>
          </w:rPr>
          <w:t>199</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Суд не вбачає підстави робити інший висновок</w:t>
      </w:r>
      <w:r w:rsidR="00D4256A" w:rsidRPr="000A38E5">
        <w:rPr>
          <w:lang w:val="ru-RU"/>
        </w:rPr>
        <w:t>.</w:t>
      </w:r>
    </w:p>
    <w:p w:rsidR="00D4256A" w:rsidRPr="000A38E5" w:rsidRDefault="00D4256A" w:rsidP="00D4256A">
      <w:pPr>
        <w:pStyle w:val="ECHRHeading7"/>
        <w:rPr>
          <w:lang w:val="uk-UA"/>
        </w:rPr>
      </w:pPr>
      <w:r w:rsidRPr="000A38E5">
        <w:rPr>
          <w:lang w:val="uk-UA"/>
        </w:rPr>
        <w:t>Висновок стосовно існування втручання</w:t>
      </w:r>
      <w:r w:rsidRPr="000A38E5">
        <w:rPr>
          <w:lang w:val="ru-RU"/>
        </w:rPr>
        <w:t xml:space="preserve"> </w:t>
      </w:r>
      <w:r w:rsidRPr="000A38E5">
        <w:rPr>
          <w:lang w:val="uk-UA"/>
        </w:rPr>
        <w:t>стосовно перших шести заявників</w:t>
      </w:r>
    </w:p>
    <w:p w:rsidR="00D4256A" w:rsidRPr="000A38E5" w:rsidRDefault="004E7608" w:rsidP="00D4256A">
      <w:pPr>
        <w:pStyle w:val="ECHRPara"/>
        <w:rPr>
          <w:lang w:val="ru-RU"/>
        </w:rPr>
      </w:pPr>
      <w:r w:rsidRPr="000A38E5">
        <w:rPr>
          <w:lang w:bidi="en-US"/>
        </w:rPr>
        <w:fldChar w:fldCharType="begin"/>
      </w:r>
      <w:r w:rsidR="00D4256A" w:rsidRPr="000A38E5">
        <w:rPr>
          <w:lang w:val="ru-RU" w:bidi="en-US"/>
        </w:rPr>
        <w:instrText xml:space="preserve"> </w:instrText>
      </w:r>
      <w:r w:rsidR="00D4256A" w:rsidRPr="000A38E5">
        <w:rPr>
          <w:lang w:bidi="en-US"/>
        </w:rPr>
        <w:instrText>SEQ</w:instrText>
      </w:r>
      <w:r w:rsidR="00D4256A" w:rsidRPr="000A38E5">
        <w:rPr>
          <w:lang w:val="ru-RU" w:bidi="en-US"/>
        </w:rPr>
        <w:instrText xml:space="preserve"> </w:instrText>
      </w:r>
      <w:r w:rsidR="00D4256A" w:rsidRPr="000A38E5">
        <w:rPr>
          <w:lang w:bidi="en-US"/>
        </w:rPr>
        <w:instrText>level</w:instrText>
      </w:r>
      <w:r w:rsidR="00D4256A" w:rsidRPr="000A38E5">
        <w:rPr>
          <w:lang w:val="ru-RU" w:bidi="en-US"/>
        </w:rPr>
        <w:instrText>0 \*</w:instrText>
      </w:r>
      <w:r w:rsidR="00D4256A" w:rsidRPr="000A38E5">
        <w:rPr>
          <w:lang w:bidi="en-US"/>
        </w:rPr>
        <w:instrText>arabic</w:instrText>
      </w:r>
      <w:r w:rsidR="00D4256A" w:rsidRPr="000A38E5">
        <w:rPr>
          <w:lang w:val="ru-RU" w:bidi="en-US"/>
        </w:rPr>
        <w:instrText xml:space="preserve"> </w:instrText>
      </w:r>
      <w:r w:rsidRPr="000A38E5">
        <w:rPr>
          <w:lang w:bidi="en-US"/>
        </w:rPr>
        <w:fldChar w:fldCharType="separate"/>
      </w:r>
      <w:r w:rsidR="00D4256A" w:rsidRPr="000A38E5">
        <w:rPr>
          <w:noProof/>
          <w:lang w:val="ru-RU" w:bidi="en-US"/>
        </w:rPr>
        <w:t>231</w:t>
      </w:r>
      <w:r w:rsidRPr="000A38E5">
        <w:rPr>
          <w:lang w:bidi="en-US"/>
        </w:rPr>
        <w:fldChar w:fldCharType="end"/>
      </w:r>
      <w:r w:rsidR="00D4256A" w:rsidRPr="000A38E5">
        <w:rPr>
          <w:lang w:val="ru-RU" w:bidi="en-US"/>
        </w:rPr>
        <w:t>.</w:t>
      </w:r>
      <w:r w:rsidR="00D4256A" w:rsidRPr="00E93710">
        <w:rPr>
          <w:lang w:val="ru-RU" w:bidi="en-US"/>
        </w:rPr>
        <w:t xml:space="preserve"> </w:t>
      </w:r>
      <w:r w:rsidR="00D4256A" w:rsidRPr="000A38E5">
        <w:rPr>
          <w:lang w:val="uk-UA" w:bidi="en-US"/>
        </w:rPr>
        <w:t>Мало місце втручання у свободу мирного зібрання перших шести заявників</w:t>
      </w:r>
      <w:r w:rsidR="00D4256A" w:rsidRPr="000A38E5">
        <w:rPr>
          <w:lang w:val="ru-RU" w:bidi="en-US"/>
        </w:rPr>
        <w:t xml:space="preserve">. </w:t>
      </w:r>
      <w:r w:rsidR="00D4256A" w:rsidRPr="000A38E5">
        <w:rPr>
          <w:lang w:val="uk-UA" w:bidi="en-US"/>
        </w:rPr>
        <w:t>Таке втручання у право на свободу мирного зібрання</w:t>
      </w:r>
      <w:r w:rsidR="00D4256A" w:rsidRPr="000A38E5">
        <w:rPr>
          <w:lang w:val="ru-RU" w:bidi="en-US"/>
        </w:rPr>
        <w:t xml:space="preserve"> </w:t>
      </w:r>
      <w:r w:rsidR="00D4256A" w:rsidRPr="000A38E5">
        <w:rPr>
          <w:lang w:val="uk-UA" w:bidi="en-US"/>
        </w:rPr>
        <w:t>призводить до порушення статті</w:t>
      </w:r>
      <w:r w:rsidR="00D4256A" w:rsidRPr="000A38E5">
        <w:rPr>
          <w:lang w:val="ru-RU" w:bidi="en-US"/>
        </w:rPr>
        <w:t xml:space="preserve"> 11, </w:t>
      </w:r>
      <w:r w:rsidR="00D4256A" w:rsidRPr="000A38E5">
        <w:rPr>
          <w:lang w:val="uk-UA" w:bidi="en-US"/>
        </w:rPr>
        <w:t>якщо тільки не доведено, що воно було «передбачено законом»</w:t>
      </w:r>
      <w:r w:rsidR="00D4256A" w:rsidRPr="000A38E5">
        <w:rPr>
          <w:lang w:val="ru-RU" w:bidi="en-US"/>
        </w:rPr>
        <w:t xml:space="preserve">, </w:t>
      </w:r>
      <w:r w:rsidR="00D4256A" w:rsidRPr="000A38E5">
        <w:rPr>
          <w:lang w:val="uk-UA" w:bidi="en-US"/>
        </w:rPr>
        <w:t>переслідувало одну або декілька законних цілей, визначених у пункті</w:t>
      </w:r>
      <w:r w:rsidR="00D4256A" w:rsidRPr="000A38E5">
        <w:rPr>
          <w:lang w:val="ru-RU" w:bidi="en-US"/>
        </w:rPr>
        <w:t xml:space="preserve"> 2 </w:t>
      </w:r>
      <w:r w:rsidR="00D4256A" w:rsidRPr="000A38E5">
        <w:rPr>
          <w:lang w:val="uk-UA" w:bidi="en-US"/>
        </w:rPr>
        <w:t>цієї статті</w:t>
      </w:r>
      <w:r w:rsidR="00D4256A" w:rsidRPr="000A38E5">
        <w:rPr>
          <w:lang w:val="ru-RU" w:bidi="en-US"/>
        </w:rPr>
        <w:t xml:space="preserve">, </w:t>
      </w:r>
      <w:r w:rsidR="00D4256A" w:rsidRPr="000A38E5">
        <w:rPr>
          <w:lang w:val="uk-UA" w:bidi="en-US"/>
        </w:rPr>
        <w:t>та було «необхідним у демократичному суспільстві»</w:t>
      </w:r>
      <w:r w:rsidR="00D4256A" w:rsidRPr="000A38E5">
        <w:rPr>
          <w:lang w:val="ru-RU" w:bidi="en-US"/>
        </w:rPr>
        <w:t xml:space="preserve"> (</w:t>
      </w:r>
      <w:r w:rsidR="00D4256A" w:rsidRPr="000A38E5">
        <w:rPr>
          <w:lang w:val="uk-UA" w:bidi="en-US"/>
        </w:rPr>
        <w:t>див., наприклад</w:t>
      </w:r>
      <w:r w:rsidR="00D4256A" w:rsidRPr="000A38E5">
        <w:rPr>
          <w:lang w:val="ru-RU" w:bidi="en-US"/>
        </w:rPr>
        <w:t xml:space="preserve">, </w:t>
      </w:r>
      <w:proofErr w:type="spellStart"/>
      <w:r w:rsidR="00D4256A" w:rsidRPr="000A38E5">
        <w:rPr>
          <w:i/>
        </w:rPr>
        <w:t>Schwabe</w:t>
      </w:r>
      <w:proofErr w:type="spellEnd"/>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M</w:t>
      </w:r>
      <w:r w:rsidR="00D4256A" w:rsidRPr="000A38E5">
        <w:rPr>
          <w:i/>
          <w:lang w:val="ru-RU"/>
        </w:rPr>
        <w:t>.</w:t>
      </w:r>
      <w:r w:rsidR="00D4256A" w:rsidRPr="000A38E5">
        <w:rPr>
          <w:i/>
        </w:rPr>
        <w:t>G</w:t>
      </w:r>
      <w:r w:rsidR="00D4256A" w:rsidRPr="000A38E5">
        <w:rPr>
          <w:i/>
          <w:lang w:val="ru-RU"/>
        </w:rPr>
        <w:t>.</w:t>
      </w:r>
      <w:r w:rsidR="00D4256A" w:rsidRPr="000A38E5">
        <w:rPr>
          <w:i/>
        </w:rPr>
        <w:t> v</w:t>
      </w:r>
      <w:r w:rsidR="00D4256A" w:rsidRPr="000A38E5">
        <w:rPr>
          <w:i/>
          <w:lang w:val="ru-RU"/>
        </w:rPr>
        <w:t>.</w:t>
      </w:r>
      <w:r w:rsidR="00D4256A" w:rsidRPr="000A38E5">
        <w:rPr>
          <w:i/>
        </w:rPr>
        <w:t> Germany</w:t>
      </w:r>
      <w:r w:rsidR="00D4256A" w:rsidRPr="000A38E5">
        <w:rPr>
          <w:lang w:val="ru-RU"/>
        </w:rPr>
        <w:t xml:space="preserve">, </w:t>
      </w:r>
      <w:r w:rsidR="00D4256A" w:rsidRPr="000A38E5">
        <w:rPr>
          <w:lang w:val="uk-UA"/>
        </w:rPr>
        <w:t>№№</w:t>
      </w:r>
      <w:r w:rsidR="00D4256A" w:rsidRPr="000A38E5">
        <w:rPr>
          <w:lang w:val="ru-RU"/>
        </w:rPr>
        <w:t xml:space="preserve"> 8080/08 </w:t>
      </w:r>
      <w:r w:rsidR="00D4256A" w:rsidRPr="000A38E5">
        <w:rPr>
          <w:lang w:val="uk-UA"/>
        </w:rPr>
        <w:t>і</w:t>
      </w:r>
      <w:r w:rsidR="00D4256A" w:rsidRPr="000A38E5">
        <w:rPr>
          <w:lang w:val="ru-RU"/>
        </w:rPr>
        <w:t xml:space="preserve"> 8577/08, § 107, </w:t>
      </w:r>
      <w:r w:rsidR="00D4256A" w:rsidRPr="000A38E5">
        <w:t>ECHR</w:t>
      </w:r>
      <w:r w:rsidR="00D4256A" w:rsidRPr="000A38E5">
        <w:rPr>
          <w:lang w:val="ru-RU"/>
        </w:rPr>
        <w:t xml:space="preserve"> 2011 (</w:t>
      </w:r>
      <w:r w:rsidR="00D4256A" w:rsidRPr="000A38E5">
        <w:rPr>
          <w:lang w:val="uk-UA"/>
        </w:rPr>
        <w:t>витяги</w:t>
      </w:r>
      <w:r w:rsidR="00D4256A" w:rsidRPr="000A38E5">
        <w:rPr>
          <w:lang w:val="ru-RU"/>
        </w:rPr>
        <w:t>)</w:t>
      </w:r>
      <w:r w:rsidR="00D4256A" w:rsidRPr="000A38E5">
        <w:rPr>
          <w:lang w:val="ru-RU" w:bidi="en-US"/>
        </w:rPr>
        <w:t>).</w:t>
      </w:r>
    </w:p>
    <w:p w:rsidR="00D4256A" w:rsidRPr="000A38E5" w:rsidRDefault="00D4256A" w:rsidP="00D4256A">
      <w:pPr>
        <w:pStyle w:val="ECHRHeading6"/>
        <w:rPr>
          <w:lang w:val="uk-UA"/>
        </w:rPr>
      </w:pPr>
      <w:r w:rsidRPr="000A38E5">
        <w:rPr>
          <w:lang w:val="ru-RU"/>
        </w:rPr>
        <w:t>(</w:t>
      </w:r>
      <w:r w:rsidRPr="000A38E5">
        <w:t>β</w:t>
      </w:r>
      <w:r w:rsidRPr="000A38E5">
        <w:rPr>
          <w:lang w:val="ru-RU"/>
        </w:rPr>
        <w:t>)</w:t>
      </w:r>
      <w:r w:rsidRPr="00E93710">
        <w:rPr>
          <w:lang w:val="ru-RU"/>
        </w:rPr>
        <w:t xml:space="preserve"> </w:t>
      </w:r>
      <w:r w:rsidRPr="000A38E5">
        <w:rPr>
          <w:lang w:val="uk-UA"/>
        </w:rPr>
        <w:t>«передбачено законом»</w:t>
      </w:r>
      <w:r w:rsidRPr="000A38E5">
        <w:rPr>
          <w:lang w:val="ru-RU"/>
        </w:rPr>
        <w:t xml:space="preserve">: </w:t>
      </w:r>
      <w:r w:rsidRPr="000A38E5">
        <w:rPr>
          <w:lang w:val="uk-UA"/>
        </w:rPr>
        <w:t>перші шість заявників</w:t>
      </w:r>
    </w:p>
    <w:p w:rsidR="00D4256A" w:rsidRPr="000A38E5" w:rsidRDefault="004E7608" w:rsidP="00D4256A">
      <w:pPr>
        <w:pStyle w:val="ECHRPara"/>
        <w:rPr>
          <w:lang w:val="ru-RU" w:bidi="en-US"/>
        </w:rPr>
      </w:pPr>
      <w:r w:rsidRPr="000A38E5">
        <w:rPr>
          <w:lang w:bidi="en-US"/>
        </w:rPr>
        <w:fldChar w:fldCharType="begin"/>
      </w:r>
      <w:r w:rsidR="00D4256A" w:rsidRPr="000A38E5">
        <w:rPr>
          <w:lang w:val="ru-RU" w:bidi="en-US"/>
        </w:rPr>
        <w:instrText xml:space="preserve"> </w:instrText>
      </w:r>
      <w:r w:rsidR="00D4256A" w:rsidRPr="000A38E5">
        <w:rPr>
          <w:lang w:bidi="en-US"/>
        </w:rPr>
        <w:instrText>SEQ</w:instrText>
      </w:r>
      <w:r w:rsidR="00D4256A" w:rsidRPr="000A38E5">
        <w:rPr>
          <w:lang w:val="ru-RU" w:bidi="en-US"/>
        </w:rPr>
        <w:instrText xml:space="preserve"> </w:instrText>
      </w:r>
      <w:r w:rsidR="00D4256A" w:rsidRPr="000A38E5">
        <w:rPr>
          <w:lang w:bidi="en-US"/>
        </w:rPr>
        <w:instrText>level</w:instrText>
      </w:r>
      <w:r w:rsidR="00D4256A" w:rsidRPr="000A38E5">
        <w:rPr>
          <w:lang w:val="ru-RU" w:bidi="en-US"/>
        </w:rPr>
        <w:instrText>0 \*</w:instrText>
      </w:r>
      <w:r w:rsidR="00D4256A" w:rsidRPr="000A38E5">
        <w:rPr>
          <w:lang w:bidi="en-US"/>
        </w:rPr>
        <w:instrText>arabic</w:instrText>
      </w:r>
      <w:r w:rsidR="00D4256A" w:rsidRPr="000A38E5">
        <w:rPr>
          <w:lang w:val="ru-RU" w:bidi="en-US"/>
        </w:rPr>
        <w:instrText xml:space="preserve"> </w:instrText>
      </w:r>
      <w:r w:rsidRPr="000A38E5">
        <w:rPr>
          <w:lang w:bidi="en-US"/>
        </w:rPr>
        <w:fldChar w:fldCharType="separate"/>
      </w:r>
      <w:r w:rsidR="00D4256A" w:rsidRPr="000A38E5">
        <w:rPr>
          <w:noProof/>
          <w:lang w:val="ru-RU" w:bidi="en-US"/>
        </w:rPr>
        <w:t>232</w:t>
      </w:r>
      <w:r w:rsidRPr="000A38E5">
        <w:rPr>
          <w:lang w:bidi="en-US"/>
        </w:rPr>
        <w:fldChar w:fldCharType="end"/>
      </w:r>
      <w:r w:rsidR="00D4256A" w:rsidRPr="000A38E5">
        <w:rPr>
          <w:lang w:val="ru-RU" w:bidi="en-US"/>
        </w:rPr>
        <w:t>.</w:t>
      </w:r>
      <w:r w:rsidR="00D4256A" w:rsidRPr="00E93710">
        <w:rPr>
          <w:lang w:val="ru-RU" w:bidi="en-US"/>
        </w:rPr>
        <w:t xml:space="preserve"> </w:t>
      </w:r>
      <w:r w:rsidR="00D4256A" w:rsidRPr="000A38E5">
        <w:rPr>
          <w:lang w:val="uk-UA" w:bidi="en-US"/>
        </w:rPr>
        <w:t>Втручання мало основу в національному законодавстві, а саме, статтю</w:t>
      </w:r>
      <w:r w:rsidR="00D4256A" w:rsidRPr="000A38E5">
        <w:rPr>
          <w:lang w:val="ru-RU" w:bidi="en-US"/>
        </w:rPr>
        <w:t xml:space="preserve"> 185 </w:t>
      </w:r>
      <w:r w:rsidR="00D4256A" w:rsidRPr="000A38E5">
        <w:rPr>
          <w:lang w:val="uk-UA" w:bidi="en-US"/>
        </w:rPr>
        <w:t>Кодексу адміністративних правопорушень</w:t>
      </w:r>
      <w:r w:rsidR="00D4256A" w:rsidRPr="000A38E5">
        <w:rPr>
          <w:lang w:val="ru-RU" w:bidi="en-US"/>
        </w:rPr>
        <w:t xml:space="preserve">, </w:t>
      </w:r>
      <w:r w:rsidR="00D4256A" w:rsidRPr="000A38E5">
        <w:rPr>
          <w:lang w:val="uk-UA" w:bidi="en-US"/>
        </w:rPr>
        <w:t>яка карала невиконання законних наказів міліціонера</w:t>
      </w:r>
      <w:r w:rsidR="00D4256A" w:rsidRPr="000A38E5">
        <w:rPr>
          <w:lang w:val="ru-RU" w:bidi="en-US"/>
        </w:rPr>
        <w:t xml:space="preserve"> (</w:t>
      </w:r>
      <w:r w:rsidR="00D4256A" w:rsidRPr="000A38E5">
        <w:rPr>
          <w:lang w:val="uk-UA" w:bidi="en-US"/>
        </w:rPr>
        <w:t>див. пункт</w:t>
      </w:r>
      <w:r w:rsidR="00D4256A" w:rsidRPr="000A38E5">
        <w:rPr>
          <w:lang w:val="ru-RU" w:bidi="en-US"/>
        </w:rPr>
        <w:t xml:space="preserve"> </w:t>
      </w:r>
      <w:fldSimple w:instr=" REF CAO_185 \h  \* MERGEFORMAT ">
        <w:r w:rsidR="00D4256A" w:rsidRPr="000A38E5">
          <w:rPr>
            <w:noProof/>
            <w:lang w:val="ru-RU"/>
          </w:rPr>
          <w:t>97</w:t>
        </w:r>
      </w:fldSimple>
      <w:r w:rsidR="00D4256A" w:rsidRPr="000A38E5">
        <w:rPr>
          <w:lang w:val="ru-RU" w:bidi="en-US"/>
        </w:rPr>
        <w:t xml:space="preserve"> </w:t>
      </w:r>
      <w:r w:rsidR="00D4256A" w:rsidRPr="000A38E5">
        <w:rPr>
          <w:lang w:val="uk-UA" w:bidi="en-US"/>
        </w:rPr>
        <w:t>вище</w:t>
      </w:r>
      <w:r w:rsidR="00D4256A" w:rsidRPr="000A38E5">
        <w:rPr>
          <w:lang w:val="ru-RU" w:bidi="en-US"/>
        </w:rPr>
        <w:t xml:space="preserve">). </w:t>
      </w:r>
      <w:r w:rsidR="00D4256A" w:rsidRPr="000A38E5">
        <w:rPr>
          <w:lang w:val="uk-UA" w:bidi="en-US"/>
        </w:rPr>
        <w:t>Ніщо не вказує, що це положення не було доступним</w:t>
      </w:r>
      <w:r w:rsidR="00D4256A" w:rsidRPr="000A38E5">
        <w:rPr>
          <w:lang w:val="ru-RU" w:bidi="en-US"/>
        </w:rPr>
        <w:t xml:space="preserve"> </w:t>
      </w:r>
      <w:r w:rsidR="00D4256A" w:rsidRPr="000A38E5">
        <w:rPr>
          <w:lang w:val="uk-UA" w:bidi="en-US"/>
        </w:rPr>
        <w:t>для заявників або було непередбачуваним</w:t>
      </w:r>
      <w:r w:rsidR="00D4256A" w:rsidRPr="000A38E5">
        <w:rPr>
          <w:lang w:val="ru-RU" w:bidi="en-US"/>
        </w:rPr>
        <w:t>.</w:t>
      </w:r>
    </w:p>
    <w:p w:rsidR="00D4256A" w:rsidRPr="000A38E5" w:rsidRDefault="004E7608" w:rsidP="00D4256A">
      <w:pPr>
        <w:pStyle w:val="ECHRPara"/>
        <w:rPr>
          <w:lang w:val="ru-RU"/>
        </w:rPr>
      </w:pPr>
      <w:r w:rsidRPr="000A38E5">
        <w:rPr>
          <w:lang w:bidi="en-US"/>
        </w:rPr>
        <w:fldChar w:fldCharType="begin"/>
      </w:r>
      <w:r w:rsidR="00D4256A" w:rsidRPr="000A38E5">
        <w:rPr>
          <w:lang w:val="ru-RU" w:bidi="en-US"/>
        </w:rPr>
        <w:instrText xml:space="preserve"> </w:instrText>
      </w:r>
      <w:r w:rsidR="00D4256A" w:rsidRPr="000A38E5">
        <w:rPr>
          <w:lang w:bidi="en-US"/>
        </w:rPr>
        <w:instrText>SEQ</w:instrText>
      </w:r>
      <w:r w:rsidR="00D4256A" w:rsidRPr="000A38E5">
        <w:rPr>
          <w:lang w:val="ru-RU" w:bidi="en-US"/>
        </w:rPr>
        <w:instrText xml:space="preserve"> </w:instrText>
      </w:r>
      <w:r w:rsidR="00D4256A" w:rsidRPr="000A38E5">
        <w:rPr>
          <w:lang w:bidi="en-US"/>
        </w:rPr>
        <w:instrText>level</w:instrText>
      </w:r>
      <w:r w:rsidR="00D4256A" w:rsidRPr="000A38E5">
        <w:rPr>
          <w:lang w:val="ru-RU" w:bidi="en-US"/>
        </w:rPr>
        <w:instrText>0 \*</w:instrText>
      </w:r>
      <w:r w:rsidR="00D4256A" w:rsidRPr="000A38E5">
        <w:rPr>
          <w:lang w:bidi="en-US"/>
        </w:rPr>
        <w:instrText>arabic</w:instrText>
      </w:r>
      <w:r w:rsidR="00D4256A" w:rsidRPr="000A38E5">
        <w:rPr>
          <w:lang w:val="ru-RU" w:bidi="en-US"/>
        </w:rPr>
        <w:instrText xml:space="preserve"> </w:instrText>
      </w:r>
      <w:r w:rsidRPr="000A38E5">
        <w:rPr>
          <w:lang w:bidi="en-US"/>
        </w:rPr>
        <w:fldChar w:fldCharType="separate"/>
      </w:r>
      <w:r w:rsidR="00D4256A" w:rsidRPr="000A38E5">
        <w:rPr>
          <w:noProof/>
          <w:lang w:val="ru-RU" w:bidi="en-US"/>
        </w:rPr>
        <w:t>233</w:t>
      </w:r>
      <w:r w:rsidRPr="000A38E5">
        <w:rPr>
          <w:lang w:bidi="en-US"/>
        </w:rPr>
        <w:fldChar w:fldCharType="end"/>
      </w:r>
      <w:r w:rsidR="00D4256A" w:rsidRPr="000A38E5">
        <w:rPr>
          <w:lang w:val="ru-RU" w:bidi="en-US"/>
        </w:rPr>
        <w:t>.</w:t>
      </w:r>
      <w:r w:rsidR="00D4256A" w:rsidRPr="00E93710">
        <w:rPr>
          <w:lang w:val="ru-RU" w:bidi="en-US"/>
        </w:rPr>
        <w:t xml:space="preserve"> </w:t>
      </w:r>
      <w:r w:rsidR="00D4256A" w:rsidRPr="000A38E5">
        <w:rPr>
          <w:lang w:val="uk-UA" w:bidi="en-US"/>
        </w:rPr>
        <w:t>Однак, заявники стверджували, що будь-яка дія, спрямована проти їх протесту,</w:t>
      </w:r>
      <w:r w:rsidR="00D4256A" w:rsidRPr="000A38E5">
        <w:rPr>
          <w:lang w:val="ru-RU" w:bidi="en-US"/>
        </w:rPr>
        <w:t xml:space="preserve"> </w:t>
      </w:r>
      <w:r w:rsidR="00D4256A" w:rsidRPr="000A38E5">
        <w:rPr>
          <w:lang w:val="uk-UA" w:bidi="en-US"/>
        </w:rPr>
        <w:t>була незаконною, оскільки стаття 39 Конституції</w:t>
      </w:r>
      <w:r w:rsidR="00D4256A" w:rsidRPr="000A38E5">
        <w:rPr>
          <w:lang w:val="ru-RU" w:bidi="en-US"/>
        </w:rPr>
        <w:t xml:space="preserve"> </w:t>
      </w:r>
      <w:r w:rsidR="00D4256A" w:rsidRPr="000A38E5">
        <w:rPr>
          <w:lang w:val="uk-UA" w:bidi="en-US"/>
        </w:rPr>
        <w:t>вимагала, щоб органи влади отримали судове рішення,</w:t>
      </w:r>
      <w:r w:rsidR="00D4256A" w:rsidRPr="000A38E5">
        <w:rPr>
          <w:lang w:val="ru-RU" w:bidi="en-US"/>
        </w:rPr>
        <w:t xml:space="preserve"> </w:t>
      </w:r>
      <w:r w:rsidR="00D4256A" w:rsidRPr="000A38E5">
        <w:rPr>
          <w:lang w:val="uk-UA" w:bidi="en-US"/>
        </w:rPr>
        <w:t>яке дозволяє розгін</w:t>
      </w:r>
      <w:r w:rsidR="00D4256A" w:rsidRPr="000A38E5">
        <w:rPr>
          <w:lang w:val="ru-RU" w:bidi="en-US"/>
        </w:rPr>
        <w:t xml:space="preserve">. </w:t>
      </w:r>
      <w:r w:rsidR="00D4256A" w:rsidRPr="000A38E5">
        <w:rPr>
          <w:lang w:val="uk-UA" w:bidi="en-US"/>
        </w:rPr>
        <w:t xml:space="preserve">Для оцінки цього аргументу Суд повинен узагальнити своє </w:t>
      </w:r>
      <w:proofErr w:type="spellStart"/>
      <w:r w:rsidR="00D4256A" w:rsidRPr="000A38E5">
        <w:rPr>
          <w:lang w:val="uk-UA" w:bidi="en-US"/>
        </w:rPr>
        <w:t>прецедентне</w:t>
      </w:r>
      <w:proofErr w:type="spellEnd"/>
      <w:r w:rsidR="00D4256A" w:rsidRPr="000A38E5">
        <w:rPr>
          <w:lang w:val="uk-UA" w:bidi="en-US"/>
        </w:rPr>
        <w:t xml:space="preserve"> право</w:t>
      </w:r>
      <w:r w:rsidR="00D4256A" w:rsidRPr="000A38E5">
        <w:rPr>
          <w:lang w:val="ru-RU" w:bidi="en-US"/>
        </w:rPr>
        <w:t xml:space="preserve"> </w:t>
      </w:r>
      <w:r w:rsidR="00D4256A" w:rsidRPr="000A38E5">
        <w:rPr>
          <w:lang w:val="uk-UA" w:bidi="en-US"/>
        </w:rPr>
        <w:t>стосовно законодавчих рамок для мирного протесту в Україні</w:t>
      </w:r>
      <w:r w:rsidR="00D4256A" w:rsidRPr="000A38E5">
        <w:rPr>
          <w:lang w:val="ru-RU" w:bidi="en-US"/>
        </w:rPr>
        <w:t>.</w:t>
      </w:r>
    </w:p>
    <w:p w:rsidR="00D4256A" w:rsidRPr="000A38E5" w:rsidRDefault="004E7608" w:rsidP="00D4256A">
      <w:pPr>
        <w:pStyle w:val="ECHRPara"/>
        <w:rPr>
          <w:lang w:val="ru-RU" w:bidi="en-US"/>
        </w:rPr>
      </w:pPr>
      <w:r w:rsidRPr="000A38E5">
        <w:rPr>
          <w:lang w:bidi="en-US"/>
        </w:rPr>
        <w:fldChar w:fldCharType="begin"/>
      </w:r>
      <w:r w:rsidR="00D4256A" w:rsidRPr="000A38E5">
        <w:rPr>
          <w:lang w:val="ru-RU" w:bidi="en-US"/>
        </w:rPr>
        <w:instrText xml:space="preserve"> </w:instrText>
      </w:r>
      <w:r w:rsidR="00D4256A" w:rsidRPr="000A38E5">
        <w:rPr>
          <w:lang w:bidi="en-US"/>
        </w:rPr>
        <w:instrText>SEQ</w:instrText>
      </w:r>
      <w:r w:rsidR="00D4256A" w:rsidRPr="000A38E5">
        <w:rPr>
          <w:lang w:val="ru-RU" w:bidi="en-US"/>
        </w:rPr>
        <w:instrText xml:space="preserve"> </w:instrText>
      </w:r>
      <w:r w:rsidR="00D4256A" w:rsidRPr="000A38E5">
        <w:rPr>
          <w:lang w:bidi="en-US"/>
        </w:rPr>
        <w:instrText>level</w:instrText>
      </w:r>
      <w:r w:rsidR="00D4256A" w:rsidRPr="000A38E5">
        <w:rPr>
          <w:lang w:val="ru-RU" w:bidi="en-US"/>
        </w:rPr>
        <w:instrText>0 \*</w:instrText>
      </w:r>
      <w:r w:rsidR="00D4256A" w:rsidRPr="000A38E5">
        <w:rPr>
          <w:lang w:bidi="en-US"/>
        </w:rPr>
        <w:instrText>arabic</w:instrText>
      </w:r>
      <w:r w:rsidR="00D4256A" w:rsidRPr="000A38E5">
        <w:rPr>
          <w:lang w:val="ru-RU" w:bidi="en-US"/>
        </w:rPr>
        <w:instrText xml:space="preserve"> </w:instrText>
      </w:r>
      <w:r w:rsidRPr="000A38E5">
        <w:rPr>
          <w:lang w:bidi="en-US"/>
        </w:rPr>
        <w:fldChar w:fldCharType="separate"/>
      </w:r>
      <w:r w:rsidR="00D4256A" w:rsidRPr="000A38E5">
        <w:rPr>
          <w:noProof/>
          <w:lang w:val="ru-RU" w:bidi="en-US"/>
        </w:rPr>
        <w:t>234</w:t>
      </w:r>
      <w:r w:rsidRPr="000A38E5">
        <w:rPr>
          <w:lang w:bidi="en-US"/>
        </w:rPr>
        <w:fldChar w:fldCharType="end"/>
      </w:r>
      <w:r w:rsidR="00D4256A" w:rsidRPr="000A38E5">
        <w:rPr>
          <w:lang w:val="ru-RU" w:bidi="en-US"/>
        </w:rPr>
        <w:t>.</w:t>
      </w:r>
      <w:r w:rsidR="00D4256A" w:rsidRPr="00E93710">
        <w:rPr>
          <w:lang w:val="ru-RU" w:bidi="en-US"/>
        </w:rPr>
        <w:t xml:space="preserve"> </w:t>
      </w:r>
      <w:r w:rsidR="00D4256A" w:rsidRPr="000A38E5">
        <w:rPr>
          <w:lang w:val="uk-UA" w:bidi="en-US"/>
        </w:rPr>
        <w:t>Загальні національні правові рамки вже підлягали розгляду Суду у справах</w:t>
      </w:r>
      <w:r w:rsidR="00D4256A" w:rsidRPr="000A38E5">
        <w:rPr>
          <w:lang w:val="ru-RU" w:bidi="en-US"/>
        </w:rPr>
        <w:t xml:space="preserve"> </w:t>
      </w:r>
      <w:proofErr w:type="spellStart"/>
      <w:r w:rsidR="00D4256A" w:rsidRPr="000A38E5">
        <w:rPr>
          <w:i/>
          <w:lang w:bidi="en-US"/>
        </w:rPr>
        <w:t>Vyerentsov</w:t>
      </w:r>
      <w:proofErr w:type="spellEnd"/>
      <w:r w:rsidR="00D4256A" w:rsidRPr="000A38E5">
        <w:rPr>
          <w:i/>
          <w:lang w:val="ru-RU" w:bidi="en-US"/>
        </w:rPr>
        <w:t xml:space="preserve"> </w:t>
      </w:r>
      <w:r w:rsidR="00D4256A" w:rsidRPr="000A38E5">
        <w:rPr>
          <w:i/>
          <w:lang w:bidi="en-US"/>
        </w:rPr>
        <w:t>v</w:t>
      </w:r>
      <w:r w:rsidR="00D4256A" w:rsidRPr="000A38E5">
        <w:rPr>
          <w:i/>
          <w:lang w:val="ru-RU" w:bidi="en-US"/>
        </w:rPr>
        <w:t xml:space="preserve">. </w:t>
      </w:r>
      <w:r w:rsidR="00D4256A" w:rsidRPr="000A38E5">
        <w:rPr>
          <w:i/>
          <w:lang w:bidi="en-US"/>
        </w:rPr>
        <w:t>Ukraine</w:t>
      </w:r>
      <w:r w:rsidR="00D4256A" w:rsidRPr="000A38E5">
        <w:rPr>
          <w:lang w:val="ru-RU" w:bidi="en-US"/>
        </w:rPr>
        <w:t xml:space="preserve"> (</w:t>
      </w:r>
      <w:r w:rsidR="00D4256A" w:rsidRPr="000A38E5">
        <w:rPr>
          <w:lang w:val="uk-UA" w:bidi="en-US"/>
        </w:rPr>
        <w:t>№</w:t>
      </w:r>
      <w:r w:rsidR="00D4256A" w:rsidRPr="000A38E5">
        <w:rPr>
          <w:lang w:bidi="en-US"/>
        </w:rPr>
        <w:t> </w:t>
      </w:r>
      <w:r w:rsidR="00D4256A" w:rsidRPr="000A38E5">
        <w:rPr>
          <w:lang w:val="ru-RU" w:bidi="en-US"/>
        </w:rPr>
        <w:t>20372/11, 11</w:t>
      </w:r>
      <w:r w:rsidR="00D4256A" w:rsidRPr="000A38E5">
        <w:rPr>
          <w:lang w:bidi="en-US"/>
        </w:rPr>
        <w:t> </w:t>
      </w:r>
      <w:r w:rsidR="00D4256A" w:rsidRPr="000A38E5">
        <w:rPr>
          <w:lang w:val="uk-UA" w:bidi="en-US"/>
        </w:rPr>
        <w:t>квітня</w:t>
      </w:r>
      <w:r w:rsidR="00D4256A" w:rsidRPr="000A38E5">
        <w:rPr>
          <w:lang w:val="ru-RU" w:bidi="en-US"/>
        </w:rPr>
        <w:t xml:space="preserve"> 2013), </w:t>
      </w:r>
      <w:r w:rsidR="00D4256A" w:rsidRPr="000A38E5">
        <w:rPr>
          <w:lang w:val="uk-UA" w:bidi="en-US"/>
        </w:rPr>
        <w:t>та</w:t>
      </w:r>
      <w:r w:rsidR="00D4256A" w:rsidRPr="000A38E5">
        <w:rPr>
          <w:lang w:val="ru-RU" w:bidi="en-US"/>
        </w:rPr>
        <w:t xml:space="preserve"> </w:t>
      </w:r>
      <w:proofErr w:type="spellStart"/>
      <w:r w:rsidR="00D4256A" w:rsidRPr="000A38E5">
        <w:rPr>
          <w:i/>
          <w:lang w:bidi="en-US"/>
        </w:rPr>
        <w:t>Shmushkovych</w:t>
      </w:r>
      <w:proofErr w:type="spellEnd"/>
      <w:r w:rsidR="00D4256A" w:rsidRPr="000A38E5">
        <w:rPr>
          <w:i/>
          <w:lang w:val="ru-RU" w:bidi="en-US"/>
        </w:rPr>
        <w:t xml:space="preserve"> </w:t>
      </w:r>
      <w:r w:rsidR="00D4256A" w:rsidRPr="000A38E5">
        <w:rPr>
          <w:i/>
          <w:lang w:bidi="en-US"/>
        </w:rPr>
        <w:t>v</w:t>
      </w:r>
      <w:r w:rsidR="00D4256A" w:rsidRPr="000A38E5">
        <w:rPr>
          <w:i/>
          <w:lang w:val="ru-RU" w:bidi="en-US"/>
        </w:rPr>
        <w:t xml:space="preserve">. </w:t>
      </w:r>
      <w:r w:rsidR="00D4256A" w:rsidRPr="000A38E5">
        <w:rPr>
          <w:i/>
          <w:lang w:bidi="en-US"/>
        </w:rPr>
        <w:t>Ukraine</w:t>
      </w:r>
      <w:r w:rsidR="00D4256A" w:rsidRPr="000A38E5">
        <w:rPr>
          <w:lang w:val="ru-RU" w:bidi="en-US"/>
        </w:rPr>
        <w:t xml:space="preserve"> (</w:t>
      </w:r>
      <w:r w:rsidR="00D4256A" w:rsidRPr="000A38E5">
        <w:rPr>
          <w:lang w:val="uk-UA" w:bidi="en-US"/>
        </w:rPr>
        <w:t>№</w:t>
      </w:r>
      <w:r w:rsidR="00D4256A" w:rsidRPr="000A38E5">
        <w:rPr>
          <w:lang w:val="ru-RU" w:bidi="en-US"/>
        </w:rPr>
        <w:t xml:space="preserve"> 3276/10, 14 </w:t>
      </w:r>
      <w:r w:rsidR="00D4256A" w:rsidRPr="000A38E5">
        <w:rPr>
          <w:lang w:val="uk-UA" w:bidi="en-US"/>
        </w:rPr>
        <w:t>листопада</w:t>
      </w:r>
      <w:r w:rsidR="00D4256A" w:rsidRPr="000A38E5">
        <w:rPr>
          <w:lang w:val="ru-RU" w:bidi="en-US"/>
        </w:rPr>
        <w:t xml:space="preserve"> 2013). </w:t>
      </w:r>
      <w:r w:rsidR="00D4256A" w:rsidRPr="000A38E5">
        <w:rPr>
          <w:lang w:val="uk-UA" w:bidi="en-US"/>
        </w:rPr>
        <w:t>Як було встановлено у цих справах, Верховна Рада України не прийняла ніякого закону,</w:t>
      </w:r>
      <w:r w:rsidR="00D4256A" w:rsidRPr="000A38E5">
        <w:rPr>
          <w:lang w:val="ru-RU" w:bidi="en-US"/>
        </w:rPr>
        <w:t xml:space="preserve"> </w:t>
      </w:r>
      <w:r w:rsidR="00D4256A" w:rsidRPr="000A38E5">
        <w:rPr>
          <w:lang w:val="uk-UA" w:bidi="en-US"/>
        </w:rPr>
        <w:t>який регулює порядок проведення мирних демонстрацій</w:t>
      </w:r>
      <w:r w:rsidR="00D4256A" w:rsidRPr="000A38E5">
        <w:rPr>
          <w:lang w:val="ru-RU" w:bidi="en-US"/>
        </w:rPr>
        <w:t xml:space="preserve"> (</w:t>
      </w:r>
      <w:r w:rsidR="00D4256A" w:rsidRPr="000A38E5">
        <w:rPr>
          <w:lang w:val="uk-UA" w:bidi="en-US"/>
        </w:rPr>
        <w:t>див.</w:t>
      </w:r>
      <w:r w:rsidR="00D4256A" w:rsidRPr="000A38E5">
        <w:rPr>
          <w:lang w:val="ru-RU" w:bidi="en-US"/>
        </w:rPr>
        <w:t xml:space="preserve"> </w:t>
      </w:r>
      <w:proofErr w:type="spellStart"/>
      <w:r w:rsidR="00D4256A" w:rsidRPr="000A38E5">
        <w:rPr>
          <w:i/>
          <w:lang w:bidi="en-US"/>
        </w:rPr>
        <w:t>Vyerentsov</w:t>
      </w:r>
      <w:proofErr w:type="spellEnd"/>
      <w:r w:rsidR="00D4256A" w:rsidRPr="000A38E5">
        <w:rPr>
          <w:lang w:val="ru-RU" w:bidi="en-US"/>
        </w:rPr>
        <w:t xml:space="preserve">, § 55, </w:t>
      </w:r>
      <w:r w:rsidR="00D4256A" w:rsidRPr="000A38E5">
        <w:rPr>
          <w:lang w:val="uk-UA" w:bidi="en-US"/>
        </w:rPr>
        <w:t>та</w:t>
      </w:r>
      <w:r w:rsidR="00D4256A" w:rsidRPr="000A38E5">
        <w:rPr>
          <w:lang w:val="ru-RU" w:bidi="en-US"/>
        </w:rPr>
        <w:t xml:space="preserve"> </w:t>
      </w:r>
      <w:proofErr w:type="spellStart"/>
      <w:r w:rsidR="00D4256A" w:rsidRPr="000A38E5">
        <w:rPr>
          <w:i/>
          <w:lang w:bidi="en-US"/>
        </w:rPr>
        <w:t>Shmushkovych</w:t>
      </w:r>
      <w:proofErr w:type="spellEnd"/>
      <w:r w:rsidR="00D4256A" w:rsidRPr="000A38E5">
        <w:rPr>
          <w:lang w:val="ru-RU" w:bidi="en-US"/>
        </w:rPr>
        <w:t xml:space="preserve">, § 40, </w:t>
      </w:r>
      <w:r w:rsidR="00D4256A" w:rsidRPr="000A38E5">
        <w:rPr>
          <w:lang w:val="uk-UA" w:bidi="en-US"/>
        </w:rPr>
        <w:t xml:space="preserve">обидва </w:t>
      </w:r>
      <w:proofErr w:type="spellStart"/>
      <w:r w:rsidR="00D4256A" w:rsidRPr="000A38E5">
        <w:rPr>
          <w:lang w:val="uk-UA" w:bidi="en-US"/>
        </w:rPr>
        <w:t>цит</w:t>
      </w:r>
      <w:proofErr w:type="spellEnd"/>
      <w:r w:rsidR="00D4256A" w:rsidRPr="000A38E5">
        <w:rPr>
          <w:lang w:val="uk-UA" w:bidi="en-US"/>
        </w:rPr>
        <w:t>. вище</w:t>
      </w:r>
      <w:r w:rsidR="00D4256A" w:rsidRPr="000A38E5">
        <w:rPr>
          <w:lang w:val="ru-RU" w:bidi="en-US"/>
        </w:rPr>
        <w:t xml:space="preserve">). </w:t>
      </w:r>
      <w:r w:rsidR="00D4256A" w:rsidRPr="000A38E5">
        <w:rPr>
          <w:lang w:val="uk-UA" w:bidi="en-US"/>
        </w:rPr>
        <w:t>У тих справах заявники були покарані відповідно до статті</w:t>
      </w:r>
      <w:r w:rsidR="00D4256A" w:rsidRPr="000A38E5">
        <w:rPr>
          <w:lang w:val="ru-RU" w:bidi="en-US"/>
        </w:rPr>
        <w:t xml:space="preserve"> 185</w:t>
      </w:r>
      <w:r w:rsidR="00D4256A" w:rsidRPr="000A38E5">
        <w:rPr>
          <w:lang w:val="ru-RU" w:bidi="en-US"/>
        </w:rPr>
        <w:noBreakHyphen/>
        <w:t xml:space="preserve">1 </w:t>
      </w:r>
      <w:r w:rsidR="00D4256A" w:rsidRPr="000A38E5">
        <w:rPr>
          <w:lang w:val="uk-UA" w:bidi="en-US"/>
        </w:rPr>
        <w:t>Кодексу адміністративних правопорушень</w:t>
      </w:r>
      <w:r w:rsidR="00D4256A" w:rsidRPr="000A38E5">
        <w:rPr>
          <w:lang w:val="ru-RU" w:bidi="en-US"/>
        </w:rPr>
        <w:t xml:space="preserve">, </w:t>
      </w:r>
      <w:r w:rsidR="00D4256A" w:rsidRPr="000A38E5">
        <w:rPr>
          <w:lang w:val="uk-UA" w:bidi="en-US"/>
        </w:rPr>
        <w:t>яка передбачала покарання за порушення порядку</w:t>
      </w:r>
      <w:r w:rsidR="00D4256A" w:rsidRPr="000A38E5">
        <w:rPr>
          <w:lang w:val="ru-RU" w:bidi="en-US"/>
        </w:rPr>
        <w:t xml:space="preserve"> </w:t>
      </w:r>
      <w:r w:rsidR="00D4256A" w:rsidRPr="000A38E5">
        <w:rPr>
          <w:lang w:val="uk-UA" w:bidi="en-US"/>
        </w:rPr>
        <w:t>організації та проведення зібрань</w:t>
      </w:r>
      <w:r w:rsidR="00D4256A" w:rsidRPr="000A38E5">
        <w:rPr>
          <w:lang w:val="ru-RU" w:bidi="en-US"/>
        </w:rPr>
        <w:t xml:space="preserve">. </w:t>
      </w:r>
      <w:r w:rsidR="00D4256A" w:rsidRPr="000A38E5">
        <w:rPr>
          <w:lang w:val="uk-UA" w:bidi="en-US"/>
        </w:rPr>
        <w:t>За таких обставин Суд, зробивши висновок, що відповідний закон</w:t>
      </w:r>
      <w:r w:rsidR="00D4256A" w:rsidRPr="000A38E5">
        <w:rPr>
          <w:lang w:val="ru-RU" w:bidi="en-US"/>
        </w:rPr>
        <w:t xml:space="preserve"> </w:t>
      </w:r>
      <w:r w:rsidR="00D4256A" w:rsidRPr="000A38E5">
        <w:rPr>
          <w:lang w:val="uk-UA" w:bidi="en-US"/>
        </w:rPr>
        <w:t>був недостатньо передбачуваним</w:t>
      </w:r>
      <w:r w:rsidR="00D4256A" w:rsidRPr="000A38E5">
        <w:rPr>
          <w:lang w:val="ru-RU" w:bidi="en-US"/>
        </w:rPr>
        <w:t xml:space="preserve">, </w:t>
      </w:r>
      <w:r w:rsidR="00D4256A" w:rsidRPr="000A38E5">
        <w:rPr>
          <w:lang w:val="uk-UA" w:bidi="en-US"/>
        </w:rPr>
        <w:t>визнав, що не було потреби перевіряти, чи інші дві вимоги статті</w:t>
      </w:r>
      <w:r w:rsidR="00D4256A" w:rsidRPr="000A38E5">
        <w:rPr>
          <w:lang w:val="ru-RU" w:bidi="en-US"/>
        </w:rPr>
        <w:t xml:space="preserve"> 11 § 2 </w:t>
      </w:r>
      <w:r w:rsidR="00D4256A" w:rsidRPr="000A38E5">
        <w:rPr>
          <w:lang w:val="uk-UA" w:bidi="en-US"/>
        </w:rPr>
        <w:t>були виконані</w:t>
      </w:r>
      <w:r w:rsidR="00D4256A" w:rsidRPr="000A38E5">
        <w:rPr>
          <w:lang w:val="ru-RU" w:bidi="en-US"/>
        </w:rPr>
        <w:t xml:space="preserve"> (</w:t>
      </w:r>
      <w:r w:rsidR="00D4256A" w:rsidRPr="000A38E5">
        <w:rPr>
          <w:lang w:val="uk-UA" w:bidi="en-US"/>
        </w:rPr>
        <w:t>див.</w:t>
      </w:r>
      <w:r w:rsidR="00D4256A" w:rsidRPr="000A38E5">
        <w:rPr>
          <w:lang w:val="ru-RU" w:bidi="en-US"/>
        </w:rPr>
        <w:t xml:space="preserve"> </w:t>
      </w:r>
      <w:proofErr w:type="spellStart"/>
      <w:r w:rsidR="00D4256A" w:rsidRPr="000A38E5">
        <w:rPr>
          <w:i/>
          <w:lang w:bidi="en-US"/>
        </w:rPr>
        <w:t>Vyerentsov</w:t>
      </w:r>
      <w:proofErr w:type="spellEnd"/>
      <w:r w:rsidR="00D4256A" w:rsidRPr="000A38E5">
        <w:rPr>
          <w:lang w:val="ru-RU" w:bidi="en-US"/>
        </w:rPr>
        <w:t xml:space="preserve">, § 54-56, </w:t>
      </w:r>
      <w:r w:rsidR="00D4256A" w:rsidRPr="000A38E5">
        <w:rPr>
          <w:lang w:val="uk-UA" w:bidi="en-US"/>
        </w:rPr>
        <w:t>та</w:t>
      </w:r>
      <w:r w:rsidR="00D4256A" w:rsidRPr="000A38E5">
        <w:rPr>
          <w:lang w:val="ru-RU" w:bidi="en-US"/>
        </w:rPr>
        <w:t xml:space="preserve"> </w:t>
      </w:r>
      <w:proofErr w:type="spellStart"/>
      <w:r w:rsidR="00D4256A" w:rsidRPr="000A38E5">
        <w:rPr>
          <w:i/>
          <w:lang w:bidi="en-US"/>
        </w:rPr>
        <w:t>Shmushkovych</w:t>
      </w:r>
      <w:proofErr w:type="spellEnd"/>
      <w:r w:rsidR="00D4256A" w:rsidRPr="000A38E5">
        <w:rPr>
          <w:lang w:val="ru-RU" w:bidi="en-US"/>
        </w:rPr>
        <w:t xml:space="preserve">, § 41, </w:t>
      </w:r>
      <w:r w:rsidR="00D4256A" w:rsidRPr="000A38E5">
        <w:rPr>
          <w:lang w:val="uk-UA" w:bidi="en-US"/>
        </w:rPr>
        <w:t xml:space="preserve">обидва </w:t>
      </w:r>
      <w:proofErr w:type="spellStart"/>
      <w:r w:rsidR="00D4256A" w:rsidRPr="000A38E5">
        <w:rPr>
          <w:lang w:val="uk-UA" w:bidi="en-US"/>
        </w:rPr>
        <w:t>цит</w:t>
      </w:r>
      <w:proofErr w:type="spellEnd"/>
      <w:r w:rsidR="00D4256A" w:rsidRPr="000A38E5">
        <w:rPr>
          <w:lang w:val="uk-UA" w:bidi="en-US"/>
        </w:rPr>
        <w:t>. вище</w:t>
      </w:r>
      <w:r w:rsidR="00D4256A" w:rsidRPr="000A38E5">
        <w:rPr>
          <w:lang w:val="ru-RU" w:bidi="en-US"/>
        </w:rPr>
        <w:t>).</w:t>
      </w:r>
    </w:p>
    <w:p w:rsidR="00D4256A" w:rsidRPr="000A38E5" w:rsidRDefault="004E7608" w:rsidP="00D4256A">
      <w:pPr>
        <w:pStyle w:val="ECHRPara"/>
        <w:rPr>
          <w:lang w:val="ru-RU"/>
        </w:rPr>
      </w:pPr>
      <w:r w:rsidRPr="000A38E5">
        <w:rPr>
          <w:lang w:bidi="en-US"/>
        </w:rPr>
        <w:fldChar w:fldCharType="begin"/>
      </w:r>
      <w:r w:rsidR="00D4256A" w:rsidRPr="000A38E5">
        <w:rPr>
          <w:lang w:val="ru-RU" w:bidi="en-US"/>
        </w:rPr>
        <w:instrText xml:space="preserve"> </w:instrText>
      </w:r>
      <w:r w:rsidR="00D4256A" w:rsidRPr="000A38E5">
        <w:rPr>
          <w:lang w:bidi="en-US"/>
        </w:rPr>
        <w:instrText>SEQ</w:instrText>
      </w:r>
      <w:r w:rsidR="00D4256A" w:rsidRPr="000A38E5">
        <w:rPr>
          <w:lang w:val="ru-RU" w:bidi="en-US"/>
        </w:rPr>
        <w:instrText xml:space="preserve"> </w:instrText>
      </w:r>
      <w:r w:rsidR="00D4256A" w:rsidRPr="000A38E5">
        <w:rPr>
          <w:lang w:bidi="en-US"/>
        </w:rPr>
        <w:instrText>level</w:instrText>
      </w:r>
      <w:r w:rsidR="00D4256A" w:rsidRPr="000A38E5">
        <w:rPr>
          <w:lang w:val="ru-RU" w:bidi="en-US"/>
        </w:rPr>
        <w:instrText>0 \*</w:instrText>
      </w:r>
      <w:r w:rsidR="00D4256A" w:rsidRPr="000A38E5">
        <w:rPr>
          <w:lang w:bidi="en-US"/>
        </w:rPr>
        <w:instrText>arabic</w:instrText>
      </w:r>
      <w:r w:rsidR="00D4256A" w:rsidRPr="000A38E5">
        <w:rPr>
          <w:lang w:val="ru-RU" w:bidi="en-US"/>
        </w:rPr>
        <w:instrText xml:space="preserve"> </w:instrText>
      </w:r>
      <w:r w:rsidRPr="000A38E5">
        <w:rPr>
          <w:lang w:bidi="en-US"/>
        </w:rPr>
        <w:fldChar w:fldCharType="separate"/>
      </w:r>
      <w:r w:rsidR="00D4256A" w:rsidRPr="000A38E5">
        <w:rPr>
          <w:noProof/>
          <w:lang w:val="ru-RU" w:bidi="en-US"/>
        </w:rPr>
        <w:t>235</w:t>
      </w:r>
      <w:r w:rsidRPr="000A38E5">
        <w:rPr>
          <w:lang w:bidi="en-US"/>
        </w:rPr>
        <w:fldChar w:fldCharType="end"/>
      </w:r>
      <w:r w:rsidR="00D4256A" w:rsidRPr="000A38E5">
        <w:rPr>
          <w:lang w:val="ru-RU" w:bidi="en-US"/>
        </w:rPr>
        <w:t>.</w:t>
      </w:r>
      <w:r w:rsidR="00D4256A" w:rsidRPr="00E93710">
        <w:rPr>
          <w:lang w:val="ru-RU" w:bidi="en-US"/>
        </w:rPr>
        <w:t xml:space="preserve"> </w:t>
      </w:r>
      <w:r w:rsidR="00D4256A" w:rsidRPr="000A38E5">
        <w:rPr>
          <w:lang w:val="uk-UA" w:bidi="en-US"/>
        </w:rPr>
        <w:t>На відміну від цього, у справі</w:t>
      </w:r>
      <w:r w:rsidR="00D4256A" w:rsidRPr="000A38E5">
        <w:rPr>
          <w:lang w:val="ru-RU" w:bidi="en-US"/>
        </w:rPr>
        <w:t xml:space="preserve"> </w:t>
      </w:r>
      <w:proofErr w:type="spellStart"/>
      <w:r w:rsidR="00D4256A" w:rsidRPr="000A38E5">
        <w:rPr>
          <w:i/>
        </w:rPr>
        <w:t>Chumak</w:t>
      </w:r>
      <w:proofErr w:type="spellEnd"/>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Ukraine</w:t>
      </w:r>
      <w:r w:rsidR="00D4256A" w:rsidRPr="000A38E5">
        <w:rPr>
          <w:lang w:val="ru-RU" w:eastAsia="en-GB"/>
        </w:rPr>
        <w:t xml:space="preserve"> (</w:t>
      </w:r>
      <w:r w:rsidR="00D4256A" w:rsidRPr="000A38E5">
        <w:rPr>
          <w:lang w:val="uk-UA"/>
        </w:rPr>
        <w:t>№</w:t>
      </w:r>
      <w:r w:rsidR="00D4256A" w:rsidRPr="000A38E5">
        <w:rPr>
          <w:lang w:val="ru-RU"/>
        </w:rPr>
        <w:t xml:space="preserve"> 44529/09</w:t>
      </w:r>
      <w:r w:rsidR="00D4256A" w:rsidRPr="000A38E5">
        <w:rPr>
          <w:lang w:val="ru-RU" w:eastAsia="en-GB"/>
        </w:rPr>
        <w:t>, §</w:t>
      </w:r>
      <w:r w:rsidR="00D4256A" w:rsidRPr="000A38E5">
        <w:rPr>
          <w:lang w:val="ru-RU"/>
        </w:rPr>
        <w:t xml:space="preserve">§ 12 </w:t>
      </w:r>
      <w:r w:rsidR="00D4256A" w:rsidRPr="000A38E5">
        <w:rPr>
          <w:lang w:val="uk-UA"/>
        </w:rPr>
        <w:t>та</w:t>
      </w:r>
      <w:r w:rsidR="00D4256A" w:rsidRPr="000A38E5">
        <w:rPr>
          <w:lang w:val="ru-RU"/>
        </w:rPr>
        <w:t xml:space="preserve"> 44, 6</w:t>
      </w:r>
      <w:r w:rsidR="00D4256A" w:rsidRPr="000A38E5">
        <w:t> </w:t>
      </w:r>
      <w:r w:rsidR="00D4256A" w:rsidRPr="000A38E5">
        <w:rPr>
          <w:lang w:val="uk-UA"/>
        </w:rPr>
        <w:t>березня</w:t>
      </w:r>
      <w:r w:rsidR="00D4256A" w:rsidRPr="000A38E5">
        <w:rPr>
          <w:lang w:val="ru-RU"/>
        </w:rPr>
        <w:t xml:space="preserve"> 2018) </w:t>
      </w:r>
      <w:r w:rsidR="00D4256A" w:rsidRPr="000A38E5">
        <w:rPr>
          <w:lang w:val="uk-UA"/>
        </w:rPr>
        <w:t>Суд стикнувся з ситуацією, в якій демонстрація,</w:t>
      </w:r>
      <w:r w:rsidR="00D4256A" w:rsidRPr="000A38E5">
        <w:rPr>
          <w:lang w:val="ru-RU"/>
        </w:rPr>
        <w:t xml:space="preserve"> </w:t>
      </w:r>
      <w:r w:rsidR="00D4256A" w:rsidRPr="000A38E5">
        <w:rPr>
          <w:lang w:val="uk-UA"/>
        </w:rPr>
        <w:t>організована заявником, була розігнана</w:t>
      </w:r>
      <w:r w:rsidR="00D4256A" w:rsidRPr="000A38E5">
        <w:rPr>
          <w:lang w:val="ru-RU"/>
        </w:rPr>
        <w:t xml:space="preserve"> </w:t>
      </w:r>
      <w:r w:rsidR="00D4256A" w:rsidRPr="000A38E5">
        <w:rPr>
          <w:lang w:val="uk-UA"/>
        </w:rPr>
        <w:t>на підставі наказу національного суду</w:t>
      </w:r>
      <w:r w:rsidR="00D4256A" w:rsidRPr="000A38E5">
        <w:rPr>
          <w:lang w:val="ru-RU"/>
        </w:rPr>
        <w:t xml:space="preserve">, </w:t>
      </w:r>
      <w:r w:rsidR="00D4256A" w:rsidRPr="000A38E5">
        <w:rPr>
          <w:lang w:val="uk-UA"/>
        </w:rPr>
        <w:t>який визнав, що учасники демонстрації порушили конкретні вимоги матеріального законодавства</w:t>
      </w:r>
      <w:r w:rsidR="00D4256A" w:rsidRPr="000A38E5">
        <w:rPr>
          <w:lang w:val="ru-RU"/>
        </w:rPr>
        <w:t xml:space="preserve"> </w:t>
      </w:r>
      <w:r w:rsidR="00D4256A" w:rsidRPr="000A38E5">
        <w:rPr>
          <w:lang w:val="uk-UA"/>
        </w:rPr>
        <w:t>та порушили важливі законні права та інтереси інших осіб</w:t>
      </w:r>
      <w:r w:rsidR="00D4256A" w:rsidRPr="000A38E5">
        <w:rPr>
          <w:lang w:val="ru-RU"/>
        </w:rPr>
        <w:t xml:space="preserve">. </w:t>
      </w:r>
      <w:r w:rsidR="00D4256A" w:rsidRPr="000A38E5">
        <w:rPr>
          <w:lang w:val="uk-UA"/>
        </w:rPr>
        <w:lastRenderedPageBreak/>
        <w:t>Вони незаконно звели споруди на тротуарі</w:t>
      </w:r>
      <w:r w:rsidR="00D4256A" w:rsidRPr="000A38E5">
        <w:rPr>
          <w:lang w:val="ru-RU"/>
        </w:rPr>
        <w:t xml:space="preserve">, </w:t>
      </w:r>
      <w:r w:rsidR="00D4256A" w:rsidRPr="000A38E5">
        <w:rPr>
          <w:lang w:val="uk-UA"/>
        </w:rPr>
        <w:t>перешкоджали руху пішоходів</w:t>
      </w:r>
      <w:r w:rsidR="00D4256A" w:rsidRPr="000A38E5">
        <w:rPr>
          <w:lang w:val="ru-RU"/>
        </w:rPr>
        <w:t xml:space="preserve">, </w:t>
      </w:r>
      <w:r w:rsidR="00D4256A" w:rsidRPr="000A38E5">
        <w:rPr>
          <w:lang w:val="uk-UA"/>
        </w:rPr>
        <w:t>та ображали і ставили під загрозу водіїв</w:t>
      </w:r>
      <w:r w:rsidR="00D4256A" w:rsidRPr="000A38E5">
        <w:rPr>
          <w:lang w:val="ru-RU"/>
        </w:rPr>
        <w:t xml:space="preserve">. </w:t>
      </w:r>
      <w:r w:rsidR="00D4256A" w:rsidRPr="000A38E5">
        <w:rPr>
          <w:lang w:val="uk-UA"/>
        </w:rPr>
        <w:t>У цій справі, на відміну від справи</w:t>
      </w:r>
      <w:r w:rsidR="00D4256A" w:rsidRPr="000A38E5">
        <w:rPr>
          <w:lang w:val="ru-RU"/>
        </w:rPr>
        <w:t xml:space="preserve"> </w:t>
      </w:r>
      <w:proofErr w:type="spellStart"/>
      <w:r w:rsidR="00D4256A" w:rsidRPr="000A38E5">
        <w:rPr>
          <w:i/>
        </w:rPr>
        <w:t>Vyerentsov</w:t>
      </w:r>
      <w:proofErr w:type="spellEnd"/>
      <w:r w:rsidR="00D4256A" w:rsidRPr="000A38E5">
        <w:rPr>
          <w:lang w:val="ru-RU"/>
        </w:rPr>
        <w:t xml:space="preserve"> </w:t>
      </w:r>
      <w:r w:rsidR="00D4256A" w:rsidRPr="000A38E5">
        <w:t>and</w:t>
      </w:r>
      <w:r w:rsidR="00D4256A" w:rsidRPr="000A38E5">
        <w:rPr>
          <w:lang w:val="ru-RU"/>
        </w:rPr>
        <w:t xml:space="preserve"> </w:t>
      </w:r>
      <w:proofErr w:type="spellStart"/>
      <w:r w:rsidR="00D4256A" w:rsidRPr="000A38E5">
        <w:rPr>
          <w:i/>
        </w:rPr>
        <w:t>Shmushkovych</w:t>
      </w:r>
      <w:proofErr w:type="spellEnd"/>
      <w:r w:rsidR="00D4256A" w:rsidRPr="000A38E5">
        <w:rPr>
          <w:lang w:val="ru-RU"/>
        </w:rPr>
        <w:t xml:space="preserve">, </w:t>
      </w:r>
      <w:r w:rsidR="00D4256A" w:rsidRPr="000A38E5">
        <w:rPr>
          <w:lang w:val="uk-UA"/>
        </w:rPr>
        <w:t>стаття</w:t>
      </w:r>
      <w:r w:rsidR="00D4256A" w:rsidRPr="000A38E5">
        <w:rPr>
          <w:lang w:val="ru-RU"/>
        </w:rPr>
        <w:t xml:space="preserve"> 185</w:t>
      </w:r>
      <w:r w:rsidR="00D4256A" w:rsidRPr="000A38E5">
        <w:rPr>
          <w:lang w:val="ru-RU"/>
        </w:rPr>
        <w:noBreakHyphen/>
        <w:t xml:space="preserve">1 </w:t>
      </w:r>
      <w:r w:rsidR="00D4256A" w:rsidRPr="000A38E5">
        <w:rPr>
          <w:lang w:val="uk-UA"/>
        </w:rPr>
        <w:t>Кодексу адміністративних правопорушень не застосовувалася</w:t>
      </w:r>
      <w:r w:rsidR="00D4256A" w:rsidRPr="000A38E5">
        <w:rPr>
          <w:lang w:val="ru-RU"/>
        </w:rPr>
        <w:t xml:space="preserve">. </w:t>
      </w:r>
      <w:r w:rsidR="00D4256A" w:rsidRPr="000A38E5">
        <w:rPr>
          <w:lang w:val="uk-UA"/>
        </w:rPr>
        <w:t>Критикуючи недоліки судової процедури,</w:t>
      </w:r>
      <w:r w:rsidR="00D4256A" w:rsidRPr="000A38E5">
        <w:rPr>
          <w:lang w:val="ru-RU"/>
        </w:rPr>
        <w:t xml:space="preserve"> </w:t>
      </w:r>
      <w:r w:rsidR="00D4256A" w:rsidRPr="000A38E5">
        <w:rPr>
          <w:lang w:val="uk-UA"/>
        </w:rPr>
        <w:t>яка призвела до розгону зібрання заявника</w:t>
      </w:r>
      <w:r w:rsidR="00D4256A" w:rsidRPr="000A38E5">
        <w:rPr>
          <w:lang w:val="ru-RU"/>
        </w:rPr>
        <w:t xml:space="preserve">, </w:t>
      </w:r>
      <w:r w:rsidR="00D4256A" w:rsidRPr="000A38E5">
        <w:rPr>
          <w:lang w:val="uk-UA"/>
        </w:rPr>
        <w:t>Суд, тим не менш, постановив, що накладання обмежень</w:t>
      </w:r>
      <w:r w:rsidR="00D4256A" w:rsidRPr="000A38E5">
        <w:rPr>
          <w:lang w:val="ru-RU"/>
        </w:rPr>
        <w:t xml:space="preserve"> </w:t>
      </w:r>
      <w:r w:rsidR="00D4256A" w:rsidRPr="000A38E5">
        <w:rPr>
          <w:lang w:val="uk-UA"/>
        </w:rPr>
        <w:t>на зібрання, учасники якого порушували матеріальне право,</w:t>
      </w:r>
      <w:r w:rsidR="00D4256A" w:rsidRPr="000A38E5">
        <w:rPr>
          <w:lang w:val="ru-RU"/>
        </w:rPr>
        <w:t xml:space="preserve"> </w:t>
      </w:r>
      <w:r w:rsidR="00D4256A" w:rsidRPr="000A38E5">
        <w:rPr>
          <w:lang w:val="uk-UA"/>
        </w:rPr>
        <w:t>саме по собі не було непередбачуваним</w:t>
      </w:r>
      <w:r w:rsidR="00D4256A" w:rsidRPr="000A38E5">
        <w:rPr>
          <w:lang w:val="ru-RU"/>
        </w:rPr>
        <w:t xml:space="preserve"> (</w:t>
      </w:r>
      <w:r w:rsidR="00D4256A" w:rsidRPr="000A38E5">
        <w:rPr>
          <w:lang w:val="uk-UA"/>
        </w:rPr>
        <w:t>див.</w:t>
      </w:r>
      <w:r w:rsidR="00D4256A" w:rsidRPr="000A38E5">
        <w:rPr>
          <w:lang w:val="ru-RU"/>
        </w:rPr>
        <w:t xml:space="preserve"> </w:t>
      </w:r>
      <w:proofErr w:type="spellStart"/>
      <w:r w:rsidR="00D4256A" w:rsidRPr="000A38E5">
        <w:rPr>
          <w:i/>
        </w:rPr>
        <w:t>Chumak</w:t>
      </w:r>
      <w:proofErr w:type="spellEnd"/>
      <w:r w:rsidR="00D4256A" w:rsidRPr="000A38E5">
        <w:rPr>
          <w:lang w:val="ru-RU"/>
        </w:rPr>
        <w:t xml:space="preserve">, </w:t>
      </w:r>
      <w:proofErr w:type="spellStart"/>
      <w:r w:rsidR="00D4256A" w:rsidRPr="000A38E5">
        <w:rPr>
          <w:lang w:val="uk-UA"/>
        </w:rPr>
        <w:t>цит</w:t>
      </w:r>
      <w:proofErr w:type="spellEnd"/>
      <w:r w:rsidR="00D4256A" w:rsidRPr="000A38E5">
        <w:rPr>
          <w:lang w:val="uk-UA"/>
        </w:rPr>
        <w:t>. вище</w:t>
      </w:r>
      <w:r w:rsidR="00D4256A" w:rsidRPr="000A38E5">
        <w:rPr>
          <w:lang w:val="ru-RU"/>
        </w:rPr>
        <w:t>, §</w:t>
      </w:r>
      <w:r w:rsidR="00D4256A" w:rsidRPr="000A38E5">
        <w:t> </w:t>
      </w:r>
      <w:r w:rsidR="00D4256A" w:rsidRPr="000A38E5">
        <w:rPr>
          <w:lang w:val="ru-RU"/>
        </w:rPr>
        <w:t xml:space="preserve">44). </w:t>
      </w:r>
      <w:r w:rsidR="00D4256A" w:rsidRPr="000A38E5">
        <w:rPr>
          <w:lang w:val="uk-UA"/>
        </w:rPr>
        <w:t>Беручи до уваги недоліки у судовій процедурі</w:t>
      </w:r>
      <w:r w:rsidR="00D4256A" w:rsidRPr="000A38E5">
        <w:rPr>
          <w:lang w:val="ru-RU"/>
        </w:rPr>
        <w:t xml:space="preserve">, </w:t>
      </w:r>
      <w:r w:rsidR="00D4256A" w:rsidRPr="000A38E5">
        <w:rPr>
          <w:lang w:val="uk-UA"/>
        </w:rPr>
        <w:t>які полягали, зокрема, у тому факті, що суди</w:t>
      </w:r>
      <w:r w:rsidR="00D4256A" w:rsidRPr="000A38E5">
        <w:rPr>
          <w:lang w:val="ru-RU"/>
        </w:rPr>
        <w:t xml:space="preserve"> </w:t>
      </w:r>
      <w:r w:rsidR="00D4256A" w:rsidRPr="000A38E5">
        <w:rPr>
          <w:lang w:val="uk-UA"/>
        </w:rPr>
        <w:t>повірили на слово твердженням органів влади</w:t>
      </w:r>
      <w:r w:rsidR="00D4256A" w:rsidRPr="000A38E5">
        <w:rPr>
          <w:lang w:val="ru-RU"/>
        </w:rPr>
        <w:t xml:space="preserve"> </w:t>
      </w:r>
      <w:r w:rsidR="00D4256A" w:rsidRPr="000A38E5">
        <w:rPr>
          <w:lang w:val="uk-UA"/>
        </w:rPr>
        <w:t>про неналежну поведінку з боку протестуючих</w:t>
      </w:r>
      <w:r w:rsidR="00D4256A" w:rsidRPr="000A38E5">
        <w:rPr>
          <w:lang w:val="ru-RU"/>
        </w:rPr>
        <w:t xml:space="preserve"> </w:t>
      </w:r>
      <w:r w:rsidR="00D4256A" w:rsidRPr="000A38E5">
        <w:rPr>
          <w:lang w:val="uk-UA"/>
        </w:rPr>
        <w:t>та видали занадто широкий наказ про заборону зібрання заявника</w:t>
      </w:r>
      <w:r w:rsidR="00D4256A" w:rsidRPr="000A38E5">
        <w:rPr>
          <w:lang w:val="ru-RU"/>
        </w:rPr>
        <w:t xml:space="preserve">, </w:t>
      </w:r>
      <w:r w:rsidR="00D4256A" w:rsidRPr="000A38E5">
        <w:rPr>
          <w:lang w:val="uk-UA"/>
        </w:rPr>
        <w:t>Суд висловив сумніви щодо того, чи втручання у цьому випадку</w:t>
      </w:r>
      <w:r w:rsidR="00D4256A" w:rsidRPr="000A38E5">
        <w:rPr>
          <w:lang w:val="ru-RU"/>
        </w:rPr>
        <w:t xml:space="preserve"> </w:t>
      </w:r>
      <w:r w:rsidR="00D4256A" w:rsidRPr="000A38E5">
        <w:rPr>
          <w:lang w:val="uk-UA"/>
        </w:rPr>
        <w:t>виконало вимоги законності</w:t>
      </w:r>
      <w:r w:rsidR="00D4256A" w:rsidRPr="000A38E5">
        <w:rPr>
          <w:lang w:val="ru-RU"/>
        </w:rPr>
        <w:t xml:space="preserve">. </w:t>
      </w:r>
      <w:r w:rsidR="00D4256A" w:rsidRPr="000A38E5">
        <w:rPr>
          <w:lang w:val="uk-UA"/>
        </w:rPr>
        <w:t>Тим не менш, він розглянув, чи розгін у цьому випадку виконав інші вимоги статті</w:t>
      </w:r>
      <w:r w:rsidR="00D4256A" w:rsidRPr="000A38E5">
        <w:t> </w:t>
      </w:r>
      <w:r w:rsidR="00D4256A" w:rsidRPr="000A38E5">
        <w:rPr>
          <w:lang w:val="ru-RU"/>
        </w:rPr>
        <w:t>11</w:t>
      </w:r>
      <w:r w:rsidR="00D4256A" w:rsidRPr="000A38E5">
        <w:t> </w:t>
      </w:r>
      <w:r w:rsidR="00D4256A" w:rsidRPr="000A38E5">
        <w:rPr>
          <w:lang w:val="ru-RU"/>
        </w:rPr>
        <w:t>§</w:t>
      </w:r>
      <w:r w:rsidR="00D4256A" w:rsidRPr="000A38E5">
        <w:t> </w:t>
      </w:r>
      <w:r w:rsidR="00D4256A" w:rsidRPr="000A38E5">
        <w:rPr>
          <w:lang w:val="ru-RU"/>
        </w:rPr>
        <w:t>2 (</w:t>
      </w:r>
      <w:r w:rsidR="00D4256A" w:rsidRPr="000A38E5">
        <w:rPr>
          <w:lang w:val="uk-UA"/>
        </w:rPr>
        <w:t>там же</w:t>
      </w:r>
      <w:r w:rsidR="00D4256A" w:rsidRPr="000A38E5">
        <w:rPr>
          <w:lang w:val="ru-RU"/>
        </w:rPr>
        <w:t>, §</w:t>
      </w:r>
      <w:r w:rsidR="00D4256A" w:rsidRPr="000A38E5">
        <w:t> </w:t>
      </w:r>
      <w:r w:rsidR="00D4256A" w:rsidRPr="000A38E5">
        <w:rPr>
          <w:lang w:val="ru-RU"/>
        </w:rPr>
        <w:t>48).</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236</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Як і у справі</w:t>
      </w:r>
      <w:r w:rsidR="00D4256A" w:rsidRPr="000A38E5">
        <w:rPr>
          <w:lang w:val="ru-RU"/>
        </w:rPr>
        <w:t xml:space="preserve"> </w:t>
      </w:r>
      <w:proofErr w:type="spellStart"/>
      <w:r w:rsidR="00D4256A" w:rsidRPr="000A38E5">
        <w:rPr>
          <w:i/>
        </w:rPr>
        <w:t>Chumak</w:t>
      </w:r>
      <w:proofErr w:type="spellEnd"/>
      <w:r w:rsidR="00D4256A" w:rsidRPr="000A38E5">
        <w:rPr>
          <w:lang w:val="ru-RU"/>
        </w:rPr>
        <w:t xml:space="preserve">, </w:t>
      </w:r>
      <w:r w:rsidR="00D4256A" w:rsidRPr="000A38E5">
        <w:rPr>
          <w:lang w:val="uk-UA"/>
        </w:rPr>
        <w:t>питання законності, яке стоїть перед Судом у даній справі,</w:t>
      </w:r>
      <w:r w:rsidR="00D4256A" w:rsidRPr="000A38E5">
        <w:rPr>
          <w:lang w:val="ru-RU"/>
        </w:rPr>
        <w:t xml:space="preserve"> </w:t>
      </w:r>
      <w:r w:rsidR="00D4256A" w:rsidRPr="000A38E5">
        <w:rPr>
          <w:lang w:val="uk-UA"/>
        </w:rPr>
        <w:t>відрізняється від питання, розглянутого у справі</w:t>
      </w:r>
      <w:r w:rsidR="00D4256A" w:rsidRPr="000A38E5">
        <w:rPr>
          <w:lang w:val="ru-RU"/>
        </w:rPr>
        <w:t xml:space="preserve"> </w:t>
      </w:r>
      <w:proofErr w:type="spellStart"/>
      <w:r w:rsidR="00D4256A" w:rsidRPr="000A38E5">
        <w:rPr>
          <w:i/>
        </w:rPr>
        <w:t>Vyerentsov</w:t>
      </w:r>
      <w:proofErr w:type="spellEnd"/>
      <w:r w:rsidR="00D4256A" w:rsidRPr="000A38E5">
        <w:rPr>
          <w:lang w:val="ru-RU"/>
        </w:rPr>
        <w:t xml:space="preserve">. </w:t>
      </w:r>
      <w:r w:rsidR="00D4256A" w:rsidRPr="000A38E5">
        <w:rPr>
          <w:lang w:val="uk-UA"/>
        </w:rPr>
        <w:t>В дійсності, самі заявники підкреслили та звернули особливу увагу на те, що не були покарані відповідно до статті</w:t>
      </w:r>
      <w:r w:rsidR="00D4256A" w:rsidRPr="000A38E5">
        <w:rPr>
          <w:lang w:val="ru-RU"/>
        </w:rPr>
        <w:t xml:space="preserve"> 185</w:t>
      </w:r>
      <w:r w:rsidR="00D4256A" w:rsidRPr="000A38E5">
        <w:rPr>
          <w:lang w:val="ru-RU"/>
        </w:rPr>
        <w:noBreakHyphen/>
        <w:t xml:space="preserve">1 </w:t>
      </w:r>
      <w:r w:rsidR="00D4256A" w:rsidRPr="000A38E5">
        <w:rPr>
          <w:lang w:val="uk-UA"/>
        </w:rPr>
        <w:t>Кодексу адміністративних правопорушень</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apps_submissions_spontaneous \h  \* MERGEFORMAT ">
        <w:r w:rsidR="00D4256A" w:rsidRPr="000A38E5">
          <w:rPr>
            <w:noProof/>
            <w:lang w:val="ru-RU"/>
          </w:rPr>
          <w:t>193</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як було у справі</w:t>
      </w:r>
      <w:r w:rsidR="00D4256A" w:rsidRPr="000A38E5">
        <w:rPr>
          <w:lang w:val="ru-RU"/>
        </w:rPr>
        <w:t xml:space="preserve"> </w:t>
      </w:r>
      <w:proofErr w:type="spellStart"/>
      <w:r w:rsidR="00D4256A" w:rsidRPr="000A38E5">
        <w:rPr>
          <w:i/>
        </w:rPr>
        <w:t>Vyerentsov</w:t>
      </w:r>
      <w:proofErr w:type="spellEnd"/>
      <w:r w:rsidR="00D4256A" w:rsidRPr="000A38E5">
        <w:rPr>
          <w:lang w:val="ru-RU"/>
        </w:rPr>
        <w:t>.</w:t>
      </w:r>
    </w:p>
    <w:p w:rsidR="00D4256A" w:rsidRPr="000A38E5" w:rsidRDefault="004E7608" w:rsidP="00D4256A">
      <w:pPr>
        <w:pStyle w:val="ECHRPara"/>
        <w:rPr>
          <w:i/>
          <w:lang w:val="ru-RU"/>
        </w:rPr>
      </w:pPr>
      <w:r w:rsidRPr="000A38E5">
        <w:rPr>
          <w:lang w:bidi="en-US"/>
        </w:rPr>
        <w:fldChar w:fldCharType="begin"/>
      </w:r>
      <w:r w:rsidR="00D4256A" w:rsidRPr="000A38E5">
        <w:rPr>
          <w:lang w:val="ru-RU" w:bidi="en-US"/>
        </w:rPr>
        <w:instrText xml:space="preserve"> </w:instrText>
      </w:r>
      <w:r w:rsidR="00D4256A" w:rsidRPr="000A38E5">
        <w:rPr>
          <w:lang w:bidi="en-US"/>
        </w:rPr>
        <w:instrText>SEQ</w:instrText>
      </w:r>
      <w:r w:rsidR="00D4256A" w:rsidRPr="000A38E5">
        <w:rPr>
          <w:lang w:val="ru-RU" w:bidi="en-US"/>
        </w:rPr>
        <w:instrText xml:space="preserve"> </w:instrText>
      </w:r>
      <w:r w:rsidR="00D4256A" w:rsidRPr="000A38E5">
        <w:rPr>
          <w:lang w:bidi="en-US"/>
        </w:rPr>
        <w:instrText>level</w:instrText>
      </w:r>
      <w:r w:rsidR="00D4256A" w:rsidRPr="000A38E5">
        <w:rPr>
          <w:lang w:val="ru-RU" w:bidi="en-US"/>
        </w:rPr>
        <w:instrText>0 \*</w:instrText>
      </w:r>
      <w:r w:rsidR="00D4256A" w:rsidRPr="000A38E5">
        <w:rPr>
          <w:lang w:bidi="en-US"/>
        </w:rPr>
        <w:instrText>arabic</w:instrText>
      </w:r>
      <w:r w:rsidR="00D4256A" w:rsidRPr="000A38E5">
        <w:rPr>
          <w:lang w:val="ru-RU" w:bidi="en-US"/>
        </w:rPr>
        <w:instrText xml:space="preserve"> </w:instrText>
      </w:r>
      <w:r w:rsidRPr="000A38E5">
        <w:rPr>
          <w:lang w:bidi="en-US"/>
        </w:rPr>
        <w:fldChar w:fldCharType="separate"/>
      </w:r>
      <w:r w:rsidR="00D4256A" w:rsidRPr="000A38E5">
        <w:rPr>
          <w:noProof/>
          <w:lang w:val="ru-RU" w:bidi="en-US"/>
        </w:rPr>
        <w:t>237</w:t>
      </w:r>
      <w:r w:rsidRPr="000A38E5">
        <w:rPr>
          <w:lang w:bidi="en-US"/>
        </w:rPr>
        <w:fldChar w:fldCharType="end"/>
      </w:r>
      <w:r w:rsidR="00D4256A" w:rsidRPr="000A38E5">
        <w:rPr>
          <w:lang w:val="ru-RU" w:bidi="en-US"/>
        </w:rPr>
        <w:t>.</w:t>
      </w:r>
      <w:r w:rsidR="00D4256A" w:rsidRPr="00E93710">
        <w:rPr>
          <w:lang w:val="ru-RU" w:bidi="en-US"/>
        </w:rPr>
        <w:t xml:space="preserve"> </w:t>
      </w:r>
      <w:r w:rsidR="00D4256A" w:rsidRPr="000A38E5">
        <w:rPr>
          <w:lang w:val="uk-UA" w:bidi="en-US"/>
        </w:rPr>
        <w:t>У цьому контексті слід оцінити аргумент заявників про відсутність</w:t>
      </w:r>
      <w:r w:rsidR="00D4256A" w:rsidRPr="000A38E5">
        <w:rPr>
          <w:lang w:val="ru-RU" w:bidi="en-US"/>
        </w:rPr>
        <w:t xml:space="preserve"> </w:t>
      </w:r>
      <w:r w:rsidR="00D4256A" w:rsidRPr="000A38E5">
        <w:rPr>
          <w:lang w:val="uk-UA" w:bidi="en-US"/>
        </w:rPr>
        <w:t>судового рішення про заборону їх зібрання</w:t>
      </w:r>
      <w:r w:rsidR="00D4256A" w:rsidRPr="000A38E5">
        <w:rPr>
          <w:lang w:val="ru-RU" w:bidi="en-US"/>
        </w:rPr>
        <w:t xml:space="preserve">. </w:t>
      </w:r>
      <w:r w:rsidR="00D4256A" w:rsidRPr="000A38E5">
        <w:rPr>
          <w:lang w:val="uk-UA" w:bidi="en-US"/>
        </w:rPr>
        <w:t>Однак Суд пам’ятає про встановлений принцип системи Конвенції</w:t>
      </w:r>
      <w:r w:rsidR="00D4256A" w:rsidRPr="000A38E5">
        <w:rPr>
          <w:lang w:val="ru-RU" w:bidi="en-US"/>
        </w:rPr>
        <w:t xml:space="preserve"> </w:t>
      </w:r>
      <w:r w:rsidR="00D4256A" w:rsidRPr="000A38E5">
        <w:rPr>
          <w:lang w:val="uk-UA" w:bidi="en-US"/>
        </w:rPr>
        <w:t>щодо того, що в першу чергу національні органи влади</w:t>
      </w:r>
      <w:r w:rsidR="00D4256A" w:rsidRPr="000A38E5">
        <w:rPr>
          <w:lang w:val="ru-RU" w:bidi="en-US"/>
        </w:rPr>
        <w:t xml:space="preserve">, </w:t>
      </w:r>
      <w:r w:rsidR="00D4256A" w:rsidRPr="000A38E5">
        <w:rPr>
          <w:lang w:val="uk-UA" w:bidi="en-US"/>
        </w:rPr>
        <w:t>а саме суди, тлумачать та застосовують національне законодавство</w:t>
      </w:r>
      <w:r w:rsidR="00D4256A" w:rsidRPr="000A38E5">
        <w:rPr>
          <w:lang w:val="ru-RU" w:bidi="en-US"/>
        </w:rPr>
        <w:t xml:space="preserve"> (</w:t>
      </w:r>
      <w:r w:rsidR="00D4256A" w:rsidRPr="000A38E5">
        <w:rPr>
          <w:lang w:val="uk-UA" w:bidi="en-US"/>
        </w:rPr>
        <w:t>див.</w:t>
      </w:r>
      <w:r w:rsidR="00D4256A" w:rsidRPr="000A38E5">
        <w:rPr>
          <w:lang w:val="ru-RU" w:bidi="en-US"/>
        </w:rPr>
        <w:t xml:space="preserve"> </w:t>
      </w:r>
      <w:proofErr w:type="spellStart"/>
      <w:r w:rsidR="00D4256A" w:rsidRPr="000A38E5">
        <w:rPr>
          <w:i/>
          <w:iCs/>
        </w:rPr>
        <w:t>Radomilja</w:t>
      </w:r>
      <w:proofErr w:type="spellEnd"/>
      <w:r w:rsidR="00D4256A" w:rsidRPr="000A38E5">
        <w:rPr>
          <w:i/>
          <w:iCs/>
          <w:lang w:val="ru-RU"/>
        </w:rPr>
        <w:t xml:space="preserve"> </w:t>
      </w:r>
      <w:r w:rsidR="00D4256A" w:rsidRPr="000A38E5">
        <w:rPr>
          <w:i/>
          <w:iCs/>
        </w:rPr>
        <w:t>and</w:t>
      </w:r>
      <w:r w:rsidR="00D4256A" w:rsidRPr="000A38E5">
        <w:rPr>
          <w:i/>
          <w:iCs/>
          <w:lang w:val="ru-RU"/>
        </w:rPr>
        <w:t xml:space="preserve"> </w:t>
      </w:r>
      <w:r w:rsidR="00D4256A" w:rsidRPr="000A38E5">
        <w:rPr>
          <w:i/>
          <w:iCs/>
        </w:rPr>
        <w:t>Others</w:t>
      </w:r>
      <w:r w:rsidR="00D4256A" w:rsidRPr="000A38E5">
        <w:rPr>
          <w:i/>
          <w:iCs/>
          <w:lang w:val="ru-RU"/>
        </w:rPr>
        <w:t xml:space="preserve"> </w:t>
      </w:r>
      <w:r w:rsidR="00D4256A" w:rsidRPr="000A38E5">
        <w:rPr>
          <w:i/>
          <w:iCs/>
        </w:rPr>
        <w:t>v</w:t>
      </w:r>
      <w:r w:rsidR="00D4256A" w:rsidRPr="000A38E5">
        <w:rPr>
          <w:i/>
          <w:iCs/>
          <w:lang w:val="ru-RU"/>
        </w:rPr>
        <w:t>.</w:t>
      </w:r>
      <w:r w:rsidR="00D4256A" w:rsidRPr="000A38E5">
        <w:rPr>
          <w:i/>
          <w:iCs/>
        </w:rPr>
        <w:t> Croatia</w:t>
      </w:r>
      <w:r w:rsidR="00D4256A" w:rsidRPr="000A38E5">
        <w:rPr>
          <w:lang w:val="ru-RU"/>
        </w:rPr>
        <w:t xml:space="preserve"> [</w:t>
      </w:r>
      <w:r w:rsidR="00D4256A" w:rsidRPr="000A38E5">
        <w:t>GC</w:t>
      </w:r>
      <w:r w:rsidR="00D4256A" w:rsidRPr="000A38E5">
        <w:rPr>
          <w:lang w:val="ru-RU"/>
        </w:rPr>
        <w:t>]</w:t>
      </w:r>
      <w:r w:rsidR="00D4256A" w:rsidRPr="000A38E5">
        <w:rPr>
          <w:lang w:val="ru-RU" w:eastAsia="en-GB"/>
        </w:rPr>
        <w:t xml:space="preserve">, </w:t>
      </w:r>
      <w:r w:rsidR="00D4256A" w:rsidRPr="000A38E5">
        <w:rPr>
          <w:lang w:val="uk-UA"/>
        </w:rPr>
        <w:t>№№</w:t>
      </w:r>
      <w:r w:rsidR="00D4256A" w:rsidRPr="000A38E5">
        <w:rPr>
          <w:lang w:val="ru-RU"/>
        </w:rPr>
        <w:t xml:space="preserve"> 37685/10 </w:t>
      </w:r>
      <w:r w:rsidR="00D4256A" w:rsidRPr="000A38E5">
        <w:rPr>
          <w:lang w:val="uk-UA"/>
        </w:rPr>
        <w:t>та</w:t>
      </w:r>
      <w:r w:rsidR="00D4256A" w:rsidRPr="000A38E5">
        <w:rPr>
          <w:lang w:val="ru-RU"/>
        </w:rPr>
        <w:t xml:space="preserve"> 22768/12</w:t>
      </w:r>
      <w:r w:rsidR="00D4256A" w:rsidRPr="000A38E5">
        <w:rPr>
          <w:lang w:val="ru-RU" w:eastAsia="en-GB"/>
        </w:rPr>
        <w:t xml:space="preserve">, </w:t>
      </w:r>
      <w:r w:rsidR="00D4256A" w:rsidRPr="000A38E5">
        <w:rPr>
          <w:lang w:val="ru-RU"/>
        </w:rPr>
        <w:t xml:space="preserve">§ 149, </w:t>
      </w:r>
      <w:r w:rsidR="00D4256A" w:rsidRPr="000A38E5">
        <w:t>ECHR</w:t>
      </w:r>
      <w:r w:rsidR="00D4256A" w:rsidRPr="000A38E5">
        <w:rPr>
          <w:lang w:val="ru-RU"/>
        </w:rPr>
        <w:t xml:space="preserve"> 2018</w:t>
      </w:r>
      <w:r w:rsidR="00D4256A" w:rsidRPr="000A38E5">
        <w:rPr>
          <w:lang w:val="ru-RU" w:bidi="en-US"/>
        </w:rPr>
        <w:t xml:space="preserve">). </w:t>
      </w:r>
      <w:r w:rsidR="00D4256A" w:rsidRPr="000A38E5">
        <w:rPr>
          <w:lang w:val="uk-UA" w:bidi="en-US"/>
        </w:rPr>
        <w:t>Немає доказів того, що заявники висунули цей аргумент у національних судах,</w:t>
      </w:r>
      <w:r w:rsidR="00D4256A" w:rsidRPr="000A38E5">
        <w:rPr>
          <w:lang w:val="ru-RU" w:bidi="en-US"/>
        </w:rPr>
        <w:t xml:space="preserve"> </w:t>
      </w:r>
      <w:r w:rsidR="00D4256A" w:rsidRPr="000A38E5">
        <w:rPr>
          <w:lang w:val="uk-UA" w:bidi="en-US"/>
        </w:rPr>
        <w:t>або що ці суди розглянули це питання</w:t>
      </w:r>
      <w:r w:rsidR="00D4256A" w:rsidRPr="000A38E5">
        <w:rPr>
          <w:lang w:val="ru-RU" w:bidi="en-US"/>
        </w:rPr>
        <w:t xml:space="preserve">. </w:t>
      </w:r>
      <w:r w:rsidR="00D4256A" w:rsidRPr="000A38E5">
        <w:rPr>
          <w:lang w:val="uk-UA" w:bidi="en-US"/>
        </w:rPr>
        <w:t>За таких обставин Суд повинен бути особливо обережним</w:t>
      </w:r>
      <w:r w:rsidR="00D4256A" w:rsidRPr="000A38E5">
        <w:rPr>
          <w:lang w:val="ru-RU" w:bidi="en-US"/>
        </w:rPr>
        <w:t xml:space="preserve"> </w:t>
      </w:r>
      <w:r w:rsidR="00D4256A" w:rsidRPr="000A38E5">
        <w:rPr>
          <w:lang w:val="uk-UA" w:bidi="en-US"/>
        </w:rPr>
        <w:t>при самостійному здійсненні такого аналізу</w:t>
      </w:r>
      <w:r w:rsidR="00D4256A" w:rsidRPr="000A38E5">
        <w:rPr>
          <w:lang w:val="ru-RU" w:bidi="en-US"/>
        </w:rPr>
        <w:t>.</w:t>
      </w:r>
    </w:p>
    <w:p w:rsidR="00D4256A" w:rsidRPr="000A38E5" w:rsidRDefault="004E7608" w:rsidP="00D4256A">
      <w:pPr>
        <w:pStyle w:val="ECHRPara"/>
        <w:rPr>
          <w:lang w:val="ru-RU" w:bidi="en-US"/>
        </w:rPr>
      </w:pPr>
      <w:r w:rsidRPr="000A38E5">
        <w:rPr>
          <w:lang w:bidi="en-US"/>
        </w:rPr>
        <w:fldChar w:fldCharType="begin"/>
      </w:r>
      <w:r w:rsidR="00D4256A" w:rsidRPr="000A38E5">
        <w:rPr>
          <w:lang w:val="ru-RU" w:bidi="en-US"/>
        </w:rPr>
        <w:instrText xml:space="preserve"> </w:instrText>
      </w:r>
      <w:r w:rsidR="00D4256A" w:rsidRPr="000A38E5">
        <w:rPr>
          <w:lang w:bidi="en-US"/>
        </w:rPr>
        <w:instrText>SEQ</w:instrText>
      </w:r>
      <w:r w:rsidR="00D4256A" w:rsidRPr="000A38E5">
        <w:rPr>
          <w:lang w:val="ru-RU" w:bidi="en-US"/>
        </w:rPr>
        <w:instrText xml:space="preserve"> </w:instrText>
      </w:r>
      <w:r w:rsidR="00D4256A" w:rsidRPr="000A38E5">
        <w:rPr>
          <w:lang w:bidi="en-US"/>
        </w:rPr>
        <w:instrText>level</w:instrText>
      </w:r>
      <w:r w:rsidR="00D4256A" w:rsidRPr="000A38E5">
        <w:rPr>
          <w:lang w:val="ru-RU" w:bidi="en-US"/>
        </w:rPr>
        <w:instrText>0 \*</w:instrText>
      </w:r>
      <w:r w:rsidR="00D4256A" w:rsidRPr="000A38E5">
        <w:rPr>
          <w:lang w:bidi="en-US"/>
        </w:rPr>
        <w:instrText>arabic</w:instrText>
      </w:r>
      <w:r w:rsidR="00D4256A" w:rsidRPr="000A38E5">
        <w:rPr>
          <w:lang w:val="ru-RU" w:bidi="en-US"/>
        </w:rPr>
        <w:instrText xml:space="preserve"> </w:instrText>
      </w:r>
      <w:r w:rsidRPr="000A38E5">
        <w:rPr>
          <w:lang w:bidi="en-US"/>
        </w:rPr>
        <w:fldChar w:fldCharType="separate"/>
      </w:r>
      <w:r w:rsidR="00D4256A" w:rsidRPr="000A38E5">
        <w:rPr>
          <w:noProof/>
          <w:lang w:val="ru-RU" w:bidi="en-US"/>
        </w:rPr>
        <w:t>238</w:t>
      </w:r>
      <w:r w:rsidRPr="000A38E5">
        <w:rPr>
          <w:lang w:bidi="en-US"/>
        </w:rPr>
        <w:fldChar w:fldCharType="end"/>
      </w:r>
      <w:r w:rsidR="00D4256A" w:rsidRPr="000A38E5">
        <w:rPr>
          <w:lang w:val="ru-RU" w:bidi="en-US"/>
        </w:rPr>
        <w:t>.</w:t>
      </w:r>
      <w:r w:rsidR="00D4256A" w:rsidRPr="00E93710">
        <w:rPr>
          <w:lang w:val="ru-RU" w:bidi="en-US"/>
        </w:rPr>
        <w:t xml:space="preserve"> </w:t>
      </w:r>
      <w:r w:rsidR="00D4256A" w:rsidRPr="000A38E5">
        <w:rPr>
          <w:lang w:val="uk-UA" w:bidi="en-US"/>
        </w:rPr>
        <w:t>Тим не менш, Суд повинен оцінити аргумент заявників</w:t>
      </w:r>
      <w:r w:rsidR="00D4256A" w:rsidRPr="000A38E5">
        <w:rPr>
          <w:lang w:val="ru-RU" w:bidi="en-US"/>
        </w:rPr>
        <w:t xml:space="preserve">, </w:t>
      </w:r>
      <w:r w:rsidR="00D4256A" w:rsidRPr="000A38E5">
        <w:rPr>
          <w:lang w:val="uk-UA" w:bidi="en-US"/>
        </w:rPr>
        <w:t>оскільки він є ключовим для їх справи</w:t>
      </w:r>
      <w:r w:rsidR="00D4256A" w:rsidRPr="000A38E5">
        <w:rPr>
          <w:lang w:val="ru-RU" w:bidi="en-US"/>
        </w:rPr>
        <w:t xml:space="preserve">, </w:t>
      </w:r>
      <w:r w:rsidR="00D4256A" w:rsidRPr="000A38E5">
        <w:rPr>
          <w:lang w:val="uk-UA" w:bidi="en-US"/>
        </w:rPr>
        <w:t>і зазначає, що конституційне положення, на якому базується цей аргумент,</w:t>
      </w:r>
      <w:r w:rsidR="00D4256A" w:rsidRPr="000A38E5">
        <w:rPr>
          <w:lang w:val="ru-RU" w:bidi="en-US"/>
        </w:rPr>
        <w:t xml:space="preserve"> </w:t>
      </w:r>
      <w:r w:rsidR="00D4256A" w:rsidRPr="000A38E5">
        <w:rPr>
          <w:lang w:val="uk-UA" w:bidi="en-US"/>
        </w:rPr>
        <w:t>передбачає схему, за якої порядок</w:t>
      </w:r>
      <w:r w:rsidR="00D4256A" w:rsidRPr="000A38E5">
        <w:rPr>
          <w:lang w:val="ru-RU" w:bidi="en-US"/>
        </w:rPr>
        <w:t xml:space="preserve"> </w:t>
      </w:r>
      <w:r w:rsidR="00D4256A" w:rsidRPr="000A38E5">
        <w:rPr>
          <w:lang w:val="uk-UA" w:bidi="en-US"/>
        </w:rPr>
        <w:t>судового обмеження зібрань пов’язаний</w:t>
      </w:r>
      <w:r w:rsidR="00D4256A" w:rsidRPr="000A38E5">
        <w:rPr>
          <w:lang w:val="ru-RU" w:bidi="en-US"/>
        </w:rPr>
        <w:t xml:space="preserve"> </w:t>
      </w:r>
      <w:r w:rsidR="00D4256A" w:rsidRPr="000A38E5">
        <w:rPr>
          <w:lang w:val="uk-UA" w:bidi="en-US"/>
        </w:rPr>
        <w:t>з процедурою повідомлення про них заздалегідь</w:t>
      </w:r>
      <w:r w:rsidR="00D4256A" w:rsidRPr="000A38E5">
        <w:rPr>
          <w:lang w:val="ru-RU" w:bidi="en-US"/>
        </w:rPr>
        <w:t xml:space="preserve"> (</w:t>
      </w:r>
      <w:r w:rsidR="00D4256A" w:rsidRPr="000A38E5">
        <w:rPr>
          <w:lang w:val="uk-UA" w:bidi="en-US"/>
        </w:rPr>
        <w:t>див. пункт</w:t>
      </w:r>
      <w:r w:rsidR="00D4256A" w:rsidRPr="000A38E5">
        <w:rPr>
          <w:lang w:val="ru-RU" w:bidi="en-US"/>
        </w:rPr>
        <w:t xml:space="preserve"> </w:t>
      </w:r>
      <w:fldSimple w:instr=" REF Constitution_A39 \h  \* MERGEFORMAT ">
        <w:r w:rsidR="00D4256A" w:rsidRPr="000A38E5">
          <w:rPr>
            <w:noProof/>
            <w:lang w:val="ru-RU" w:eastAsia="en-GB"/>
          </w:rPr>
          <w:t>93</w:t>
        </w:r>
      </w:fldSimple>
      <w:r w:rsidR="00D4256A" w:rsidRPr="000A38E5">
        <w:rPr>
          <w:lang w:val="ru-RU" w:bidi="en-US"/>
        </w:rPr>
        <w:t xml:space="preserve"> </w:t>
      </w:r>
      <w:r w:rsidR="00D4256A" w:rsidRPr="000A38E5">
        <w:rPr>
          <w:lang w:val="uk-UA" w:bidi="en-US"/>
        </w:rPr>
        <w:t>вище</w:t>
      </w:r>
      <w:r w:rsidR="00D4256A" w:rsidRPr="000A38E5">
        <w:rPr>
          <w:lang w:val="ru-RU" w:bidi="en-US"/>
        </w:rPr>
        <w:t xml:space="preserve">), </w:t>
      </w:r>
      <w:r w:rsidR="00D4256A" w:rsidRPr="000A38E5">
        <w:rPr>
          <w:lang w:val="uk-UA" w:bidi="en-US"/>
        </w:rPr>
        <w:t>що дозволяє органам влади звертатися до суду</w:t>
      </w:r>
      <w:r w:rsidR="00D4256A" w:rsidRPr="000A38E5">
        <w:rPr>
          <w:lang w:val="ru-RU" w:bidi="en-US"/>
        </w:rPr>
        <w:t xml:space="preserve"> </w:t>
      </w:r>
      <w:r w:rsidR="00D4256A" w:rsidRPr="000A38E5">
        <w:rPr>
          <w:lang w:val="uk-UA" w:bidi="en-US"/>
        </w:rPr>
        <w:t>з запитом про накладення певних обмежень на заплановане зібрання</w:t>
      </w:r>
      <w:r w:rsidR="00D4256A" w:rsidRPr="000A38E5">
        <w:rPr>
          <w:lang w:val="ru-RU" w:bidi="en-US"/>
        </w:rPr>
        <w:t xml:space="preserve">. </w:t>
      </w:r>
      <w:r w:rsidR="00D4256A" w:rsidRPr="000A38E5">
        <w:rPr>
          <w:lang w:val="uk-UA" w:bidi="en-US"/>
        </w:rPr>
        <w:t>Це випливає з рішення Конституційного суду</w:t>
      </w:r>
      <w:r w:rsidR="00D4256A" w:rsidRPr="000A38E5">
        <w:rPr>
          <w:lang w:val="ru-RU" w:bidi="en-US"/>
        </w:rPr>
        <w:t xml:space="preserve">, </w:t>
      </w:r>
      <w:r w:rsidR="00D4256A" w:rsidRPr="000A38E5">
        <w:rPr>
          <w:lang w:val="uk-UA" w:bidi="en-US"/>
        </w:rPr>
        <w:t>яке передбачає авторитетне тлумачення</w:t>
      </w:r>
      <w:r w:rsidR="00D4256A" w:rsidRPr="000A38E5">
        <w:rPr>
          <w:lang w:val="ru-RU" w:bidi="en-US"/>
        </w:rPr>
        <w:t xml:space="preserve"> </w:t>
      </w:r>
      <w:r w:rsidR="00D4256A" w:rsidRPr="000A38E5">
        <w:rPr>
          <w:lang w:val="uk-UA" w:bidi="en-US"/>
        </w:rPr>
        <w:t>відповідного положення Конституції</w:t>
      </w:r>
      <w:r w:rsidR="00D4256A" w:rsidRPr="000A38E5">
        <w:rPr>
          <w:lang w:val="ru-RU" w:bidi="en-US"/>
        </w:rPr>
        <w:t xml:space="preserve"> (</w:t>
      </w:r>
      <w:r w:rsidR="00D4256A" w:rsidRPr="000A38E5">
        <w:rPr>
          <w:lang w:val="uk-UA" w:bidi="en-US"/>
        </w:rPr>
        <w:t>див. пункт</w:t>
      </w:r>
      <w:r w:rsidR="00D4256A" w:rsidRPr="000A38E5">
        <w:rPr>
          <w:lang w:val="ru-RU" w:bidi="en-US"/>
        </w:rPr>
        <w:t xml:space="preserve"> </w:t>
      </w:r>
      <w:fldSimple w:instr=" REF CC_decision \h  \* MERGEFORMAT ">
        <w:r w:rsidR="00D4256A" w:rsidRPr="000A38E5">
          <w:rPr>
            <w:noProof/>
            <w:lang w:val="ru-RU"/>
          </w:rPr>
          <w:t>94</w:t>
        </w:r>
      </w:fldSimple>
      <w:r w:rsidR="00D4256A" w:rsidRPr="000A38E5">
        <w:rPr>
          <w:lang w:val="ru-RU" w:bidi="en-US"/>
        </w:rPr>
        <w:t xml:space="preserve"> </w:t>
      </w:r>
      <w:r w:rsidR="00D4256A" w:rsidRPr="000A38E5">
        <w:rPr>
          <w:lang w:val="uk-UA" w:bidi="en-US"/>
        </w:rPr>
        <w:t>вище</w:t>
      </w:r>
      <w:r w:rsidR="00D4256A" w:rsidRPr="000A38E5">
        <w:rPr>
          <w:lang w:val="ru-RU" w:bidi="en-US"/>
        </w:rPr>
        <w:t xml:space="preserve">). </w:t>
      </w:r>
      <w:r w:rsidR="00D4256A" w:rsidRPr="000A38E5">
        <w:rPr>
          <w:lang w:val="uk-UA" w:bidi="en-US"/>
        </w:rPr>
        <w:t>Це демонструє й положення Кодексу адміністративного судочинства</w:t>
      </w:r>
      <w:r w:rsidR="00D4256A" w:rsidRPr="000A38E5">
        <w:rPr>
          <w:lang w:val="ru-RU" w:bidi="en-US"/>
        </w:rPr>
        <w:t xml:space="preserve">, </w:t>
      </w:r>
      <w:r w:rsidR="00D4256A" w:rsidRPr="000A38E5">
        <w:rPr>
          <w:lang w:val="uk-UA" w:bidi="en-US"/>
        </w:rPr>
        <w:t>яке вимагає, щоб суд відхилив позов</w:t>
      </w:r>
      <w:r w:rsidR="00D4256A" w:rsidRPr="000A38E5">
        <w:rPr>
          <w:lang w:val="ru-RU" w:bidi="en-US"/>
        </w:rPr>
        <w:t xml:space="preserve"> </w:t>
      </w:r>
      <w:r w:rsidR="00D4256A" w:rsidRPr="000A38E5">
        <w:rPr>
          <w:lang w:val="uk-UA" w:bidi="en-US"/>
        </w:rPr>
        <w:t>щодо обмеження зібрання,</w:t>
      </w:r>
      <w:r w:rsidR="00D4256A" w:rsidRPr="000A38E5">
        <w:rPr>
          <w:lang w:val="ru-RU" w:bidi="en-US"/>
        </w:rPr>
        <w:t xml:space="preserve"> </w:t>
      </w:r>
      <w:r w:rsidR="00D4256A" w:rsidRPr="000A38E5">
        <w:rPr>
          <w:lang w:val="uk-UA" w:bidi="en-US"/>
        </w:rPr>
        <w:t>якщо він поданий із запізненням</w:t>
      </w:r>
      <w:r w:rsidR="00D4256A" w:rsidRPr="000A38E5">
        <w:rPr>
          <w:lang w:val="ru-RU" w:bidi="en-US"/>
        </w:rPr>
        <w:t xml:space="preserve">, </w:t>
      </w:r>
      <w:r w:rsidR="00D4256A" w:rsidRPr="000A38E5">
        <w:rPr>
          <w:lang w:val="uk-UA" w:bidi="en-US"/>
        </w:rPr>
        <w:t>тобто, у запланований день подій або пізніше</w:t>
      </w:r>
      <w:r w:rsidR="00D4256A" w:rsidRPr="000A38E5">
        <w:rPr>
          <w:lang w:val="ru-RU" w:bidi="en-US"/>
        </w:rPr>
        <w:t xml:space="preserve"> (</w:t>
      </w:r>
      <w:r w:rsidR="00D4256A" w:rsidRPr="000A38E5">
        <w:rPr>
          <w:lang w:val="uk-UA" w:bidi="en-US"/>
        </w:rPr>
        <w:t>див. пункт</w:t>
      </w:r>
      <w:r w:rsidR="00D4256A" w:rsidRPr="000A38E5">
        <w:rPr>
          <w:lang w:val="ru-RU" w:bidi="en-US"/>
        </w:rPr>
        <w:t xml:space="preserve"> </w:t>
      </w:r>
      <w:fldSimple w:instr=" REF CAJ_A182 \h  \* MERGEFORMAT ">
        <w:r w:rsidR="00D4256A" w:rsidRPr="000A38E5">
          <w:rPr>
            <w:noProof/>
            <w:lang w:val="ru-RU"/>
          </w:rPr>
          <w:t>100</w:t>
        </w:r>
      </w:fldSimple>
      <w:r w:rsidR="00D4256A" w:rsidRPr="000A38E5">
        <w:rPr>
          <w:lang w:val="ru-RU" w:bidi="en-US"/>
        </w:rPr>
        <w:t xml:space="preserve"> </w:t>
      </w:r>
      <w:r w:rsidR="00D4256A" w:rsidRPr="000A38E5">
        <w:rPr>
          <w:lang w:val="uk-UA" w:bidi="en-US"/>
        </w:rPr>
        <w:t>вище</w:t>
      </w:r>
      <w:r w:rsidR="00D4256A" w:rsidRPr="000A38E5">
        <w:rPr>
          <w:lang w:val="ru-RU" w:bidi="en-US"/>
        </w:rPr>
        <w:t xml:space="preserve">). </w:t>
      </w:r>
      <w:r w:rsidR="00D4256A" w:rsidRPr="000A38E5">
        <w:rPr>
          <w:lang w:val="uk-UA" w:bidi="en-US"/>
        </w:rPr>
        <w:t>Це положення підлягало розгляду Судом у справі</w:t>
      </w:r>
      <w:r w:rsidR="00D4256A" w:rsidRPr="000A38E5">
        <w:rPr>
          <w:lang w:val="ru-RU" w:bidi="en-US"/>
        </w:rPr>
        <w:t xml:space="preserve"> </w:t>
      </w:r>
      <w:proofErr w:type="spellStart"/>
      <w:r w:rsidR="00D4256A" w:rsidRPr="000A38E5">
        <w:rPr>
          <w:i/>
          <w:lang w:bidi="en-US"/>
        </w:rPr>
        <w:t>Chumak</w:t>
      </w:r>
      <w:proofErr w:type="spellEnd"/>
      <w:r w:rsidR="00D4256A" w:rsidRPr="000A38E5">
        <w:rPr>
          <w:i/>
          <w:lang w:val="ru-RU" w:bidi="en-US"/>
        </w:rPr>
        <w:t>,</w:t>
      </w:r>
      <w:r w:rsidR="00D4256A" w:rsidRPr="000A38E5">
        <w:rPr>
          <w:lang w:val="ru-RU" w:bidi="en-US"/>
        </w:rPr>
        <w:t xml:space="preserve"> </w:t>
      </w:r>
      <w:r w:rsidR="00D4256A" w:rsidRPr="000A38E5">
        <w:rPr>
          <w:lang w:val="uk-UA" w:bidi="en-US"/>
        </w:rPr>
        <w:t>де Суд, на тих же підставах</w:t>
      </w:r>
      <w:r w:rsidR="00D4256A" w:rsidRPr="000A38E5">
        <w:rPr>
          <w:lang w:val="ru-RU" w:bidi="en-US"/>
        </w:rPr>
        <w:t xml:space="preserve">, </w:t>
      </w:r>
      <w:r w:rsidR="00D4256A" w:rsidRPr="000A38E5">
        <w:rPr>
          <w:lang w:val="uk-UA" w:bidi="en-US"/>
        </w:rPr>
        <w:t>висловив сумнів щодо того, чи відповідне судове положення</w:t>
      </w:r>
      <w:r w:rsidR="00D4256A" w:rsidRPr="000A38E5">
        <w:rPr>
          <w:lang w:val="ru-RU" w:bidi="en-US"/>
        </w:rPr>
        <w:t xml:space="preserve"> </w:t>
      </w:r>
      <w:r w:rsidR="00D4256A" w:rsidRPr="000A38E5">
        <w:rPr>
          <w:lang w:val="uk-UA" w:bidi="en-US"/>
        </w:rPr>
        <w:t>може бути належно використаним для розгону поточного зібрання</w:t>
      </w:r>
      <w:r w:rsidR="00D4256A" w:rsidRPr="000A38E5">
        <w:rPr>
          <w:lang w:val="ru-RU" w:bidi="en-US"/>
        </w:rPr>
        <w:t xml:space="preserve"> (</w:t>
      </w:r>
      <w:proofErr w:type="spellStart"/>
      <w:r w:rsidR="00D4256A" w:rsidRPr="000A38E5">
        <w:rPr>
          <w:lang w:val="uk-UA" w:bidi="en-US"/>
        </w:rPr>
        <w:t>цит</w:t>
      </w:r>
      <w:proofErr w:type="spellEnd"/>
      <w:r w:rsidR="00D4256A" w:rsidRPr="000A38E5">
        <w:rPr>
          <w:lang w:val="uk-UA" w:bidi="en-US"/>
        </w:rPr>
        <w:t>. вище</w:t>
      </w:r>
      <w:r w:rsidR="00D4256A" w:rsidRPr="000A38E5">
        <w:rPr>
          <w:lang w:val="ru-RU" w:bidi="en-US"/>
        </w:rPr>
        <w:t>, §</w:t>
      </w:r>
      <w:r w:rsidR="00D4256A" w:rsidRPr="000A38E5">
        <w:rPr>
          <w:lang w:bidi="en-US"/>
        </w:rPr>
        <w:t> </w:t>
      </w:r>
      <w:r w:rsidR="00D4256A" w:rsidRPr="000A38E5">
        <w:rPr>
          <w:lang w:val="ru-RU" w:bidi="en-US"/>
        </w:rPr>
        <w:t>42).</w:t>
      </w:r>
    </w:p>
    <w:p w:rsidR="00D4256A" w:rsidRPr="000A38E5" w:rsidRDefault="004E7608" w:rsidP="00D4256A">
      <w:pPr>
        <w:pStyle w:val="ECHRPara"/>
        <w:rPr>
          <w:lang w:val="ru-RU" w:bidi="en-US"/>
        </w:rPr>
      </w:pPr>
      <w:r w:rsidRPr="000A38E5">
        <w:rPr>
          <w:lang w:bidi="en-US"/>
        </w:rPr>
        <w:fldChar w:fldCharType="begin"/>
      </w:r>
      <w:r w:rsidR="00D4256A" w:rsidRPr="000A38E5">
        <w:rPr>
          <w:lang w:val="ru-RU" w:bidi="en-US"/>
        </w:rPr>
        <w:instrText xml:space="preserve"> </w:instrText>
      </w:r>
      <w:r w:rsidR="00D4256A" w:rsidRPr="000A38E5">
        <w:rPr>
          <w:lang w:bidi="en-US"/>
        </w:rPr>
        <w:instrText>SEQ</w:instrText>
      </w:r>
      <w:r w:rsidR="00D4256A" w:rsidRPr="000A38E5">
        <w:rPr>
          <w:lang w:val="ru-RU" w:bidi="en-US"/>
        </w:rPr>
        <w:instrText xml:space="preserve"> </w:instrText>
      </w:r>
      <w:r w:rsidR="00D4256A" w:rsidRPr="000A38E5">
        <w:rPr>
          <w:lang w:bidi="en-US"/>
        </w:rPr>
        <w:instrText>level</w:instrText>
      </w:r>
      <w:r w:rsidR="00D4256A" w:rsidRPr="000A38E5">
        <w:rPr>
          <w:lang w:val="ru-RU" w:bidi="en-US"/>
        </w:rPr>
        <w:instrText>0 \*</w:instrText>
      </w:r>
      <w:r w:rsidR="00D4256A" w:rsidRPr="000A38E5">
        <w:rPr>
          <w:lang w:bidi="en-US"/>
        </w:rPr>
        <w:instrText>arabic</w:instrText>
      </w:r>
      <w:r w:rsidR="00D4256A" w:rsidRPr="000A38E5">
        <w:rPr>
          <w:lang w:val="ru-RU" w:bidi="en-US"/>
        </w:rPr>
        <w:instrText xml:space="preserve"> </w:instrText>
      </w:r>
      <w:r w:rsidRPr="000A38E5">
        <w:rPr>
          <w:lang w:bidi="en-US"/>
        </w:rPr>
        <w:fldChar w:fldCharType="separate"/>
      </w:r>
      <w:r w:rsidR="00D4256A" w:rsidRPr="000A38E5">
        <w:rPr>
          <w:noProof/>
          <w:lang w:val="ru-RU" w:bidi="en-US"/>
        </w:rPr>
        <w:t>239</w:t>
      </w:r>
      <w:r w:rsidRPr="000A38E5">
        <w:rPr>
          <w:lang w:bidi="en-US"/>
        </w:rPr>
        <w:fldChar w:fldCharType="end"/>
      </w:r>
      <w:r w:rsidR="00D4256A" w:rsidRPr="000A38E5">
        <w:rPr>
          <w:lang w:val="ru-RU" w:bidi="en-US"/>
        </w:rPr>
        <w:t>.</w:t>
      </w:r>
      <w:r w:rsidR="00D4256A" w:rsidRPr="00E93710">
        <w:rPr>
          <w:lang w:val="ru-RU" w:bidi="en-US"/>
        </w:rPr>
        <w:t xml:space="preserve"> </w:t>
      </w:r>
      <w:r w:rsidR="00D4256A" w:rsidRPr="000A38E5">
        <w:rPr>
          <w:lang w:val="uk-UA" w:bidi="en-US"/>
        </w:rPr>
        <w:t>Крім того, Суд не переконаний, що обструктивна акція протесту,</w:t>
      </w:r>
      <w:r w:rsidR="00D4256A" w:rsidRPr="000A38E5">
        <w:rPr>
          <w:lang w:val="ru-RU" w:bidi="en-US"/>
        </w:rPr>
        <w:t xml:space="preserve"> </w:t>
      </w:r>
      <w:r w:rsidR="00D4256A" w:rsidRPr="000A38E5">
        <w:rPr>
          <w:lang w:val="uk-UA" w:bidi="en-US"/>
        </w:rPr>
        <w:t>яка за своїм власним характером буде незаконною через порушення прав та законних інтересів</w:t>
      </w:r>
      <w:r w:rsidR="00D4256A" w:rsidRPr="000A38E5">
        <w:rPr>
          <w:lang w:val="ru-RU" w:bidi="en-US"/>
        </w:rPr>
        <w:t xml:space="preserve"> </w:t>
      </w:r>
      <w:r w:rsidR="00D4256A" w:rsidRPr="000A38E5">
        <w:rPr>
          <w:lang w:val="uk-UA" w:bidi="en-US"/>
        </w:rPr>
        <w:t>третіх сторін</w:t>
      </w:r>
      <w:r w:rsidR="00D4256A" w:rsidRPr="000A38E5">
        <w:rPr>
          <w:lang w:val="ru-RU" w:bidi="en-US"/>
        </w:rPr>
        <w:t xml:space="preserve">, </w:t>
      </w:r>
      <w:r w:rsidR="00D4256A" w:rsidRPr="000A38E5">
        <w:rPr>
          <w:lang w:val="uk-UA" w:bidi="en-US"/>
        </w:rPr>
        <w:t>може у принципі та на практиці</w:t>
      </w:r>
      <w:r w:rsidR="00D4256A" w:rsidRPr="000A38E5">
        <w:rPr>
          <w:lang w:val="ru-RU" w:bidi="en-US"/>
        </w:rPr>
        <w:t xml:space="preserve">, </w:t>
      </w:r>
      <w:r w:rsidR="00D4256A" w:rsidRPr="000A38E5">
        <w:rPr>
          <w:lang w:val="uk-UA" w:bidi="en-US"/>
        </w:rPr>
        <w:t>підлягати вимогам про попереднє повідомлення</w:t>
      </w:r>
      <w:r w:rsidR="00D4256A" w:rsidRPr="000A38E5">
        <w:rPr>
          <w:lang w:val="ru-RU" w:bidi="en-US"/>
        </w:rPr>
        <w:t xml:space="preserve">. </w:t>
      </w:r>
      <w:r w:rsidR="00D4256A" w:rsidRPr="000A38E5">
        <w:rPr>
          <w:lang w:val="uk-UA" w:bidi="en-US"/>
        </w:rPr>
        <w:t>Така вимога позбавить значну кількість таких акцій серйозного впливу</w:t>
      </w:r>
      <w:r w:rsidR="00D4256A" w:rsidRPr="000A38E5">
        <w:rPr>
          <w:lang w:val="ru-RU" w:bidi="en-US"/>
        </w:rPr>
        <w:t xml:space="preserve"> </w:t>
      </w:r>
      <w:r w:rsidR="00D4256A" w:rsidRPr="000A38E5">
        <w:rPr>
          <w:lang w:val="uk-UA" w:bidi="en-US"/>
        </w:rPr>
        <w:t>та дорівнюватиме вимозі</w:t>
      </w:r>
      <w:r w:rsidR="00D4256A" w:rsidRPr="000A38E5">
        <w:rPr>
          <w:lang w:val="ru-RU" w:bidi="en-US"/>
        </w:rPr>
        <w:t xml:space="preserve"> </w:t>
      </w:r>
      <w:r w:rsidR="00D4256A" w:rsidRPr="000A38E5">
        <w:rPr>
          <w:lang w:val="uk-UA" w:bidi="en-US"/>
        </w:rPr>
        <w:t>заявити про намір порушити закон</w:t>
      </w:r>
      <w:r w:rsidR="00D4256A" w:rsidRPr="000A38E5">
        <w:rPr>
          <w:lang w:val="ru-RU" w:bidi="en-US"/>
        </w:rPr>
        <w:t>.</w:t>
      </w:r>
    </w:p>
    <w:p w:rsidR="00D4256A" w:rsidRPr="000A38E5" w:rsidRDefault="004E7608" w:rsidP="00D4256A">
      <w:pPr>
        <w:pStyle w:val="ECHRPara"/>
        <w:rPr>
          <w:lang w:val="ru-RU" w:bidi="en-US"/>
        </w:rPr>
      </w:pPr>
      <w:r w:rsidRPr="000A38E5">
        <w:rPr>
          <w:lang w:bidi="en-US"/>
        </w:rPr>
        <w:fldChar w:fldCharType="begin"/>
      </w:r>
      <w:r w:rsidR="00D4256A" w:rsidRPr="000A38E5">
        <w:rPr>
          <w:lang w:val="ru-RU" w:bidi="en-US"/>
        </w:rPr>
        <w:instrText xml:space="preserve"> </w:instrText>
      </w:r>
      <w:r w:rsidR="00D4256A" w:rsidRPr="000A38E5">
        <w:rPr>
          <w:lang w:bidi="en-US"/>
        </w:rPr>
        <w:instrText>SEQ</w:instrText>
      </w:r>
      <w:r w:rsidR="00D4256A" w:rsidRPr="000A38E5">
        <w:rPr>
          <w:lang w:val="ru-RU" w:bidi="en-US"/>
        </w:rPr>
        <w:instrText xml:space="preserve"> </w:instrText>
      </w:r>
      <w:r w:rsidR="00D4256A" w:rsidRPr="000A38E5">
        <w:rPr>
          <w:lang w:bidi="en-US"/>
        </w:rPr>
        <w:instrText>level</w:instrText>
      </w:r>
      <w:r w:rsidR="00D4256A" w:rsidRPr="000A38E5">
        <w:rPr>
          <w:lang w:val="ru-RU" w:bidi="en-US"/>
        </w:rPr>
        <w:instrText>0 \*</w:instrText>
      </w:r>
      <w:r w:rsidR="00D4256A" w:rsidRPr="000A38E5">
        <w:rPr>
          <w:lang w:bidi="en-US"/>
        </w:rPr>
        <w:instrText>arabic</w:instrText>
      </w:r>
      <w:r w:rsidR="00D4256A" w:rsidRPr="000A38E5">
        <w:rPr>
          <w:lang w:val="ru-RU" w:bidi="en-US"/>
        </w:rPr>
        <w:instrText xml:space="preserve"> </w:instrText>
      </w:r>
      <w:r w:rsidRPr="000A38E5">
        <w:rPr>
          <w:lang w:bidi="en-US"/>
        </w:rPr>
        <w:fldChar w:fldCharType="separate"/>
      </w:r>
      <w:r w:rsidR="00D4256A" w:rsidRPr="000A38E5">
        <w:rPr>
          <w:noProof/>
          <w:lang w:val="ru-RU" w:bidi="en-US"/>
        </w:rPr>
        <w:t>240</w:t>
      </w:r>
      <w:r w:rsidRPr="000A38E5">
        <w:rPr>
          <w:lang w:bidi="en-US"/>
        </w:rPr>
        <w:fldChar w:fldCharType="end"/>
      </w:r>
      <w:r w:rsidR="00D4256A" w:rsidRPr="000A38E5">
        <w:rPr>
          <w:lang w:val="ru-RU" w:bidi="en-US"/>
        </w:rPr>
        <w:t>.</w:t>
      </w:r>
      <w:r w:rsidR="00D4256A" w:rsidRPr="00E93710">
        <w:rPr>
          <w:lang w:val="ru-RU" w:bidi="en-US"/>
        </w:rPr>
        <w:t xml:space="preserve"> </w:t>
      </w:r>
      <w:r w:rsidR="00D4256A" w:rsidRPr="000A38E5">
        <w:rPr>
          <w:lang w:val="uk-UA" w:bidi="en-US"/>
        </w:rPr>
        <w:t>За обставин даної справи це означає,</w:t>
      </w:r>
      <w:r w:rsidR="00D4256A" w:rsidRPr="000A38E5">
        <w:rPr>
          <w:lang w:val="ru-RU" w:bidi="en-US"/>
        </w:rPr>
        <w:t xml:space="preserve"> </w:t>
      </w:r>
      <w:r w:rsidR="00D4256A" w:rsidRPr="000A38E5">
        <w:rPr>
          <w:lang w:val="uk-UA" w:bidi="en-US"/>
        </w:rPr>
        <w:t>що оскільки не було повідомлення</w:t>
      </w:r>
      <w:r w:rsidR="00D4256A" w:rsidRPr="000A38E5">
        <w:rPr>
          <w:lang w:val="ru-RU" w:bidi="en-US"/>
        </w:rPr>
        <w:t xml:space="preserve">, </w:t>
      </w:r>
      <w:r w:rsidR="00D4256A" w:rsidRPr="000A38E5">
        <w:rPr>
          <w:lang w:val="uk-UA" w:bidi="en-US"/>
        </w:rPr>
        <w:t>не може бути використана ніяка судова процедура для заборони протесту</w:t>
      </w:r>
      <w:r w:rsidR="00D4256A" w:rsidRPr="000A38E5">
        <w:rPr>
          <w:lang w:val="ru-RU" w:bidi="en-US"/>
        </w:rPr>
        <w:t>.</w:t>
      </w:r>
    </w:p>
    <w:p w:rsidR="00D4256A" w:rsidRPr="000A38E5" w:rsidRDefault="004E7608" w:rsidP="00D4256A">
      <w:pPr>
        <w:pStyle w:val="ECHRPara"/>
        <w:rPr>
          <w:lang w:val="ru-RU" w:bidi="en-US"/>
        </w:rPr>
      </w:pPr>
      <w:r w:rsidRPr="000A38E5">
        <w:rPr>
          <w:lang w:bidi="en-US"/>
        </w:rPr>
        <w:fldChar w:fldCharType="begin"/>
      </w:r>
      <w:r w:rsidR="00D4256A" w:rsidRPr="000A38E5">
        <w:rPr>
          <w:lang w:val="ru-RU" w:bidi="en-US"/>
        </w:rPr>
        <w:instrText xml:space="preserve"> </w:instrText>
      </w:r>
      <w:r w:rsidR="00D4256A" w:rsidRPr="000A38E5">
        <w:rPr>
          <w:lang w:bidi="en-US"/>
        </w:rPr>
        <w:instrText>SEQ</w:instrText>
      </w:r>
      <w:r w:rsidR="00D4256A" w:rsidRPr="000A38E5">
        <w:rPr>
          <w:lang w:val="ru-RU" w:bidi="en-US"/>
        </w:rPr>
        <w:instrText xml:space="preserve"> </w:instrText>
      </w:r>
      <w:r w:rsidR="00D4256A" w:rsidRPr="000A38E5">
        <w:rPr>
          <w:lang w:bidi="en-US"/>
        </w:rPr>
        <w:instrText>level</w:instrText>
      </w:r>
      <w:r w:rsidR="00D4256A" w:rsidRPr="000A38E5">
        <w:rPr>
          <w:lang w:val="ru-RU" w:bidi="en-US"/>
        </w:rPr>
        <w:instrText>0 \*</w:instrText>
      </w:r>
      <w:r w:rsidR="00D4256A" w:rsidRPr="000A38E5">
        <w:rPr>
          <w:lang w:bidi="en-US"/>
        </w:rPr>
        <w:instrText>arabic</w:instrText>
      </w:r>
      <w:r w:rsidR="00D4256A" w:rsidRPr="000A38E5">
        <w:rPr>
          <w:lang w:val="ru-RU" w:bidi="en-US"/>
        </w:rPr>
        <w:instrText xml:space="preserve"> </w:instrText>
      </w:r>
      <w:r w:rsidRPr="000A38E5">
        <w:rPr>
          <w:lang w:bidi="en-US"/>
        </w:rPr>
        <w:fldChar w:fldCharType="separate"/>
      </w:r>
      <w:r w:rsidR="00D4256A" w:rsidRPr="000A38E5">
        <w:rPr>
          <w:noProof/>
          <w:lang w:val="ru-RU" w:bidi="en-US"/>
        </w:rPr>
        <w:t>241</w:t>
      </w:r>
      <w:r w:rsidRPr="000A38E5">
        <w:rPr>
          <w:lang w:bidi="en-US"/>
        </w:rPr>
        <w:fldChar w:fldCharType="end"/>
      </w:r>
      <w:r w:rsidR="00D4256A" w:rsidRPr="000A38E5">
        <w:rPr>
          <w:lang w:val="ru-RU" w:bidi="en-US"/>
        </w:rPr>
        <w:t>.</w:t>
      </w:r>
      <w:r w:rsidR="00D4256A" w:rsidRPr="00E93710">
        <w:rPr>
          <w:lang w:val="ru-RU" w:bidi="en-US"/>
        </w:rPr>
        <w:t xml:space="preserve"> </w:t>
      </w:r>
      <w:r w:rsidR="00D4256A" w:rsidRPr="000A38E5">
        <w:rPr>
          <w:lang w:val="uk-UA" w:bidi="en-US"/>
        </w:rPr>
        <w:t>Відповідно, Суд відхиляє аргументи заявників</w:t>
      </w:r>
      <w:r w:rsidR="00D4256A" w:rsidRPr="000A38E5">
        <w:rPr>
          <w:lang w:val="ru-RU" w:bidi="en-US"/>
        </w:rPr>
        <w:t xml:space="preserve"> </w:t>
      </w:r>
      <w:r w:rsidR="00D4256A" w:rsidRPr="000A38E5">
        <w:rPr>
          <w:lang w:val="uk-UA" w:bidi="en-US"/>
        </w:rPr>
        <w:t>у цьому відношенні та визнає, що втручання було «передбаченим законом»</w:t>
      </w:r>
      <w:r w:rsidR="00D4256A" w:rsidRPr="000A38E5">
        <w:rPr>
          <w:lang w:val="ru-RU" w:bidi="en-US"/>
        </w:rPr>
        <w:t>.</w:t>
      </w:r>
    </w:p>
    <w:p w:rsidR="00D4256A" w:rsidRPr="000A38E5" w:rsidRDefault="00D4256A" w:rsidP="00D4256A">
      <w:pPr>
        <w:pStyle w:val="ECHRHeading6"/>
        <w:rPr>
          <w:lang w:val="uk-UA"/>
        </w:rPr>
      </w:pPr>
      <w:r w:rsidRPr="000A38E5">
        <w:rPr>
          <w:lang w:val="ru-RU"/>
        </w:rPr>
        <w:t>(</w:t>
      </w:r>
      <w:r w:rsidRPr="000A38E5">
        <w:t>γ</w:t>
      </w:r>
      <w:r w:rsidRPr="000A38E5">
        <w:rPr>
          <w:lang w:val="ru-RU"/>
        </w:rPr>
        <w:t>)</w:t>
      </w:r>
      <w:r w:rsidRPr="00E93710">
        <w:rPr>
          <w:lang w:val="ru-RU"/>
        </w:rPr>
        <w:t xml:space="preserve"> </w:t>
      </w:r>
      <w:r w:rsidRPr="000A38E5">
        <w:rPr>
          <w:lang w:val="uk-UA"/>
        </w:rPr>
        <w:t>законна мета</w:t>
      </w:r>
    </w:p>
    <w:p w:rsidR="00D4256A" w:rsidRPr="000A38E5" w:rsidRDefault="004E7608" w:rsidP="00D4256A">
      <w:pPr>
        <w:pStyle w:val="ECHRPara"/>
        <w:rPr>
          <w:lang w:val="ru-RU" w:bidi="en-US"/>
        </w:rPr>
      </w:pPr>
      <w:r w:rsidRPr="000A38E5">
        <w:rPr>
          <w:lang w:bidi="en-US"/>
        </w:rPr>
        <w:fldChar w:fldCharType="begin"/>
      </w:r>
      <w:r w:rsidR="00D4256A" w:rsidRPr="000A38E5">
        <w:rPr>
          <w:lang w:val="ru-RU" w:bidi="en-US"/>
        </w:rPr>
        <w:instrText xml:space="preserve"> </w:instrText>
      </w:r>
      <w:r w:rsidR="00D4256A" w:rsidRPr="000A38E5">
        <w:rPr>
          <w:lang w:bidi="en-US"/>
        </w:rPr>
        <w:instrText>SEQ</w:instrText>
      </w:r>
      <w:r w:rsidR="00D4256A" w:rsidRPr="000A38E5">
        <w:rPr>
          <w:lang w:val="ru-RU" w:bidi="en-US"/>
        </w:rPr>
        <w:instrText xml:space="preserve"> </w:instrText>
      </w:r>
      <w:r w:rsidR="00D4256A" w:rsidRPr="000A38E5">
        <w:rPr>
          <w:lang w:bidi="en-US"/>
        </w:rPr>
        <w:instrText>level</w:instrText>
      </w:r>
      <w:r w:rsidR="00D4256A" w:rsidRPr="000A38E5">
        <w:rPr>
          <w:lang w:val="ru-RU" w:bidi="en-US"/>
        </w:rPr>
        <w:instrText>0 \*</w:instrText>
      </w:r>
      <w:r w:rsidR="00D4256A" w:rsidRPr="000A38E5">
        <w:rPr>
          <w:lang w:bidi="en-US"/>
        </w:rPr>
        <w:instrText>arabic</w:instrText>
      </w:r>
      <w:r w:rsidR="00D4256A" w:rsidRPr="000A38E5">
        <w:rPr>
          <w:lang w:val="ru-RU" w:bidi="en-US"/>
        </w:rPr>
        <w:instrText xml:space="preserve"> </w:instrText>
      </w:r>
      <w:r w:rsidRPr="000A38E5">
        <w:rPr>
          <w:lang w:bidi="en-US"/>
        </w:rPr>
        <w:fldChar w:fldCharType="separate"/>
      </w:r>
      <w:r w:rsidR="00D4256A" w:rsidRPr="000A38E5">
        <w:rPr>
          <w:noProof/>
          <w:lang w:val="ru-RU" w:bidi="en-US"/>
        </w:rPr>
        <w:t>242</w:t>
      </w:r>
      <w:r w:rsidRPr="000A38E5">
        <w:rPr>
          <w:lang w:bidi="en-US"/>
        </w:rPr>
        <w:fldChar w:fldCharType="end"/>
      </w:r>
      <w:r w:rsidR="00D4256A" w:rsidRPr="000A38E5">
        <w:rPr>
          <w:lang w:val="ru-RU" w:bidi="en-US"/>
        </w:rPr>
        <w:t>.</w:t>
      </w:r>
      <w:r w:rsidR="00D4256A" w:rsidRPr="00E93710">
        <w:rPr>
          <w:lang w:val="ru-RU" w:bidi="en-US"/>
        </w:rPr>
        <w:t xml:space="preserve"> </w:t>
      </w:r>
      <w:r w:rsidR="00D4256A" w:rsidRPr="000A38E5">
        <w:rPr>
          <w:lang w:val="uk-UA" w:bidi="en-US"/>
        </w:rPr>
        <w:t>Суд зазначає, що присутність заявників на місці будівництва</w:t>
      </w:r>
      <w:r w:rsidR="00D4256A" w:rsidRPr="000A38E5">
        <w:rPr>
          <w:lang w:val="ru-RU" w:bidi="en-US"/>
        </w:rPr>
        <w:t xml:space="preserve"> </w:t>
      </w:r>
      <w:r w:rsidR="00D4256A" w:rsidRPr="000A38E5">
        <w:rPr>
          <w:lang w:val="uk-UA" w:bidi="en-US"/>
        </w:rPr>
        <w:t>порушувала правила безпеки</w:t>
      </w:r>
      <w:r w:rsidR="00D4256A" w:rsidRPr="000A38E5">
        <w:rPr>
          <w:lang w:val="ru-RU" w:bidi="en-US"/>
        </w:rPr>
        <w:t xml:space="preserve"> (</w:t>
      </w:r>
      <w:r w:rsidR="00D4256A" w:rsidRPr="000A38E5">
        <w:rPr>
          <w:lang w:val="uk-UA" w:bidi="en-US"/>
        </w:rPr>
        <w:t>див. пункт</w:t>
      </w:r>
      <w:r w:rsidR="00D4256A" w:rsidRPr="000A38E5">
        <w:rPr>
          <w:lang w:val="ru-RU" w:bidi="en-US"/>
        </w:rPr>
        <w:t xml:space="preserve"> </w:t>
      </w:r>
      <w:fldSimple w:instr=" REF safety_rules \h  \* MERGEFORMAT ">
        <w:r w:rsidR="00D4256A" w:rsidRPr="000A38E5">
          <w:rPr>
            <w:noProof/>
            <w:lang w:val="ru-RU"/>
          </w:rPr>
          <w:t>112</w:t>
        </w:r>
      </w:fldSimple>
      <w:r w:rsidR="00D4256A" w:rsidRPr="000A38E5">
        <w:rPr>
          <w:lang w:val="ru-RU" w:bidi="en-US"/>
        </w:rPr>
        <w:t xml:space="preserve"> </w:t>
      </w:r>
      <w:r w:rsidR="00D4256A" w:rsidRPr="000A38E5">
        <w:rPr>
          <w:lang w:val="uk-UA" w:bidi="en-US"/>
        </w:rPr>
        <w:t>вище</w:t>
      </w:r>
      <w:r w:rsidR="00D4256A" w:rsidRPr="000A38E5">
        <w:rPr>
          <w:lang w:val="ru-RU" w:bidi="en-US"/>
        </w:rPr>
        <w:t xml:space="preserve">). </w:t>
      </w:r>
      <w:r w:rsidR="00D4256A" w:rsidRPr="000A38E5">
        <w:rPr>
          <w:lang w:val="uk-UA" w:bidi="en-US"/>
        </w:rPr>
        <w:t>Докази та доводи заявників демонструють, що протестуючі</w:t>
      </w:r>
      <w:r w:rsidR="00D4256A" w:rsidRPr="000A38E5">
        <w:rPr>
          <w:lang w:val="ru-RU" w:bidi="en-US"/>
        </w:rPr>
        <w:t xml:space="preserve"> </w:t>
      </w:r>
      <w:proofErr w:type="spellStart"/>
      <w:r w:rsidR="00D4256A" w:rsidRPr="000A38E5">
        <w:rPr>
          <w:lang w:val="ru-RU" w:bidi="en-US"/>
        </w:rPr>
        <w:t>наражалися</w:t>
      </w:r>
      <w:proofErr w:type="spellEnd"/>
      <w:r w:rsidR="00D4256A" w:rsidRPr="000A38E5">
        <w:rPr>
          <w:lang w:val="ru-RU" w:bidi="en-US"/>
        </w:rPr>
        <w:t xml:space="preserve"> на </w:t>
      </w:r>
      <w:r w:rsidR="00D4256A" w:rsidRPr="000A38E5">
        <w:rPr>
          <w:lang w:val="uk-UA" w:bidi="en-US"/>
        </w:rPr>
        <w:t>серйозний ризик на місці будівництва</w:t>
      </w:r>
      <w:r w:rsidR="00D4256A" w:rsidRPr="000A38E5">
        <w:rPr>
          <w:lang w:val="ru-RU" w:bidi="en-US"/>
        </w:rPr>
        <w:t xml:space="preserve"> (</w:t>
      </w:r>
      <w:r w:rsidR="00D4256A" w:rsidRPr="000A38E5">
        <w:rPr>
          <w:lang w:val="uk-UA" w:bidi="en-US"/>
        </w:rPr>
        <w:t>див., наприклад, пункти</w:t>
      </w:r>
      <w:r w:rsidR="00D4256A" w:rsidRPr="000A38E5">
        <w:rPr>
          <w:lang w:bidi="en-US"/>
        </w:rPr>
        <w:t> </w:t>
      </w:r>
      <w:fldSimple w:instr=" REF video_24_May \h  \* MERGEFORMAT ">
        <w:r w:rsidR="00D4256A" w:rsidRPr="000A38E5">
          <w:rPr>
            <w:noProof/>
            <w:lang w:val="ru-RU"/>
          </w:rPr>
          <w:t>34</w:t>
        </w:r>
      </w:fldSimple>
      <w:r w:rsidR="00D4256A" w:rsidRPr="000A38E5">
        <w:rPr>
          <w:lang w:val="ru-RU" w:bidi="en-US"/>
        </w:rPr>
        <w:t xml:space="preserve"> </w:t>
      </w:r>
      <w:r w:rsidR="00D4256A" w:rsidRPr="000A38E5">
        <w:rPr>
          <w:lang w:val="uk-UA" w:bidi="en-US"/>
        </w:rPr>
        <w:t>та</w:t>
      </w:r>
      <w:r w:rsidR="00D4256A" w:rsidRPr="000A38E5">
        <w:rPr>
          <w:lang w:val="ru-RU" w:bidi="en-US"/>
        </w:rPr>
        <w:t xml:space="preserve"> </w:t>
      </w:r>
      <w:fldSimple w:instr=" REF video_25_May \h  \* MERGEFORMAT ">
        <w:r w:rsidR="00D4256A" w:rsidRPr="000A38E5">
          <w:rPr>
            <w:noProof/>
            <w:lang w:val="ru-RU"/>
          </w:rPr>
          <w:t>35</w:t>
        </w:r>
      </w:fldSimple>
      <w:r w:rsidR="00D4256A" w:rsidRPr="000A38E5">
        <w:rPr>
          <w:lang w:val="ru-RU" w:bidi="en-US"/>
        </w:rPr>
        <w:t xml:space="preserve"> </w:t>
      </w:r>
      <w:r w:rsidR="00D4256A" w:rsidRPr="000A38E5">
        <w:rPr>
          <w:lang w:val="uk-UA" w:bidi="en-US"/>
        </w:rPr>
        <w:t>вище</w:t>
      </w:r>
      <w:r w:rsidR="00D4256A" w:rsidRPr="000A38E5">
        <w:rPr>
          <w:lang w:val="ru-RU" w:bidi="en-US"/>
        </w:rPr>
        <w:t xml:space="preserve"> </w:t>
      </w:r>
      <w:r w:rsidR="00D4256A" w:rsidRPr="000A38E5">
        <w:rPr>
          <w:lang w:val="uk-UA" w:bidi="en-US"/>
        </w:rPr>
        <w:t>стосовно відеозапису за</w:t>
      </w:r>
      <w:r w:rsidR="00D4256A" w:rsidRPr="000A38E5">
        <w:rPr>
          <w:lang w:val="ru-RU" w:bidi="en-US"/>
        </w:rPr>
        <w:t xml:space="preserve"> 24 </w:t>
      </w:r>
      <w:r w:rsidR="00D4256A" w:rsidRPr="000A38E5">
        <w:rPr>
          <w:lang w:val="uk-UA" w:bidi="en-US"/>
        </w:rPr>
        <w:t>та 25 травня</w:t>
      </w:r>
      <w:r w:rsidR="00D4256A" w:rsidRPr="000A38E5">
        <w:rPr>
          <w:lang w:val="ru-RU" w:bidi="en-US"/>
        </w:rPr>
        <w:t xml:space="preserve"> </w:t>
      </w:r>
      <w:r w:rsidR="00D4256A" w:rsidRPr="000A38E5">
        <w:rPr>
          <w:lang w:val="uk-UA" w:bidi="en-US"/>
        </w:rPr>
        <w:t>та доводи заявників у пункті</w:t>
      </w:r>
      <w:r w:rsidR="00D4256A" w:rsidRPr="000A38E5">
        <w:rPr>
          <w:lang w:val="ru-RU" w:bidi="en-US"/>
        </w:rPr>
        <w:t xml:space="preserve"> </w:t>
      </w:r>
      <w:fldSimple w:instr=" REF apps_submissions_forms_of_interference \h  \* MERGEFORMAT ">
        <w:r w:rsidR="00D4256A" w:rsidRPr="000A38E5">
          <w:rPr>
            <w:noProof/>
            <w:lang w:val="ru-RU"/>
          </w:rPr>
          <w:t>188</w:t>
        </w:r>
      </w:fldSimple>
      <w:r w:rsidR="00D4256A" w:rsidRPr="000A38E5">
        <w:rPr>
          <w:lang w:val="ru-RU" w:bidi="en-US"/>
        </w:rPr>
        <w:t xml:space="preserve"> (</w:t>
      </w:r>
      <w:r w:rsidR="00D4256A" w:rsidRPr="000A38E5">
        <w:rPr>
          <w:lang w:bidi="en-US"/>
        </w:rPr>
        <w:t>v</w:t>
      </w:r>
      <w:r w:rsidR="00D4256A" w:rsidRPr="000A38E5">
        <w:rPr>
          <w:lang w:val="ru-RU" w:bidi="en-US"/>
        </w:rPr>
        <w:t xml:space="preserve">) </w:t>
      </w:r>
      <w:r w:rsidR="00D4256A" w:rsidRPr="000A38E5">
        <w:rPr>
          <w:lang w:val="uk-UA" w:bidi="en-US"/>
        </w:rPr>
        <w:t>та</w:t>
      </w:r>
      <w:r w:rsidR="00D4256A" w:rsidRPr="000A38E5">
        <w:rPr>
          <w:lang w:val="ru-RU" w:bidi="en-US"/>
        </w:rPr>
        <w:t xml:space="preserve"> (</w:t>
      </w:r>
      <w:r w:rsidR="00D4256A" w:rsidRPr="000A38E5">
        <w:rPr>
          <w:lang w:bidi="en-US"/>
        </w:rPr>
        <w:t>vi</w:t>
      </w:r>
      <w:r w:rsidR="00D4256A" w:rsidRPr="000A38E5">
        <w:rPr>
          <w:lang w:val="ru-RU" w:bidi="en-US"/>
        </w:rPr>
        <w:t xml:space="preserve">) </w:t>
      </w:r>
      <w:r w:rsidR="00D4256A" w:rsidRPr="000A38E5">
        <w:rPr>
          <w:lang w:val="uk-UA" w:bidi="en-US"/>
        </w:rPr>
        <w:t>вище</w:t>
      </w:r>
      <w:r w:rsidR="00D4256A" w:rsidRPr="000A38E5">
        <w:rPr>
          <w:lang w:val="ru-RU" w:bidi="en-US"/>
        </w:rPr>
        <w:t xml:space="preserve">). </w:t>
      </w:r>
      <w:r w:rsidR="00D4256A" w:rsidRPr="000A38E5">
        <w:rPr>
          <w:lang w:val="uk-UA" w:bidi="en-US"/>
        </w:rPr>
        <w:t>Відповідно, Суд визнає довід Уряду про те, що втручання переслідувало законну мету</w:t>
      </w:r>
      <w:r w:rsidR="00D4256A" w:rsidRPr="000A38E5">
        <w:rPr>
          <w:lang w:val="ru-RU" w:bidi="en-US"/>
        </w:rPr>
        <w:t xml:space="preserve"> </w:t>
      </w:r>
      <w:r w:rsidR="00D4256A" w:rsidRPr="000A38E5">
        <w:rPr>
          <w:lang w:val="uk-UA" w:bidi="en-US"/>
        </w:rPr>
        <w:t>захисту здоров’я та безпеки протестуючих та працівників</w:t>
      </w:r>
      <w:r w:rsidR="00D4256A" w:rsidRPr="000A38E5">
        <w:rPr>
          <w:lang w:val="ru-RU" w:bidi="en-US"/>
        </w:rPr>
        <w:t xml:space="preserve">. </w:t>
      </w:r>
      <w:r w:rsidR="00D4256A" w:rsidRPr="000A38E5">
        <w:rPr>
          <w:lang w:val="uk-UA" w:bidi="en-US"/>
        </w:rPr>
        <w:t xml:space="preserve">Стосовно цього, втручання також може розглядатися як захід, </w:t>
      </w:r>
      <w:r w:rsidR="00D4256A" w:rsidRPr="000A38E5">
        <w:rPr>
          <w:lang w:val="uk-UA" w:bidi="en-US"/>
        </w:rPr>
        <w:lastRenderedPageBreak/>
        <w:t>здійснений для захисту</w:t>
      </w:r>
      <w:r w:rsidR="00D4256A" w:rsidRPr="000A38E5">
        <w:rPr>
          <w:lang w:val="ru-RU" w:bidi="en-US"/>
        </w:rPr>
        <w:t xml:space="preserve"> </w:t>
      </w:r>
      <w:r w:rsidR="00D4256A" w:rsidRPr="000A38E5">
        <w:rPr>
          <w:lang w:val="uk-UA" w:bidi="en-US"/>
        </w:rPr>
        <w:t>прав та свобод інших осіб</w:t>
      </w:r>
      <w:r w:rsidR="00D4256A" w:rsidRPr="000A38E5">
        <w:rPr>
          <w:lang w:val="ru-RU" w:bidi="en-US"/>
        </w:rPr>
        <w:t xml:space="preserve">. </w:t>
      </w:r>
      <w:r w:rsidR="00D4256A" w:rsidRPr="000A38E5">
        <w:rPr>
          <w:lang w:val="uk-UA" w:bidi="en-US"/>
        </w:rPr>
        <w:t>Суд зазначає, що до проекту були залучені численні фізичні та юридичні особи,</w:t>
      </w:r>
      <w:r w:rsidR="00D4256A" w:rsidRPr="000A38E5">
        <w:rPr>
          <w:lang w:val="ru-RU" w:bidi="en-US"/>
        </w:rPr>
        <w:t xml:space="preserve"> </w:t>
      </w:r>
      <w:r w:rsidR="00D4256A" w:rsidRPr="000A38E5">
        <w:rPr>
          <w:lang w:val="uk-UA" w:bidi="en-US"/>
        </w:rPr>
        <w:t>які приймали участь у його втіленні з точки зору розвинення міської інфраструктури</w:t>
      </w:r>
      <w:r w:rsidR="00D4256A" w:rsidRPr="000A38E5">
        <w:rPr>
          <w:lang w:val="ru-RU" w:bidi="en-US"/>
        </w:rPr>
        <w:t xml:space="preserve">, </w:t>
      </w:r>
      <w:r w:rsidR="00D4256A" w:rsidRPr="000A38E5">
        <w:rPr>
          <w:lang w:val="uk-UA" w:bidi="en-US"/>
        </w:rPr>
        <w:t>економічної активності, праці</w:t>
      </w:r>
      <w:r w:rsidR="00D4256A" w:rsidRPr="000A38E5">
        <w:rPr>
          <w:lang w:val="ru-RU" w:bidi="en-US"/>
        </w:rPr>
        <w:t xml:space="preserve">, </w:t>
      </w:r>
      <w:r w:rsidR="00D4256A" w:rsidRPr="000A38E5">
        <w:rPr>
          <w:lang w:val="uk-UA" w:bidi="en-US"/>
        </w:rPr>
        <w:t>здійснення обов’язків за контрактом тощо</w:t>
      </w:r>
      <w:r w:rsidR="00D4256A" w:rsidRPr="000A38E5">
        <w:rPr>
          <w:lang w:val="ru-RU" w:bidi="en-US"/>
        </w:rPr>
        <w:t xml:space="preserve"> (</w:t>
      </w:r>
      <w:r w:rsidR="00D4256A" w:rsidRPr="000A38E5">
        <w:rPr>
          <w:lang w:val="uk-UA" w:bidi="en-US"/>
        </w:rPr>
        <w:t>порівняйте</w:t>
      </w:r>
      <w:r w:rsidR="00D4256A" w:rsidRPr="000A38E5">
        <w:rPr>
          <w:lang w:val="ru-RU" w:bidi="en-US"/>
        </w:rPr>
        <w:t xml:space="preserve"> </w:t>
      </w:r>
      <w:proofErr w:type="spellStart"/>
      <w:r w:rsidR="00D4256A" w:rsidRPr="000A38E5">
        <w:rPr>
          <w:i/>
          <w:lang w:bidi="en-US"/>
        </w:rPr>
        <w:t>Drieman</w:t>
      </w:r>
      <w:proofErr w:type="spellEnd"/>
      <w:r w:rsidR="00D4256A" w:rsidRPr="000A38E5">
        <w:rPr>
          <w:i/>
          <w:lang w:val="ru-RU" w:bidi="en-US"/>
        </w:rPr>
        <w:t xml:space="preserve"> </w:t>
      </w:r>
      <w:r w:rsidR="00D4256A" w:rsidRPr="000A38E5">
        <w:rPr>
          <w:i/>
          <w:lang w:bidi="en-US"/>
        </w:rPr>
        <w:t>and</w:t>
      </w:r>
      <w:r w:rsidR="00D4256A" w:rsidRPr="000A38E5">
        <w:rPr>
          <w:i/>
          <w:lang w:val="ru-RU" w:bidi="en-US"/>
        </w:rPr>
        <w:t xml:space="preserve"> </w:t>
      </w:r>
      <w:r w:rsidR="00D4256A" w:rsidRPr="000A38E5">
        <w:rPr>
          <w:i/>
          <w:lang w:bidi="en-US"/>
        </w:rPr>
        <w:t>Others</w:t>
      </w:r>
      <w:r w:rsidR="00D4256A" w:rsidRPr="000A38E5">
        <w:rPr>
          <w:i/>
          <w:lang w:val="ru-RU" w:bidi="en-US"/>
        </w:rPr>
        <w:t xml:space="preserve"> </w:t>
      </w:r>
      <w:r w:rsidR="00D4256A" w:rsidRPr="000A38E5">
        <w:rPr>
          <w:i/>
          <w:lang w:bidi="en-US"/>
        </w:rPr>
        <w:t>v</w:t>
      </w:r>
      <w:r w:rsidR="00D4256A" w:rsidRPr="000A38E5">
        <w:rPr>
          <w:i/>
          <w:lang w:val="ru-RU" w:bidi="en-US"/>
        </w:rPr>
        <w:t xml:space="preserve">. </w:t>
      </w:r>
      <w:r w:rsidR="00D4256A" w:rsidRPr="000A38E5">
        <w:rPr>
          <w:i/>
          <w:lang w:bidi="en-US"/>
        </w:rPr>
        <w:t>Norway</w:t>
      </w:r>
      <w:r w:rsidR="00D4256A" w:rsidRPr="000A38E5">
        <w:rPr>
          <w:lang w:val="ru-RU" w:bidi="en-US"/>
        </w:rPr>
        <w:t xml:space="preserve"> (</w:t>
      </w:r>
      <w:proofErr w:type="spellStart"/>
      <w:r w:rsidR="00D4256A" w:rsidRPr="000A38E5">
        <w:rPr>
          <w:lang w:bidi="en-US"/>
        </w:rPr>
        <w:t>dec</w:t>
      </w:r>
      <w:proofErr w:type="spellEnd"/>
      <w:r w:rsidR="00D4256A" w:rsidRPr="000A38E5">
        <w:rPr>
          <w:lang w:val="ru-RU" w:bidi="en-US"/>
        </w:rPr>
        <w:t xml:space="preserve">.), </w:t>
      </w:r>
      <w:r w:rsidR="00D4256A" w:rsidRPr="000A38E5">
        <w:rPr>
          <w:lang w:val="uk-UA" w:bidi="en-US"/>
        </w:rPr>
        <w:t>№</w:t>
      </w:r>
      <w:r w:rsidR="00D4256A" w:rsidRPr="000A38E5">
        <w:rPr>
          <w:lang w:val="ru-RU" w:bidi="en-US"/>
        </w:rPr>
        <w:t xml:space="preserve"> 33678/96, 4</w:t>
      </w:r>
      <w:r w:rsidR="00D4256A" w:rsidRPr="000A38E5">
        <w:rPr>
          <w:lang w:bidi="en-US"/>
        </w:rPr>
        <w:t> </w:t>
      </w:r>
      <w:r w:rsidR="00D4256A" w:rsidRPr="000A38E5">
        <w:rPr>
          <w:lang w:val="uk-UA" w:bidi="en-US"/>
        </w:rPr>
        <w:t>травня</w:t>
      </w:r>
      <w:r w:rsidR="00D4256A" w:rsidRPr="000A38E5">
        <w:rPr>
          <w:lang w:val="ru-RU" w:bidi="en-US"/>
        </w:rPr>
        <w:t xml:space="preserve"> 2000).</w:t>
      </w:r>
    </w:p>
    <w:p w:rsidR="00D4256A" w:rsidRPr="000A38E5" w:rsidRDefault="00D4256A" w:rsidP="00D4256A">
      <w:pPr>
        <w:pStyle w:val="ECHRHeading6"/>
        <w:rPr>
          <w:lang w:val="uk-UA"/>
        </w:rPr>
      </w:pPr>
      <w:r w:rsidRPr="000A38E5">
        <w:rPr>
          <w:lang w:val="ru-RU"/>
        </w:rPr>
        <w:t>(</w:t>
      </w:r>
      <w:r w:rsidRPr="000A38E5">
        <w:t>δ</w:t>
      </w:r>
      <w:r w:rsidRPr="000A38E5">
        <w:rPr>
          <w:lang w:val="ru-RU"/>
        </w:rPr>
        <w:t>)</w:t>
      </w:r>
      <w:r w:rsidRPr="00E93710">
        <w:rPr>
          <w:lang w:val="ru-RU"/>
        </w:rPr>
        <w:t xml:space="preserve"> </w:t>
      </w:r>
      <w:r w:rsidRPr="000A38E5">
        <w:rPr>
          <w:lang w:val="uk-UA"/>
        </w:rPr>
        <w:t>«Необхідність у демократичному суспільстві»</w:t>
      </w:r>
      <w:r w:rsidRPr="000A38E5">
        <w:rPr>
          <w:lang w:val="ru-RU"/>
        </w:rPr>
        <w:t xml:space="preserve">: </w:t>
      </w:r>
      <w:r w:rsidRPr="000A38E5">
        <w:rPr>
          <w:lang w:val="uk-UA"/>
        </w:rPr>
        <w:t>перші шість заявників</w:t>
      </w:r>
    </w:p>
    <w:p w:rsidR="00D4256A" w:rsidRPr="000A38E5" w:rsidRDefault="00D4256A" w:rsidP="00D4256A">
      <w:pPr>
        <w:pStyle w:val="ECHRHeading7"/>
        <w:rPr>
          <w:lang w:val="uk-UA"/>
        </w:rPr>
      </w:pPr>
      <w:r w:rsidRPr="000A38E5">
        <w:rPr>
          <w:lang w:val="uk-UA"/>
        </w:rPr>
        <w:t>Загальні міркування</w:t>
      </w:r>
    </w:p>
    <w:p w:rsidR="00D4256A" w:rsidRPr="000A38E5" w:rsidRDefault="004E7608" w:rsidP="00D4256A">
      <w:pPr>
        <w:pStyle w:val="ECHRPara"/>
        <w:rPr>
          <w:lang w:val="ru-RU" w:bidi="en-US"/>
        </w:rPr>
      </w:pPr>
      <w:r w:rsidRPr="000A38E5">
        <w:rPr>
          <w:lang w:bidi="en-US"/>
        </w:rPr>
        <w:fldChar w:fldCharType="begin"/>
      </w:r>
      <w:r w:rsidR="00D4256A" w:rsidRPr="000A38E5">
        <w:rPr>
          <w:lang w:val="uk-UA" w:bidi="en-US"/>
        </w:rPr>
        <w:instrText xml:space="preserve"> </w:instrText>
      </w:r>
      <w:r w:rsidR="00D4256A" w:rsidRPr="000A38E5">
        <w:rPr>
          <w:lang w:bidi="en-US"/>
        </w:rPr>
        <w:instrText>SEQ</w:instrText>
      </w:r>
      <w:r w:rsidR="00D4256A" w:rsidRPr="000A38E5">
        <w:rPr>
          <w:lang w:val="uk-UA" w:bidi="en-US"/>
        </w:rPr>
        <w:instrText xml:space="preserve"> </w:instrText>
      </w:r>
      <w:r w:rsidR="00D4256A" w:rsidRPr="000A38E5">
        <w:rPr>
          <w:lang w:bidi="en-US"/>
        </w:rPr>
        <w:instrText>level</w:instrText>
      </w:r>
      <w:r w:rsidR="00D4256A" w:rsidRPr="000A38E5">
        <w:rPr>
          <w:lang w:val="uk-UA" w:bidi="en-US"/>
        </w:rPr>
        <w:instrText>0 \*</w:instrText>
      </w:r>
      <w:r w:rsidR="00D4256A" w:rsidRPr="000A38E5">
        <w:rPr>
          <w:lang w:bidi="en-US"/>
        </w:rPr>
        <w:instrText>arabic</w:instrText>
      </w:r>
      <w:r w:rsidR="00D4256A" w:rsidRPr="000A38E5">
        <w:rPr>
          <w:lang w:val="uk-UA" w:bidi="en-US"/>
        </w:rPr>
        <w:instrText xml:space="preserve"> </w:instrText>
      </w:r>
      <w:r w:rsidRPr="000A38E5">
        <w:rPr>
          <w:lang w:bidi="en-US"/>
        </w:rPr>
        <w:fldChar w:fldCharType="separate"/>
      </w:r>
      <w:r w:rsidR="00D4256A" w:rsidRPr="000A38E5">
        <w:rPr>
          <w:noProof/>
          <w:lang w:val="uk-UA" w:bidi="en-US"/>
        </w:rPr>
        <w:t>243</w:t>
      </w:r>
      <w:r w:rsidRPr="000A38E5">
        <w:rPr>
          <w:lang w:bidi="en-US"/>
        </w:rPr>
        <w:fldChar w:fldCharType="end"/>
      </w:r>
      <w:r w:rsidR="00D4256A" w:rsidRPr="000A38E5">
        <w:rPr>
          <w:lang w:val="uk-UA" w:bidi="en-US"/>
        </w:rPr>
        <w:t>.</w:t>
      </w:r>
      <w:r w:rsidR="00D4256A" w:rsidRPr="00E93710">
        <w:rPr>
          <w:lang w:val="uk-UA" w:bidi="en-US"/>
        </w:rPr>
        <w:t xml:space="preserve"> </w:t>
      </w:r>
      <w:r w:rsidR="00D4256A" w:rsidRPr="000A38E5">
        <w:rPr>
          <w:lang w:val="uk-UA" w:bidi="en-US"/>
        </w:rPr>
        <w:t xml:space="preserve">Суд відзначає, що як до початку будівельного проекту, так і після, опоненти могли протестувати проти нього </w:t>
      </w:r>
      <w:proofErr w:type="spellStart"/>
      <w:r w:rsidR="00D4256A" w:rsidRPr="000A38E5">
        <w:rPr>
          <w:lang w:val="uk-UA" w:bidi="en-US"/>
        </w:rPr>
        <w:t>необструктивно</w:t>
      </w:r>
      <w:proofErr w:type="spellEnd"/>
      <w:r w:rsidR="00D4256A" w:rsidRPr="000A38E5">
        <w:rPr>
          <w:lang w:val="uk-UA" w:bidi="en-US"/>
        </w:rPr>
        <w:t xml:space="preserve"> (див. пункт </w:t>
      </w:r>
      <w:fldSimple w:instr=" REF video_20_May \h  \* MERGEFORMAT ">
        <w:r w:rsidR="00D4256A" w:rsidRPr="000A38E5">
          <w:rPr>
            <w:noProof/>
            <w:lang w:val="uk-UA"/>
          </w:rPr>
          <w:t>31</w:t>
        </w:r>
      </w:fldSimple>
      <w:r w:rsidR="00D4256A" w:rsidRPr="000A38E5">
        <w:rPr>
          <w:lang w:val="uk-UA" w:bidi="en-US"/>
        </w:rPr>
        <w:t xml:space="preserve"> вище стосовно доказів </w:t>
      </w:r>
      <w:proofErr w:type="spellStart"/>
      <w:r w:rsidR="00D4256A" w:rsidRPr="000A38E5">
        <w:rPr>
          <w:lang w:val="uk-UA" w:bidi="en-US"/>
        </w:rPr>
        <w:t>протестної</w:t>
      </w:r>
      <w:proofErr w:type="spellEnd"/>
      <w:r w:rsidR="00D4256A" w:rsidRPr="000A38E5">
        <w:rPr>
          <w:lang w:val="uk-UA" w:bidi="en-US"/>
        </w:rPr>
        <w:t xml:space="preserve"> діяльності на стадії планування, та пункт </w:t>
      </w:r>
      <w:fldSimple w:instr=" REF regional_council_picket \h  \* MERGEFORMAT ">
        <w:r w:rsidR="00D4256A" w:rsidRPr="000A38E5">
          <w:rPr>
            <w:noProof/>
            <w:lang w:val="uk-UA"/>
          </w:rPr>
          <w:t>69</w:t>
        </w:r>
      </w:fldSimple>
      <w:r w:rsidR="00D4256A" w:rsidRPr="000A38E5">
        <w:rPr>
          <w:lang w:val="uk-UA" w:bidi="en-US"/>
        </w:rPr>
        <w:t xml:space="preserve"> вище стосовно пікетування обласної ради). Крім того, принаймні спочатку був продемонстрований певний рівень терпимості навіть по відношенню до обструктивної діяльності,</w:t>
      </w:r>
      <w:r w:rsidR="00D4256A" w:rsidRPr="000A38E5">
        <w:rPr>
          <w:lang w:val="ru-RU" w:bidi="en-US"/>
        </w:rPr>
        <w:t xml:space="preserve"> </w:t>
      </w:r>
      <w:r w:rsidR="00D4256A" w:rsidRPr="000A38E5">
        <w:rPr>
          <w:lang w:val="uk-UA" w:bidi="en-US"/>
        </w:rPr>
        <w:t>і в цей початковий період деякі протестуючі систематично</w:t>
      </w:r>
      <w:r w:rsidR="00D4256A" w:rsidRPr="000A38E5">
        <w:rPr>
          <w:lang w:val="ru-RU" w:bidi="en-US"/>
        </w:rPr>
        <w:t xml:space="preserve"> </w:t>
      </w:r>
      <w:r w:rsidR="00D4256A" w:rsidRPr="000A38E5">
        <w:rPr>
          <w:lang w:val="uk-UA" w:bidi="en-US"/>
        </w:rPr>
        <w:t>демонстрували дуже небезпечну поведінку</w:t>
      </w:r>
      <w:r w:rsidR="00D4256A" w:rsidRPr="000A38E5">
        <w:rPr>
          <w:lang w:val="ru-RU" w:bidi="en-US"/>
        </w:rPr>
        <w:t xml:space="preserve">, </w:t>
      </w:r>
      <w:r w:rsidR="00D4256A" w:rsidRPr="000A38E5">
        <w:rPr>
          <w:lang w:val="uk-UA" w:bidi="en-US"/>
        </w:rPr>
        <w:t>таку як наближення до бензопил</w:t>
      </w:r>
      <w:r w:rsidR="00D4256A" w:rsidRPr="000A38E5">
        <w:rPr>
          <w:lang w:val="ru-RU" w:bidi="en-US"/>
        </w:rPr>
        <w:t xml:space="preserve"> (</w:t>
      </w:r>
      <w:r w:rsidR="00D4256A" w:rsidRPr="000A38E5">
        <w:rPr>
          <w:lang w:val="uk-UA" w:bidi="en-US"/>
        </w:rPr>
        <w:t>див. пункти</w:t>
      </w:r>
      <w:r w:rsidR="00D4256A" w:rsidRPr="000A38E5">
        <w:rPr>
          <w:lang w:val="ru-RU" w:bidi="en-US"/>
        </w:rPr>
        <w:t xml:space="preserve"> </w:t>
      </w:r>
      <w:fldSimple w:instr=" REF video_24_May \h  \* MERGEFORMAT ">
        <w:r w:rsidR="00D4256A" w:rsidRPr="000A38E5">
          <w:rPr>
            <w:noProof/>
            <w:lang w:val="ru-RU"/>
          </w:rPr>
          <w:t>34</w:t>
        </w:r>
      </w:fldSimple>
      <w:r w:rsidR="00D4256A" w:rsidRPr="000A38E5">
        <w:rPr>
          <w:lang w:val="ru-RU" w:bidi="en-US"/>
        </w:rPr>
        <w:t xml:space="preserve"> </w:t>
      </w:r>
      <w:r w:rsidR="00D4256A" w:rsidRPr="000A38E5">
        <w:rPr>
          <w:lang w:val="uk-UA" w:bidi="en-US"/>
        </w:rPr>
        <w:t>та</w:t>
      </w:r>
      <w:r w:rsidR="00D4256A" w:rsidRPr="000A38E5">
        <w:rPr>
          <w:lang w:val="ru-RU" w:bidi="en-US"/>
        </w:rPr>
        <w:t xml:space="preserve"> </w:t>
      </w:r>
      <w:fldSimple w:instr=" REF video_25_May \h  \* MERGEFORMAT ">
        <w:r w:rsidR="00D4256A" w:rsidRPr="000A38E5">
          <w:rPr>
            <w:noProof/>
            <w:lang w:val="ru-RU"/>
          </w:rPr>
          <w:t>35</w:t>
        </w:r>
      </w:fldSimple>
      <w:r w:rsidR="00D4256A" w:rsidRPr="000A38E5">
        <w:rPr>
          <w:lang w:val="ru-RU" w:bidi="en-US"/>
        </w:rPr>
        <w:t xml:space="preserve"> </w:t>
      </w:r>
      <w:r w:rsidR="00D4256A" w:rsidRPr="000A38E5">
        <w:rPr>
          <w:lang w:val="uk-UA" w:bidi="en-US"/>
        </w:rPr>
        <w:t>вище стосовно відеозаписів за</w:t>
      </w:r>
      <w:r w:rsidR="00D4256A" w:rsidRPr="000A38E5">
        <w:rPr>
          <w:lang w:val="ru-RU" w:bidi="en-US"/>
        </w:rPr>
        <w:t xml:space="preserve"> 24 </w:t>
      </w:r>
      <w:r w:rsidR="00D4256A" w:rsidRPr="000A38E5">
        <w:rPr>
          <w:lang w:val="uk-UA" w:bidi="en-US"/>
        </w:rPr>
        <w:t>та 24 травня</w:t>
      </w:r>
      <w:r w:rsidR="00D4256A" w:rsidRPr="000A38E5">
        <w:rPr>
          <w:lang w:val="ru-RU" w:bidi="en-US"/>
        </w:rPr>
        <w:t xml:space="preserve">). </w:t>
      </w:r>
      <w:r w:rsidR="00D4256A" w:rsidRPr="000A38E5">
        <w:rPr>
          <w:lang w:val="uk-UA" w:bidi="en-US"/>
        </w:rPr>
        <w:t>На той час, як заявники були заарештовані</w:t>
      </w:r>
      <w:r w:rsidR="00D4256A" w:rsidRPr="000A38E5">
        <w:rPr>
          <w:lang w:val="ru-RU" w:bidi="en-US"/>
        </w:rPr>
        <w:t xml:space="preserve">, </w:t>
      </w:r>
      <w:r w:rsidR="00D4256A" w:rsidRPr="000A38E5">
        <w:rPr>
          <w:lang w:val="uk-UA" w:bidi="en-US"/>
        </w:rPr>
        <w:t>значна громадська увага вже була привернута до цієї проблеми</w:t>
      </w:r>
      <w:r w:rsidR="00D4256A" w:rsidRPr="000A38E5">
        <w:rPr>
          <w:lang w:val="ru-RU" w:bidi="en-US"/>
        </w:rPr>
        <w:t xml:space="preserve"> (</w:t>
      </w:r>
      <w:r w:rsidR="00D4256A" w:rsidRPr="000A38E5">
        <w:rPr>
          <w:lang w:val="uk-UA" w:bidi="en-US"/>
        </w:rPr>
        <w:t>порівняйте</w:t>
      </w:r>
      <w:r w:rsidR="00D4256A" w:rsidRPr="000A38E5">
        <w:rPr>
          <w:lang w:val="ru-RU" w:bidi="en-US"/>
        </w:rPr>
        <w:t xml:space="preserve"> </w:t>
      </w:r>
      <w:proofErr w:type="spellStart"/>
      <w:r w:rsidR="00D4256A" w:rsidRPr="000A38E5">
        <w:rPr>
          <w:i/>
          <w:lang w:bidi="en-US"/>
        </w:rPr>
        <w:t>Cisse</w:t>
      </w:r>
      <w:proofErr w:type="spellEnd"/>
      <w:r w:rsidR="00D4256A" w:rsidRPr="000A38E5">
        <w:rPr>
          <w:i/>
          <w:lang w:val="ru-RU" w:bidi="en-US"/>
        </w:rPr>
        <w:t xml:space="preserve"> </w:t>
      </w:r>
      <w:r w:rsidR="00D4256A" w:rsidRPr="000A38E5">
        <w:rPr>
          <w:i/>
          <w:lang w:bidi="en-US"/>
        </w:rPr>
        <w:t>v</w:t>
      </w:r>
      <w:r w:rsidR="00D4256A" w:rsidRPr="000A38E5">
        <w:rPr>
          <w:i/>
          <w:lang w:val="ru-RU" w:bidi="en-US"/>
        </w:rPr>
        <w:t xml:space="preserve">. </w:t>
      </w:r>
      <w:r w:rsidR="00D4256A" w:rsidRPr="000A38E5">
        <w:rPr>
          <w:i/>
          <w:lang w:bidi="en-US"/>
        </w:rPr>
        <w:t>France</w:t>
      </w:r>
      <w:r w:rsidR="00D4256A" w:rsidRPr="000A38E5">
        <w:rPr>
          <w:lang w:val="ru-RU" w:bidi="en-US"/>
        </w:rPr>
        <w:t xml:space="preserve">, </w:t>
      </w:r>
      <w:r w:rsidR="00D4256A" w:rsidRPr="000A38E5">
        <w:rPr>
          <w:lang w:val="uk-UA" w:bidi="en-US"/>
        </w:rPr>
        <w:t>№</w:t>
      </w:r>
      <w:r w:rsidR="00D4256A" w:rsidRPr="000A38E5">
        <w:rPr>
          <w:lang w:bidi="en-US"/>
        </w:rPr>
        <w:t> </w:t>
      </w:r>
      <w:r w:rsidR="00D4256A" w:rsidRPr="000A38E5">
        <w:rPr>
          <w:lang w:val="ru-RU" w:bidi="en-US"/>
        </w:rPr>
        <w:t xml:space="preserve">51346/99, §§ 51 </w:t>
      </w:r>
      <w:r w:rsidR="00D4256A" w:rsidRPr="000A38E5">
        <w:rPr>
          <w:lang w:val="uk-UA" w:bidi="en-US"/>
        </w:rPr>
        <w:t>та</w:t>
      </w:r>
      <w:r w:rsidR="00D4256A" w:rsidRPr="000A38E5">
        <w:rPr>
          <w:lang w:bidi="en-US"/>
        </w:rPr>
        <w:t> </w:t>
      </w:r>
      <w:r w:rsidR="00D4256A" w:rsidRPr="000A38E5">
        <w:rPr>
          <w:lang w:val="ru-RU" w:bidi="en-US"/>
        </w:rPr>
        <w:t xml:space="preserve">52, </w:t>
      </w:r>
      <w:r w:rsidR="00D4256A" w:rsidRPr="000A38E5">
        <w:rPr>
          <w:lang w:bidi="en-US"/>
        </w:rPr>
        <w:t>ECHR</w:t>
      </w:r>
      <w:r w:rsidR="00D4256A" w:rsidRPr="000A38E5">
        <w:rPr>
          <w:lang w:val="ru-RU" w:bidi="en-US"/>
        </w:rPr>
        <w:t xml:space="preserve"> 2002</w:t>
      </w:r>
      <w:r w:rsidR="00D4256A" w:rsidRPr="000A38E5">
        <w:rPr>
          <w:lang w:val="ru-RU" w:bidi="en-US"/>
        </w:rPr>
        <w:noBreakHyphen/>
      </w:r>
      <w:r w:rsidR="00D4256A" w:rsidRPr="000A38E5">
        <w:rPr>
          <w:lang w:bidi="en-US"/>
        </w:rPr>
        <w:t>III</w:t>
      </w:r>
      <w:r w:rsidR="00D4256A" w:rsidRPr="000A38E5">
        <w:rPr>
          <w:lang w:val="ru-RU" w:bidi="en-US"/>
        </w:rPr>
        <w:t xml:space="preserve">, </w:t>
      </w:r>
      <w:r w:rsidR="00D4256A" w:rsidRPr="000A38E5">
        <w:rPr>
          <w:lang w:val="uk-UA" w:bidi="en-US"/>
        </w:rPr>
        <w:t>та</w:t>
      </w:r>
      <w:r w:rsidR="00D4256A" w:rsidRPr="000A38E5">
        <w:rPr>
          <w:lang w:val="ru-RU" w:bidi="en-US"/>
        </w:rPr>
        <w:t xml:space="preserve"> </w:t>
      </w:r>
      <w:r w:rsidR="00D4256A" w:rsidRPr="000A38E5">
        <w:rPr>
          <w:i/>
          <w:lang w:val="ru-RU" w:bidi="en-US"/>
        </w:rPr>
        <w:t>Ç</w:t>
      </w:r>
      <w:proofErr w:type="spellStart"/>
      <w:r w:rsidR="00D4256A" w:rsidRPr="000A38E5">
        <w:rPr>
          <w:i/>
          <w:lang w:bidi="en-US"/>
        </w:rPr>
        <w:t>ilo</w:t>
      </w:r>
      <w:r w:rsidR="00D4256A" w:rsidRPr="000A38E5">
        <w:rPr>
          <w:i/>
          <w:lang w:val="ru-RU" w:bidi="en-US"/>
        </w:rPr>
        <w:t>ğ</w:t>
      </w:r>
      <w:r w:rsidR="00D4256A" w:rsidRPr="000A38E5">
        <w:rPr>
          <w:i/>
          <w:lang w:bidi="en-US"/>
        </w:rPr>
        <w:t>lu</w:t>
      </w:r>
      <w:proofErr w:type="spellEnd"/>
      <w:r w:rsidR="00D4256A" w:rsidRPr="000A38E5">
        <w:rPr>
          <w:i/>
          <w:lang w:val="ru-RU" w:bidi="en-US"/>
        </w:rPr>
        <w:t xml:space="preserve"> </w:t>
      </w:r>
      <w:r w:rsidR="00D4256A" w:rsidRPr="000A38E5">
        <w:rPr>
          <w:i/>
          <w:lang w:bidi="en-US"/>
        </w:rPr>
        <w:t>and</w:t>
      </w:r>
      <w:r w:rsidR="00D4256A" w:rsidRPr="000A38E5">
        <w:rPr>
          <w:i/>
          <w:lang w:val="ru-RU" w:bidi="en-US"/>
        </w:rPr>
        <w:t xml:space="preserve"> </w:t>
      </w:r>
      <w:r w:rsidR="00D4256A" w:rsidRPr="000A38E5">
        <w:rPr>
          <w:i/>
          <w:lang w:bidi="en-US"/>
        </w:rPr>
        <w:t>Others</w:t>
      </w:r>
      <w:r w:rsidR="00D4256A" w:rsidRPr="000A38E5">
        <w:rPr>
          <w:i/>
          <w:lang w:val="ru-RU" w:bidi="en-US"/>
        </w:rPr>
        <w:t xml:space="preserve"> </w:t>
      </w:r>
      <w:r w:rsidR="00D4256A" w:rsidRPr="000A38E5">
        <w:rPr>
          <w:i/>
          <w:lang w:bidi="en-US"/>
        </w:rPr>
        <w:t>v</w:t>
      </w:r>
      <w:r w:rsidR="00D4256A" w:rsidRPr="000A38E5">
        <w:rPr>
          <w:i/>
          <w:lang w:val="ru-RU" w:bidi="en-US"/>
        </w:rPr>
        <w:t>.</w:t>
      </w:r>
      <w:r w:rsidR="00D4256A" w:rsidRPr="000A38E5">
        <w:rPr>
          <w:i/>
          <w:lang w:bidi="en-US"/>
        </w:rPr>
        <w:t> Turkey</w:t>
      </w:r>
      <w:r w:rsidR="00D4256A" w:rsidRPr="000A38E5">
        <w:rPr>
          <w:lang w:val="ru-RU" w:bidi="en-US"/>
        </w:rPr>
        <w:t xml:space="preserve">, </w:t>
      </w:r>
      <w:r w:rsidR="00D4256A" w:rsidRPr="000A38E5">
        <w:rPr>
          <w:lang w:val="uk-UA" w:bidi="en-US"/>
        </w:rPr>
        <w:t>№</w:t>
      </w:r>
      <w:r w:rsidR="00D4256A" w:rsidRPr="000A38E5">
        <w:rPr>
          <w:lang w:bidi="en-US"/>
        </w:rPr>
        <w:t> </w:t>
      </w:r>
      <w:r w:rsidR="00D4256A" w:rsidRPr="000A38E5">
        <w:rPr>
          <w:lang w:val="ru-RU" w:bidi="en-US"/>
        </w:rPr>
        <w:t>73333/01, §</w:t>
      </w:r>
      <w:r w:rsidR="00D4256A" w:rsidRPr="000A38E5">
        <w:rPr>
          <w:lang w:bidi="en-US"/>
        </w:rPr>
        <w:t> </w:t>
      </w:r>
      <w:r w:rsidR="00D4256A" w:rsidRPr="000A38E5">
        <w:rPr>
          <w:lang w:val="ru-RU" w:bidi="en-US"/>
        </w:rPr>
        <w:t xml:space="preserve">51, 6 </w:t>
      </w:r>
      <w:r w:rsidR="00D4256A" w:rsidRPr="000A38E5">
        <w:rPr>
          <w:lang w:val="uk-UA" w:bidi="en-US"/>
        </w:rPr>
        <w:t>березня</w:t>
      </w:r>
      <w:r w:rsidR="00D4256A" w:rsidRPr="000A38E5">
        <w:rPr>
          <w:lang w:val="ru-RU" w:bidi="en-US"/>
        </w:rPr>
        <w:t xml:space="preserve"> 2007). </w:t>
      </w:r>
      <w:r w:rsidR="00D4256A" w:rsidRPr="000A38E5">
        <w:rPr>
          <w:lang w:val="uk-UA" w:bidi="en-US"/>
        </w:rPr>
        <w:t>Опоненти також активно користувалися своїм правом на звернення щодо проекту</w:t>
      </w:r>
      <w:r w:rsidR="00D4256A" w:rsidRPr="000A38E5">
        <w:rPr>
          <w:lang w:val="ru-RU" w:bidi="en-US"/>
        </w:rPr>
        <w:t xml:space="preserve"> (</w:t>
      </w:r>
      <w:r w:rsidR="00D4256A" w:rsidRPr="000A38E5">
        <w:rPr>
          <w:lang w:val="uk-UA" w:bidi="en-US"/>
        </w:rPr>
        <w:t>див. перелік різних органів та організацій,</w:t>
      </w:r>
      <w:r w:rsidR="00D4256A" w:rsidRPr="000A38E5">
        <w:rPr>
          <w:lang w:val="ru-RU" w:bidi="en-US"/>
        </w:rPr>
        <w:t xml:space="preserve"> </w:t>
      </w:r>
      <w:r w:rsidR="00D4256A" w:rsidRPr="000A38E5">
        <w:rPr>
          <w:lang w:val="uk-UA" w:bidi="en-US"/>
        </w:rPr>
        <w:t>які скаржилися правоохоронним органам стосовно проекту у пункті</w:t>
      </w:r>
      <w:r w:rsidR="00D4256A" w:rsidRPr="000A38E5">
        <w:rPr>
          <w:lang w:val="ru-RU" w:bidi="en-US"/>
        </w:rPr>
        <w:t xml:space="preserve"> </w:t>
      </w:r>
      <w:fldSimple w:instr=" REF complaints_investigated \h  \* MERGEFORMAT ">
        <w:r w:rsidR="00D4256A" w:rsidRPr="000A38E5">
          <w:rPr>
            <w:noProof/>
            <w:lang w:val="ru-RU"/>
          </w:rPr>
          <w:t>81</w:t>
        </w:r>
      </w:fldSimple>
      <w:r w:rsidR="00D4256A" w:rsidRPr="000A38E5">
        <w:rPr>
          <w:lang w:val="ru-RU" w:bidi="en-US"/>
        </w:rPr>
        <w:t xml:space="preserve"> </w:t>
      </w:r>
      <w:r w:rsidR="00D4256A" w:rsidRPr="000A38E5">
        <w:rPr>
          <w:lang w:val="uk-UA" w:bidi="en-US"/>
        </w:rPr>
        <w:t>вище</w:t>
      </w:r>
      <w:r w:rsidR="00D4256A" w:rsidRPr="000A38E5">
        <w:rPr>
          <w:lang w:val="ru-RU" w:bidi="en-US"/>
        </w:rPr>
        <w:t xml:space="preserve"> </w:t>
      </w:r>
      <w:r w:rsidR="00D4256A" w:rsidRPr="000A38E5">
        <w:rPr>
          <w:lang w:val="uk-UA" w:bidi="en-US"/>
        </w:rPr>
        <w:t>та конституційне положення стосовно права на клопотання</w:t>
      </w:r>
      <w:r w:rsidR="00D4256A" w:rsidRPr="000A38E5">
        <w:rPr>
          <w:lang w:val="ru-RU" w:bidi="en-US"/>
        </w:rPr>
        <w:t xml:space="preserve"> </w:t>
      </w:r>
      <w:r w:rsidR="00D4256A" w:rsidRPr="000A38E5">
        <w:rPr>
          <w:lang w:val="uk-UA" w:bidi="en-US"/>
        </w:rPr>
        <w:t>і законодавство з його застосуванням у пунктах</w:t>
      </w:r>
      <w:r w:rsidR="00D4256A" w:rsidRPr="000A38E5">
        <w:rPr>
          <w:lang w:val="ru-RU" w:bidi="en-US"/>
        </w:rPr>
        <w:t xml:space="preserve"> </w:t>
      </w:r>
      <w:fldSimple w:instr=" REF Constitution_A39 \h  \* MERGEFORMAT ">
        <w:r w:rsidR="00D4256A" w:rsidRPr="000A38E5">
          <w:rPr>
            <w:noProof/>
            <w:lang w:val="ru-RU" w:eastAsia="en-GB"/>
          </w:rPr>
          <w:t>93</w:t>
        </w:r>
      </w:fldSimple>
      <w:r w:rsidR="00D4256A" w:rsidRPr="000A38E5">
        <w:rPr>
          <w:lang w:val="ru-RU" w:bidi="en-US"/>
        </w:rPr>
        <w:t xml:space="preserve"> </w:t>
      </w:r>
      <w:r w:rsidR="00D4256A" w:rsidRPr="000A38E5">
        <w:rPr>
          <w:lang w:val="uk-UA" w:bidi="en-US"/>
        </w:rPr>
        <w:t>та</w:t>
      </w:r>
      <w:r w:rsidR="00D4256A" w:rsidRPr="000A38E5">
        <w:rPr>
          <w:lang w:val="ru-RU" w:bidi="en-US"/>
        </w:rPr>
        <w:t xml:space="preserve"> </w:t>
      </w:r>
      <w:fldSimple w:instr=" REF Petitions_Act \h  \* MERGEFORMAT ">
        <w:r w:rsidR="00D4256A" w:rsidRPr="000A38E5">
          <w:rPr>
            <w:noProof/>
            <w:lang w:val="ru-RU"/>
          </w:rPr>
          <w:t>104</w:t>
        </w:r>
      </w:fldSimple>
      <w:r w:rsidR="00D4256A" w:rsidRPr="000A38E5">
        <w:rPr>
          <w:lang w:val="ru-RU" w:bidi="en-US"/>
        </w:rPr>
        <w:t xml:space="preserve"> </w:t>
      </w:r>
      <w:r w:rsidR="00D4256A" w:rsidRPr="000A38E5">
        <w:rPr>
          <w:lang w:val="uk-UA" w:bidi="en-US"/>
        </w:rPr>
        <w:t>вище</w:t>
      </w:r>
      <w:r w:rsidR="00D4256A" w:rsidRPr="000A38E5">
        <w:rPr>
          <w:lang w:val="ru-RU" w:bidi="en-US"/>
        </w:rPr>
        <w:t xml:space="preserve">). </w:t>
      </w:r>
      <w:r w:rsidR="00D4256A" w:rsidRPr="000A38E5">
        <w:rPr>
          <w:lang w:val="uk-UA" w:bidi="en-US"/>
        </w:rPr>
        <w:t>Крім того, видається, що органи влади відреагували на протести</w:t>
      </w:r>
      <w:r w:rsidR="00D4256A" w:rsidRPr="000A38E5">
        <w:rPr>
          <w:lang w:val="ru-RU" w:bidi="en-US"/>
        </w:rPr>
        <w:t xml:space="preserve"> </w:t>
      </w:r>
      <w:r w:rsidR="00D4256A" w:rsidRPr="000A38E5">
        <w:rPr>
          <w:lang w:val="uk-UA" w:bidi="en-US"/>
        </w:rPr>
        <w:t>наказом посадити значно більшу кількість дерев</w:t>
      </w:r>
      <w:r w:rsidR="00D4256A" w:rsidRPr="000A38E5">
        <w:rPr>
          <w:lang w:val="ru-RU" w:bidi="en-US"/>
        </w:rPr>
        <w:t xml:space="preserve"> (</w:t>
      </w:r>
      <w:r w:rsidR="00D4256A" w:rsidRPr="000A38E5">
        <w:rPr>
          <w:lang w:val="uk-UA" w:bidi="en-US"/>
        </w:rPr>
        <w:t>див.</w:t>
      </w:r>
      <w:r w:rsidR="00D4256A" w:rsidRPr="000A38E5">
        <w:rPr>
          <w:lang w:val="ru-RU" w:bidi="en-US"/>
        </w:rPr>
        <w:t xml:space="preserve"> </w:t>
      </w:r>
      <w:r w:rsidR="00D4256A" w:rsidRPr="000A38E5">
        <w:rPr>
          <w:lang w:val="uk-UA" w:bidi="en-US"/>
        </w:rPr>
        <w:t>пункт</w:t>
      </w:r>
      <w:r w:rsidR="00D4256A" w:rsidRPr="000A38E5">
        <w:rPr>
          <w:lang w:val="ru-RU" w:bidi="en-US"/>
        </w:rPr>
        <w:t xml:space="preserve"> </w:t>
      </w:r>
      <w:fldSimple w:instr=" REF replanting_decision \h  \* MERGEFORMAT ">
        <w:r w:rsidR="00D4256A" w:rsidRPr="000A38E5">
          <w:rPr>
            <w:noProof/>
            <w:lang w:val="ru-RU"/>
          </w:rPr>
          <w:t>71</w:t>
        </w:r>
      </w:fldSimple>
      <w:r w:rsidR="00D4256A" w:rsidRPr="000A38E5">
        <w:rPr>
          <w:lang w:val="ru-RU" w:bidi="en-US"/>
        </w:rPr>
        <w:t xml:space="preserve"> </w:t>
      </w:r>
      <w:r w:rsidR="00D4256A" w:rsidRPr="000A38E5">
        <w:rPr>
          <w:lang w:val="uk-UA" w:bidi="en-US"/>
        </w:rPr>
        <w:t>вище</w:t>
      </w:r>
      <w:r w:rsidR="00D4256A" w:rsidRPr="000A38E5">
        <w:rPr>
          <w:lang w:val="ru-RU" w:bidi="en-US"/>
        </w:rPr>
        <w:t>).</w:t>
      </w:r>
    </w:p>
    <w:p w:rsidR="00D4256A" w:rsidRPr="000A38E5" w:rsidRDefault="004E7608" w:rsidP="00D4256A">
      <w:pPr>
        <w:pStyle w:val="ECHRPara"/>
        <w:rPr>
          <w:lang w:val="uk-UA" w:bidi="en-US"/>
        </w:rPr>
      </w:pPr>
      <w:r w:rsidRPr="000A38E5">
        <w:rPr>
          <w:lang w:bidi="en-US"/>
        </w:rPr>
        <w:fldChar w:fldCharType="begin"/>
      </w:r>
      <w:r w:rsidR="00D4256A" w:rsidRPr="000A38E5">
        <w:rPr>
          <w:lang w:val="ru-RU" w:bidi="en-US"/>
        </w:rPr>
        <w:instrText xml:space="preserve"> </w:instrText>
      </w:r>
      <w:r w:rsidR="00D4256A" w:rsidRPr="000A38E5">
        <w:rPr>
          <w:lang w:bidi="en-US"/>
        </w:rPr>
        <w:instrText>SEQ</w:instrText>
      </w:r>
      <w:r w:rsidR="00D4256A" w:rsidRPr="000A38E5">
        <w:rPr>
          <w:lang w:val="ru-RU" w:bidi="en-US"/>
        </w:rPr>
        <w:instrText xml:space="preserve"> </w:instrText>
      </w:r>
      <w:r w:rsidR="00D4256A" w:rsidRPr="000A38E5">
        <w:rPr>
          <w:lang w:bidi="en-US"/>
        </w:rPr>
        <w:instrText>level</w:instrText>
      </w:r>
      <w:r w:rsidR="00D4256A" w:rsidRPr="000A38E5">
        <w:rPr>
          <w:lang w:val="ru-RU" w:bidi="en-US"/>
        </w:rPr>
        <w:instrText>0 \*</w:instrText>
      </w:r>
      <w:r w:rsidR="00D4256A" w:rsidRPr="000A38E5">
        <w:rPr>
          <w:lang w:bidi="en-US"/>
        </w:rPr>
        <w:instrText>arabic</w:instrText>
      </w:r>
      <w:r w:rsidR="00D4256A" w:rsidRPr="000A38E5">
        <w:rPr>
          <w:lang w:val="ru-RU" w:bidi="en-US"/>
        </w:rPr>
        <w:instrText xml:space="preserve"> </w:instrText>
      </w:r>
      <w:r w:rsidRPr="000A38E5">
        <w:rPr>
          <w:lang w:bidi="en-US"/>
        </w:rPr>
        <w:fldChar w:fldCharType="separate"/>
      </w:r>
      <w:r w:rsidR="00D4256A" w:rsidRPr="000A38E5">
        <w:rPr>
          <w:noProof/>
          <w:lang w:val="ru-RU" w:bidi="en-US"/>
        </w:rPr>
        <w:t>244</w:t>
      </w:r>
      <w:r w:rsidRPr="000A38E5">
        <w:rPr>
          <w:lang w:bidi="en-US"/>
        </w:rPr>
        <w:fldChar w:fldCharType="end"/>
      </w:r>
      <w:r w:rsidR="00D4256A" w:rsidRPr="000A38E5">
        <w:rPr>
          <w:lang w:val="ru-RU" w:bidi="en-US"/>
        </w:rPr>
        <w:t>.</w:t>
      </w:r>
      <w:r w:rsidR="00D4256A" w:rsidRPr="00E93710">
        <w:rPr>
          <w:lang w:val="ru-RU" w:bidi="en-US"/>
        </w:rPr>
        <w:t xml:space="preserve"> </w:t>
      </w:r>
      <w:r w:rsidR="00D4256A" w:rsidRPr="000A38E5">
        <w:rPr>
          <w:lang w:val="uk-UA" w:bidi="en-US"/>
        </w:rPr>
        <w:t>На жаль, заявники не пояснили Суду,</w:t>
      </w:r>
      <w:r w:rsidR="00D4256A" w:rsidRPr="000A38E5">
        <w:rPr>
          <w:lang w:val="ru-RU" w:bidi="en-US"/>
        </w:rPr>
        <w:t xml:space="preserve"> </w:t>
      </w:r>
      <w:r w:rsidR="00D4256A" w:rsidRPr="000A38E5">
        <w:rPr>
          <w:lang w:val="uk-UA" w:bidi="en-US"/>
        </w:rPr>
        <w:t>які судові засоби правового захисту були або не були використані</w:t>
      </w:r>
      <w:r w:rsidR="00D4256A" w:rsidRPr="000A38E5">
        <w:rPr>
          <w:lang w:val="ru-RU" w:bidi="en-US"/>
        </w:rPr>
        <w:t xml:space="preserve"> (</w:t>
      </w:r>
      <w:r w:rsidR="00D4256A" w:rsidRPr="000A38E5">
        <w:rPr>
          <w:lang w:val="uk-UA" w:bidi="en-US"/>
        </w:rPr>
        <w:t>і у другому випадку, на якій підставі</w:t>
      </w:r>
      <w:r w:rsidR="00D4256A" w:rsidRPr="000A38E5">
        <w:rPr>
          <w:lang w:val="ru-RU" w:bidi="en-US"/>
        </w:rPr>
        <w:t xml:space="preserve">) </w:t>
      </w:r>
      <w:r w:rsidR="00D4256A" w:rsidRPr="000A38E5">
        <w:rPr>
          <w:lang w:val="uk-UA" w:bidi="en-US"/>
        </w:rPr>
        <w:t>опонентами проекту</w:t>
      </w:r>
      <w:r w:rsidR="00D4256A" w:rsidRPr="000A38E5">
        <w:rPr>
          <w:lang w:val="ru-RU" w:bidi="en-US"/>
        </w:rPr>
        <w:t xml:space="preserve">, </w:t>
      </w:r>
      <w:r w:rsidR="00D4256A" w:rsidRPr="000A38E5">
        <w:rPr>
          <w:lang w:val="uk-UA" w:bidi="en-US"/>
        </w:rPr>
        <w:t>хоча в матеріалах справи є вказівки,</w:t>
      </w:r>
      <w:r w:rsidR="00D4256A" w:rsidRPr="000A38E5">
        <w:rPr>
          <w:lang w:val="ru-RU" w:bidi="en-US"/>
        </w:rPr>
        <w:t xml:space="preserve"> </w:t>
      </w:r>
      <w:r w:rsidR="00D4256A" w:rsidRPr="000A38E5">
        <w:rPr>
          <w:lang w:val="uk-UA" w:bidi="en-US"/>
        </w:rPr>
        <w:t>що певні судові провадження були порушені стосовно проекту третіми сторонами</w:t>
      </w:r>
      <w:r w:rsidR="00D4256A" w:rsidRPr="000A38E5">
        <w:rPr>
          <w:lang w:val="ru-RU" w:bidi="en-US"/>
        </w:rPr>
        <w:t xml:space="preserve"> (</w:t>
      </w:r>
      <w:r w:rsidR="00D4256A" w:rsidRPr="000A38E5">
        <w:rPr>
          <w:lang w:val="uk-UA" w:bidi="en-US"/>
        </w:rPr>
        <w:t>див. пункт</w:t>
      </w:r>
      <w:r w:rsidR="00D4256A" w:rsidRPr="000A38E5">
        <w:rPr>
          <w:lang w:val="ru-RU" w:bidi="en-US"/>
        </w:rPr>
        <w:t xml:space="preserve"> </w:t>
      </w:r>
      <w:fldSimple w:instr=" REF complaints_investigated \h  \* MERGEFORMAT ">
        <w:r w:rsidR="00D4256A" w:rsidRPr="000A38E5">
          <w:rPr>
            <w:noProof/>
            <w:lang w:val="ru-RU"/>
          </w:rPr>
          <w:t>81</w:t>
        </w:r>
      </w:fldSimple>
      <w:r w:rsidR="00D4256A" w:rsidRPr="000A38E5">
        <w:rPr>
          <w:lang w:val="ru-RU" w:bidi="en-US"/>
        </w:rPr>
        <w:t xml:space="preserve"> </w:t>
      </w:r>
      <w:r w:rsidR="00D4256A" w:rsidRPr="000A38E5">
        <w:rPr>
          <w:lang w:val="uk-UA" w:bidi="en-US"/>
        </w:rPr>
        <w:t>вище</w:t>
      </w:r>
      <w:r w:rsidR="00D4256A" w:rsidRPr="000A38E5">
        <w:rPr>
          <w:lang w:val="ru-RU" w:bidi="en-US"/>
        </w:rPr>
        <w:t xml:space="preserve">). </w:t>
      </w:r>
      <w:r w:rsidR="00D4256A" w:rsidRPr="000A38E5">
        <w:rPr>
          <w:lang w:val="uk-UA" w:bidi="en-US"/>
        </w:rPr>
        <w:t>Видається, що заявники також не поставили це питання у національних судах,</w:t>
      </w:r>
      <w:r w:rsidR="00D4256A" w:rsidRPr="000A38E5">
        <w:rPr>
          <w:lang w:val="ru-RU" w:bidi="en-US"/>
        </w:rPr>
        <w:t xml:space="preserve"> </w:t>
      </w:r>
      <w:r w:rsidR="00D4256A" w:rsidRPr="000A38E5">
        <w:rPr>
          <w:lang w:val="uk-UA" w:bidi="en-US"/>
        </w:rPr>
        <w:t>які їх судили</w:t>
      </w:r>
      <w:r w:rsidR="00D4256A" w:rsidRPr="000A38E5">
        <w:rPr>
          <w:lang w:val="ru-RU" w:bidi="en-US"/>
        </w:rPr>
        <w:t xml:space="preserve"> (</w:t>
      </w:r>
      <w:r w:rsidR="00D4256A" w:rsidRPr="000A38E5">
        <w:rPr>
          <w:lang w:val="uk-UA" w:bidi="en-US"/>
        </w:rPr>
        <w:t>див., наприклад, пункт</w:t>
      </w:r>
      <w:r w:rsidR="00D4256A" w:rsidRPr="000A38E5">
        <w:rPr>
          <w:lang w:val="ru-RU" w:bidi="en-US"/>
        </w:rPr>
        <w:t xml:space="preserve"> </w:t>
      </w:r>
      <w:fldSimple w:instr=" REF sixth_app_CoA \h  \* MERGEFORMAT ">
        <w:r w:rsidR="00D4256A" w:rsidRPr="000A38E5">
          <w:rPr>
            <w:noProof/>
            <w:lang w:val="ru-RU"/>
          </w:rPr>
          <w:t>68</w:t>
        </w:r>
      </w:fldSimple>
      <w:r w:rsidR="00D4256A" w:rsidRPr="000A38E5">
        <w:rPr>
          <w:lang w:val="ru-RU" w:bidi="en-US"/>
        </w:rPr>
        <w:t xml:space="preserve"> </w:t>
      </w:r>
      <w:r w:rsidR="00D4256A" w:rsidRPr="000A38E5">
        <w:rPr>
          <w:lang w:val="uk-UA" w:bidi="en-US"/>
        </w:rPr>
        <w:t>вище стосовно шостого заявника</w:t>
      </w:r>
      <w:r w:rsidR="00D4256A" w:rsidRPr="000A38E5">
        <w:rPr>
          <w:lang w:val="ru-RU" w:bidi="en-US"/>
        </w:rPr>
        <w:t xml:space="preserve">). </w:t>
      </w:r>
      <w:r w:rsidR="00D4256A" w:rsidRPr="000A38E5">
        <w:rPr>
          <w:lang w:val="uk-UA" w:bidi="en-US"/>
        </w:rPr>
        <w:t xml:space="preserve">У будь-якому разі, ніщо не вказує, що такі судові засоби правового захисту не були доступні протестуючим (порівняйте з </w:t>
      </w:r>
      <w:proofErr w:type="spellStart"/>
      <w:r w:rsidR="00D4256A" w:rsidRPr="000A38E5">
        <w:rPr>
          <w:i/>
          <w:lang w:bidi="en-US"/>
        </w:rPr>
        <w:t>Kudrevi</w:t>
      </w:r>
      <w:proofErr w:type="spellEnd"/>
      <w:r w:rsidR="00D4256A" w:rsidRPr="000A38E5">
        <w:rPr>
          <w:i/>
          <w:lang w:val="uk-UA" w:bidi="en-US"/>
        </w:rPr>
        <w:t>č</w:t>
      </w:r>
      <w:proofErr w:type="spellStart"/>
      <w:r w:rsidR="00D4256A" w:rsidRPr="000A38E5">
        <w:rPr>
          <w:i/>
          <w:lang w:bidi="en-US"/>
        </w:rPr>
        <w:t>ius</w:t>
      </w:r>
      <w:proofErr w:type="spellEnd"/>
      <w:r w:rsidR="00D4256A" w:rsidRPr="000A38E5">
        <w:rPr>
          <w:i/>
          <w:lang w:val="uk-UA" w:bidi="en-US"/>
        </w:rPr>
        <w:t xml:space="preserve"> </w:t>
      </w:r>
      <w:r w:rsidR="00D4256A" w:rsidRPr="000A38E5">
        <w:rPr>
          <w:i/>
          <w:lang w:bidi="en-US"/>
        </w:rPr>
        <w:t>and Others</w:t>
      </w:r>
      <w:r w:rsidR="00D4256A" w:rsidRPr="000A38E5">
        <w:rPr>
          <w:lang w:val="uk-UA" w:bidi="en-US"/>
        </w:rPr>
        <w:t xml:space="preserve">, </w:t>
      </w:r>
      <w:proofErr w:type="spellStart"/>
      <w:r w:rsidR="00D4256A" w:rsidRPr="000A38E5">
        <w:rPr>
          <w:lang w:val="uk-UA" w:bidi="en-US"/>
        </w:rPr>
        <w:t>цит</w:t>
      </w:r>
      <w:proofErr w:type="spellEnd"/>
      <w:r w:rsidR="00D4256A" w:rsidRPr="000A38E5">
        <w:rPr>
          <w:lang w:val="uk-UA" w:bidi="en-US"/>
        </w:rPr>
        <w:t>. вище, § 168).</w:t>
      </w:r>
    </w:p>
    <w:p w:rsidR="00D4256A" w:rsidRPr="000A38E5" w:rsidRDefault="004E7608" w:rsidP="00D4256A">
      <w:pPr>
        <w:pStyle w:val="ECHRPara"/>
        <w:rPr>
          <w:lang w:val="ru-RU" w:bidi="en-US"/>
        </w:rPr>
      </w:pPr>
      <w:r w:rsidRPr="000A38E5">
        <w:rPr>
          <w:lang w:bidi="en-US"/>
        </w:rPr>
        <w:fldChar w:fldCharType="begin"/>
      </w:r>
      <w:r w:rsidR="00D4256A" w:rsidRPr="000A38E5">
        <w:rPr>
          <w:lang w:val="ru-RU" w:bidi="en-US"/>
        </w:rPr>
        <w:instrText xml:space="preserve"> </w:instrText>
      </w:r>
      <w:r w:rsidR="00D4256A" w:rsidRPr="000A38E5">
        <w:rPr>
          <w:lang w:bidi="en-US"/>
        </w:rPr>
        <w:instrText>SEQ</w:instrText>
      </w:r>
      <w:r w:rsidR="00D4256A" w:rsidRPr="000A38E5">
        <w:rPr>
          <w:lang w:val="ru-RU" w:bidi="en-US"/>
        </w:rPr>
        <w:instrText xml:space="preserve"> </w:instrText>
      </w:r>
      <w:r w:rsidR="00D4256A" w:rsidRPr="000A38E5">
        <w:rPr>
          <w:lang w:bidi="en-US"/>
        </w:rPr>
        <w:instrText>level</w:instrText>
      </w:r>
      <w:r w:rsidR="00D4256A" w:rsidRPr="000A38E5">
        <w:rPr>
          <w:lang w:val="ru-RU" w:bidi="en-US"/>
        </w:rPr>
        <w:instrText>0 \*</w:instrText>
      </w:r>
      <w:r w:rsidR="00D4256A" w:rsidRPr="000A38E5">
        <w:rPr>
          <w:lang w:bidi="en-US"/>
        </w:rPr>
        <w:instrText>arabic</w:instrText>
      </w:r>
      <w:r w:rsidR="00D4256A" w:rsidRPr="000A38E5">
        <w:rPr>
          <w:lang w:val="ru-RU" w:bidi="en-US"/>
        </w:rPr>
        <w:instrText xml:space="preserve"> </w:instrText>
      </w:r>
      <w:r w:rsidRPr="000A38E5">
        <w:rPr>
          <w:lang w:bidi="en-US"/>
        </w:rPr>
        <w:fldChar w:fldCharType="separate"/>
      </w:r>
      <w:r w:rsidR="00D4256A" w:rsidRPr="000A38E5">
        <w:rPr>
          <w:noProof/>
          <w:lang w:val="ru-RU" w:bidi="en-US"/>
        </w:rPr>
        <w:t>245</w:t>
      </w:r>
      <w:r w:rsidRPr="000A38E5">
        <w:rPr>
          <w:lang w:bidi="en-US"/>
        </w:rPr>
        <w:fldChar w:fldCharType="end"/>
      </w:r>
      <w:r w:rsidR="00D4256A" w:rsidRPr="000A38E5">
        <w:rPr>
          <w:lang w:val="ru-RU" w:bidi="en-US"/>
        </w:rPr>
        <w:t>.</w:t>
      </w:r>
      <w:r w:rsidR="00D4256A" w:rsidRPr="00E93710">
        <w:rPr>
          <w:lang w:val="ru-RU" w:bidi="en-US"/>
        </w:rPr>
        <w:t xml:space="preserve"> </w:t>
      </w:r>
      <w:r w:rsidR="00D4256A" w:rsidRPr="000A38E5">
        <w:rPr>
          <w:lang w:val="uk-UA" w:bidi="en-US"/>
        </w:rPr>
        <w:t>Існує певна плутанина стосовно громадських обговорень,</w:t>
      </w:r>
      <w:r w:rsidR="00D4256A" w:rsidRPr="000A38E5">
        <w:rPr>
          <w:lang w:val="ru-RU" w:bidi="en-US"/>
        </w:rPr>
        <w:t xml:space="preserve"> </w:t>
      </w:r>
      <w:r w:rsidR="00D4256A" w:rsidRPr="000A38E5">
        <w:rPr>
          <w:lang w:val="uk-UA" w:bidi="en-US"/>
        </w:rPr>
        <w:t>які мали місце до ухвалення проекту</w:t>
      </w:r>
      <w:r w:rsidR="00D4256A" w:rsidRPr="000A38E5">
        <w:rPr>
          <w:lang w:val="ru-RU" w:bidi="en-US"/>
        </w:rPr>
        <w:t xml:space="preserve">, </w:t>
      </w:r>
      <w:r w:rsidR="00D4256A" w:rsidRPr="000A38E5">
        <w:rPr>
          <w:lang w:val="uk-UA" w:bidi="en-US"/>
        </w:rPr>
        <w:t>і докази, надані сторонами, не підтримують їх власні твердження у цьому відношенні</w:t>
      </w:r>
      <w:r w:rsidR="00D4256A" w:rsidRPr="000A38E5">
        <w:rPr>
          <w:lang w:val="ru-RU" w:bidi="en-US"/>
        </w:rPr>
        <w:t xml:space="preserve">. </w:t>
      </w:r>
      <w:r w:rsidR="00D4256A" w:rsidRPr="000A38E5">
        <w:rPr>
          <w:lang w:val="uk-UA" w:bidi="en-US"/>
        </w:rPr>
        <w:t>Уряд наполягав, що План міського розвитку 2004 року</w:t>
      </w:r>
      <w:r w:rsidR="00D4256A" w:rsidRPr="000A38E5">
        <w:rPr>
          <w:lang w:val="ru-RU" w:bidi="en-US"/>
        </w:rPr>
        <w:t xml:space="preserve"> </w:t>
      </w:r>
      <w:r w:rsidR="00D4256A" w:rsidRPr="000A38E5">
        <w:rPr>
          <w:lang w:val="uk-UA" w:bidi="en-US"/>
        </w:rPr>
        <w:t>виносився на громадське обговорення, хоча офіційні документи,</w:t>
      </w:r>
      <w:r w:rsidR="00D4256A" w:rsidRPr="000A38E5">
        <w:rPr>
          <w:lang w:val="ru-RU" w:bidi="en-US"/>
        </w:rPr>
        <w:t xml:space="preserve"> </w:t>
      </w:r>
      <w:r w:rsidR="00D4256A" w:rsidRPr="000A38E5">
        <w:rPr>
          <w:lang w:val="uk-UA" w:bidi="en-US"/>
        </w:rPr>
        <w:t>надані Урядом, вказують, що плани будівництва дороги</w:t>
      </w:r>
      <w:r w:rsidR="00D4256A" w:rsidRPr="000A38E5">
        <w:rPr>
          <w:lang w:val="ru-RU" w:bidi="en-US"/>
        </w:rPr>
        <w:t xml:space="preserve"> </w:t>
      </w:r>
      <w:r w:rsidR="00D4256A" w:rsidRPr="000A38E5">
        <w:rPr>
          <w:lang w:val="uk-UA" w:bidi="en-US"/>
        </w:rPr>
        <w:t>не були включені до його початкової версії у будь-якій чіткій формі</w:t>
      </w:r>
      <w:r w:rsidR="00D4256A" w:rsidRPr="000A38E5">
        <w:rPr>
          <w:lang w:val="ru-RU" w:bidi="en-US"/>
        </w:rPr>
        <w:t xml:space="preserve">, </w:t>
      </w:r>
      <w:r w:rsidR="00D4256A" w:rsidRPr="000A38E5">
        <w:rPr>
          <w:lang w:val="uk-UA" w:bidi="en-US"/>
        </w:rPr>
        <w:t>і що план повинен був бути виправлений у цьому відношенні у</w:t>
      </w:r>
      <w:r w:rsidR="00D4256A" w:rsidRPr="000A38E5">
        <w:rPr>
          <w:lang w:val="ru-RU" w:bidi="en-US"/>
        </w:rPr>
        <w:t xml:space="preserve"> 2008 </w:t>
      </w:r>
      <w:proofErr w:type="spellStart"/>
      <w:r w:rsidR="00D4256A" w:rsidRPr="000A38E5">
        <w:rPr>
          <w:lang w:val="ru-RU" w:bidi="en-US"/>
        </w:rPr>
        <w:t>році</w:t>
      </w:r>
      <w:proofErr w:type="spellEnd"/>
      <w:r w:rsidR="00D4256A" w:rsidRPr="000A38E5">
        <w:rPr>
          <w:lang w:val="ru-RU" w:bidi="en-US"/>
        </w:rPr>
        <w:t xml:space="preserve"> (</w:t>
      </w:r>
      <w:r w:rsidR="00D4256A" w:rsidRPr="000A38E5">
        <w:rPr>
          <w:lang w:val="uk-UA" w:bidi="en-US"/>
        </w:rPr>
        <w:t>див. пункти</w:t>
      </w:r>
      <w:r w:rsidR="00D4256A" w:rsidRPr="000A38E5">
        <w:rPr>
          <w:lang w:val="ru-RU" w:bidi="en-US"/>
        </w:rPr>
        <w:t xml:space="preserve"> </w:t>
      </w:r>
      <w:fldSimple w:instr=" REF Govt_public_consultation \h  \* MERGEFORMAT ">
        <w:r w:rsidR="00D4256A" w:rsidRPr="000A38E5">
          <w:rPr>
            <w:noProof/>
            <w:lang w:val="ru-RU"/>
          </w:rPr>
          <w:t>200</w:t>
        </w:r>
      </w:fldSimple>
      <w:r w:rsidR="00D4256A" w:rsidRPr="000A38E5">
        <w:rPr>
          <w:lang w:val="ru-RU" w:bidi="en-US"/>
        </w:rPr>
        <w:t xml:space="preserve"> </w:t>
      </w:r>
      <w:r w:rsidR="00D4256A" w:rsidRPr="000A38E5">
        <w:rPr>
          <w:lang w:val="uk-UA" w:bidi="en-US"/>
        </w:rPr>
        <w:t>та</w:t>
      </w:r>
      <w:r w:rsidR="00D4256A" w:rsidRPr="000A38E5">
        <w:rPr>
          <w:lang w:val="ru-RU" w:bidi="en-US"/>
        </w:rPr>
        <w:t xml:space="preserve"> </w:t>
      </w:r>
      <w:fldSimple w:instr=" REF Urban_Development_Plan_modified \h  \* MERGEFORMAT ">
        <w:r w:rsidR="00D4256A" w:rsidRPr="000A38E5">
          <w:rPr>
            <w:noProof/>
            <w:lang w:val="ru-RU"/>
          </w:rPr>
          <w:t>13</w:t>
        </w:r>
      </w:fldSimple>
      <w:r w:rsidR="00D4256A" w:rsidRPr="000A38E5">
        <w:rPr>
          <w:lang w:val="ru-RU" w:bidi="en-US"/>
        </w:rPr>
        <w:t xml:space="preserve"> </w:t>
      </w:r>
      <w:r w:rsidR="00D4256A" w:rsidRPr="000A38E5">
        <w:rPr>
          <w:lang w:val="uk-UA" w:bidi="en-US"/>
        </w:rPr>
        <w:t>вище, відповідно</w:t>
      </w:r>
      <w:r w:rsidR="00D4256A" w:rsidRPr="000A38E5">
        <w:rPr>
          <w:lang w:val="ru-RU" w:bidi="en-US"/>
        </w:rPr>
        <w:t xml:space="preserve">). </w:t>
      </w:r>
      <w:r w:rsidR="00D4256A" w:rsidRPr="000A38E5">
        <w:rPr>
          <w:lang w:val="uk-UA" w:bidi="en-US"/>
        </w:rPr>
        <w:t>Зі свого боку заявники наполягали, що проект</w:t>
      </w:r>
      <w:r w:rsidR="00D4256A" w:rsidRPr="000A38E5">
        <w:rPr>
          <w:lang w:val="ru-RU" w:bidi="en-US"/>
        </w:rPr>
        <w:t xml:space="preserve"> </w:t>
      </w:r>
      <w:r w:rsidR="00D4256A" w:rsidRPr="000A38E5">
        <w:rPr>
          <w:lang w:val="uk-UA" w:bidi="en-US"/>
        </w:rPr>
        <w:t>був неочікуваним</w:t>
      </w:r>
      <w:r w:rsidR="00D4256A" w:rsidRPr="000A38E5">
        <w:rPr>
          <w:lang w:val="ru-RU" w:bidi="en-US"/>
        </w:rPr>
        <w:t xml:space="preserve">, </w:t>
      </w:r>
      <w:r w:rsidR="00D4256A" w:rsidRPr="000A38E5">
        <w:rPr>
          <w:lang w:val="uk-UA" w:bidi="en-US"/>
        </w:rPr>
        <w:t>хоча їх власні докази говорять,</w:t>
      </w:r>
      <w:r w:rsidR="00D4256A" w:rsidRPr="000A38E5">
        <w:rPr>
          <w:lang w:val="ru-RU" w:bidi="en-US"/>
        </w:rPr>
        <w:t xml:space="preserve"> </w:t>
      </w:r>
      <w:r w:rsidR="00D4256A" w:rsidRPr="000A38E5">
        <w:rPr>
          <w:lang w:val="uk-UA" w:bidi="en-US"/>
        </w:rPr>
        <w:t xml:space="preserve">що він був відомий громадськості та був темою </w:t>
      </w:r>
      <w:proofErr w:type="spellStart"/>
      <w:r w:rsidR="00D4256A" w:rsidRPr="000A38E5">
        <w:rPr>
          <w:lang w:val="uk-UA" w:bidi="en-US"/>
        </w:rPr>
        <w:t>протестної</w:t>
      </w:r>
      <w:proofErr w:type="spellEnd"/>
      <w:r w:rsidR="00D4256A" w:rsidRPr="000A38E5">
        <w:rPr>
          <w:lang w:val="uk-UA" w:bidi="en-US"/>
        </w:rPr>
        <w:t xml:space="preserve"> діяльності ще у</w:t>
      </w:r>
      <w:r w:rsidR="00D4256A" w:rsidRPr="000A38E5">
        <w:rPr>
          <w:lang w:val="ru-RU" w:bidi="en-US"/>
        </w:rPr>
        <w:t xml:space="preserve"> 2007 </w:t>
      </w:r>
      <w:proofErr w:type="spellStart"/>
      <w:r w:rsidR="00D4256A" w:rsidRPr="000A38E5">
        <w:rPr>
          <w:lang w:val="ru-RU" w:bidi="en-US"/>
        </w:rPr>
        <w:t>році</w:t>
      </w:r>
      <w:proofErr w:type="spellEnd"/>
      <w:r w:rsidR="00D4256A" w:rsidRPr="000A38E5">
        <w:rPr>
          <w:lang w:val="ru-RU" w:bidi="en-US"/>
        </w:rPr>
        <w:t xml:space="preserve"> (</w:t>
      </w:r>
      <w:r w:rsidR="00D4256A" w:rsidRPr="000A38E5">
        <w:rPr>
          <w:lang w:val="uk-UA" w:bidi="en-US"/>
        </w:rPr>
        <w:t>див. пункти</w:t>
      </w:r>
      <w:r w:rsidR="00D4256A" w:rsidRPr="000A38E5">
        <w:rPr>
          <w:lang w:bidi="en-US"/>
        </w:rPr>
        <w:t> </w:t>
      </w:r>
      <w:fldSimple w:instr=" REF apps_public_consultation \h  \* MERGEFORMAT ">
        <w:r w:rsidR="00D4256A" w:rsidRPr="000A38E5">
          <w:rPr>
            <w:noProof/>
            <w:lang w:val="ru-RU"/>
          </w:rPr>
          <w:t>191</w:t>
        </w:r>
      </w:fldSimple>
      <w:r w:rsidR="00D4256A" w:rsidRPr="000A38E5">
        <w:rPr>
          <w:lang w:val="ru-RU" w:bidi="en-US"/>
        </w:rPr>
        <w:t xml:space="preserve"> </w:t>
      </w:r>
      <w:r w:rsidR="00D4256A" w:rsidRPr="000A38E5">
        <w:rPr>
          <w:lang w:val="uk-UA" w:bidi="en-US"/>
        </w:rPr>
        <w:t>та</w:t>
      </w:r>
      <w:r w:rsidR="00D4256A" w:rsidRPr="000A38E5">
        <w:rPr>
          <w:lang w:val="ru-RU" w:bidi="en-US"/>
        </w:rPr>
        <w:t xml:space="preserve"> </w:t>
      </w:r>
      <w:fldSimple w:instr=" REF video_20_May \h  \* MERGEFORMAT ">
        <w:r w:rsidR="00D4256A" w:rsidRPr="000A38E5">
          <w:rPr>
            <w:noProof/>
            <w:lang w:val="ru-RU"/>
          </w:rPr>
          <w:t>31</w:t>
        </w:r>
      </w:fldSimple>
      <w:r w:rsidR="00D4256A" w:rsidRPr="000A38E5">
        <w:rPr>
          <w:lang w:val="ru-RU" w:bidi="en-US"/>
        </w:rPr>
        <w:t xml:space="preserve"> </w:t>
      </w:r>
      <w:r w:rsidR="00D4256A" w:rsidRPr="000A38E5">
        <w:rPr>
          <w:lang w:val="uk-UA" w:bidi="en-US"/>
        </w:rPr>
        <w:t>вище,</w:t>
      </w:r>
      <w:r w:rsidR="00D4256A" w:rsidRPr="000A38E5">
        <w:rPr>
          <w:lang w:val="ru-RU" w:bidi="en-US"/>
        </w:rPr>
        <w:t xml:space="preserve"> </w:t>
      </w:r>
      <w:r w:rsidR="00D4256A" w:rsidRPr="000A38E5">
        <w:rPr>
          <w:lang w:val="uk-UA" w:bidi="en-US"/>
        </w:rPr>
        <w:t>відповідно</w:t>
      </w:r>
      <w:r w:rsidR="00D4256A" w:rsidRPr="000A38E5">
        <w:rPr>
          <w:lang w:val="ru-RU" w:bidi="en-US"/>
        </w:rPr>
        <w:t>).</w:t>
      </w:r>
    </w:p>
    <w:p w:rsidR="00D4256A" w:rsidRPr="000A38E5" w:rsidRDefault="004E7608" w:rsidP="00D4256A">
      <w:pPr>
        <w:pStyle w:val="ECHRPara"/>
        <w:rPr>
          <w:lang w:val="ru-RU" w:bidi="en-US"/>
        </w:rPr>
      </w:pPr>
      <w:r w:rsidRPr="000A38E5">
        <w:rPr>
          <w:lang w:bidi="en-US"/>
        </w:rPr>
        <w:fldChar w:fldCharType="begin"/>
      </w:r>
      <w:r w:rsidR="00D4256A" w:rsidRPr="000A38E5">
        <w:rPr>
          <w:lang w:val="ru-RU" w:bidi="en-US"/>
        </w:rPr>
        <w:instrText xml:space="preserve"> </w:instrText>
      </w:r>
      <w:r w:rsidR="00D4256A" w:rsidRPr="000A38E5">
        <w:rPr>
          <w:lang w:bidi="en-US"/>
        </w:rPr>
        <w:instrText>SEQ</w:instrText>
      </w:r>
      <w:r w:rsidR="00D4256A" w:rsidRPr="000A38E5">
        <w:rPr>
          <w:lang w:val="ru-RU" w:bidi="en-US"/>
        </w:rPr>
        <w:instrText xml:space="preserve"> </w:instrText>
      </w:r>
      <w:r w:rsidR="00D4256A" w:rsidRPr="000A38E5">
        <w:rPr>
          <w:lang w:bidi="en-US"/>
        </w:rPr>
        <w:instrText>level</w:instrText>
      </w:r>
      <w:r w:rsidR="00D4256A" w:rsidRPr="000A38E5">
        <w:rPr>
          <w:lang w:val="ru-RU" w:bidi="en-US"/>
        </w:rPr>
        <w:instrText>0 \*</w:instrText>
      </w:r>
      <w:r w:rsidR="00D4256A" w:rsidRPr="000A38E5">
        <w:rPr>
          <w:lang w:bidi="en-US"/>
        </w:rPr>
        <w:instrText>arabic</w:instrText>
      </w:r>
      <w:r w:rsidR="00D4256A" w:rsidRPr="000A38E5">
        <w:rPr>
          <w:lang w:val="ru-RU" w:bidi="en-US"/>
        </w:rPr>
        <w:instrText xml:space="preserve"> </w:instrText>
      </w:r>
      <w:r w:rsidRPr="000A38E5">
        <w:rPr>
          <w:lang w:bidi="en-US"/>
        </w:rPr>
        <w:fldChar w:fldCharType="separate"/>
      </w:r>
      <w:r w:rsidR="00D4256A" w:rsidRPr="000A38E5">
        <w:rPr>
          <w:noProof/>
          <w:lang w:val="ru-RU" w:bidi="en-US"/>
        </w:rPr>
        <w:t>246</w:t>
      </w:r>
      <w:r w:rsidRPr="000A38E5">
        <w:rPr>
          <w:lang w:bidi="en-US"/>
        </w:rPr>
        <w:fldChar w:fldCharType="end"/>
      </w:r>
      <w:r w:rsidR="00D4256A" w:rsidRPr="000A38E5">
        <w:rPr>
          <w:lang w:val="ru-RU" w:bidi="en-US"/>
        </w:rPr>
        <w:t>.</w:t>
      </w:r>
      <w:r w:rsidR="00D4256A" w:rsidRPr="00E93710">
        <w:rPr>
          <w:lang w:val="ru-RU" w:bidi="en-US"/>
        </w:rPr>
        <w:t xml:space="preserve"> </w:t>
      </w:r>
      <w:r w:rsidR="00D4256A" w:rsidRPr="000A38E5">
        <w:rPr>
          <w:lang w:val="uk-UA" w:bidi="en-US"/>
        </w:rPr>
        <w:t>При цьому Суд не вбачає необхідності робити остаточний висновок</w:t>
      </w:r>
      <w:r w:rsidR="00D4256A" w:rsidRPr="000A38E5">
        <w:rPr>
          <w:lang w:val="ru-RU" w:bidi="en-US"/>
        </w:rPr>
        <w:t xml:space="preserve"> </w:t>
      </w:r>
      <w:r w:rsidR="00D4256A" w:rsidRPr="000A38E5">
        <w:rPr>
          <w:lang w:val="uk-UA" w:bidi="en-US"/>
        </w:rPr>
        <w:t>щодо того, чи громадське обговорення стосовно</w:t>
      </w:r>
      <w:r w:rsidR="00D4256A" w:rsidRPr="000A38E5">
        <w:rPr>
          <w:lang w:val="ru-RU" w:bidi="en-US"/>
        </w:rPr>
        <w:t xml:space="preserve"> </w:t>
      </w:r>
      <w:r w:rsidR="00D4256A" w:rsidRPr="000A38E5">
        <w:rPr>
          <w:lang w:val="uk-UA" w:bidi="en-US"/>
        </w:rPr>
        <w:t>розвитку та втілення проекту будівництва</w:t>
      </w:r>
      <w:r w:rsidR="00D4256A" w:rsidRPr="000A38E5">
        <w:rPr>
          <w:lang w:val="ru-RU" w:bidi="en-US"/>
        </w:rPr>
        <w:t xml:space="preserve"> </w:t>
      </w:r>
      <w:r w:rsidR="00D4256A" w:rsidRPr="000A38E5">
        <w:rPr>
          <w:lang w:val="uk-UA" w:bidi="en-US"/>
        </w:rPr>
        <w:t>було достатнім</w:t>
      </w:r>
      <w:r w:rsidR="00D4256A" w:rsidRPr="000A38E5">
        <w:rPr>
          <w:lang w:val="ru-RU" w:bidi="en-US"/>
        </w:rPr>
        <w:t xml:space="preserve">. </w:t>
      </w:r>
      <w:r w:rsidR="00D4256A" w:rsidRPr="000A38E5">
        <w:rPr>
          <w:lang w:val="uk-UA" w:bidi="en-US"/>
        </w:rPr>
        <w:t>На думку Суду, достатньо зазначити, що громадськість була обізнана</w:t>
      </w:r>
      <w:r w:rsidR="00D4256A" w:rsidRPr="000A38E5">
        <w:rPr>
          <w:lang w:val="ru-RU" w:bidi="en-US"/>
        </w:rPr>
        <w:t xml:space="preserve"> </w:t>
      </w:r>
      <w:r w:rsidR="00D4256A" w:rsidRPr="000A38E5">
        <w:rPr>
          <w:lang w:val="uk-UA" w:bidi="en-US"/>
        </w:rPr>
        <w:t>про проект та протестувала проти нього</w:t>
      </w:r>
      <w:r w:rsidR="00D4256A" w:rsidRPr="000A38E5">
        <w:rPr>
          <w:lang w:val="ru-RU" w:bidi="en-US"/>
        </w:rPr>
        <w:t xml:space="preserve"> </w:t>
      </w:r>
      <w:r w:rsidR="00D4256A" w:rsidRPr="000A38E5">
        <w:rPr>
          <w:lang w:val="uk-UA" w:bidi="en-US"/>
        </w:rPr>
        <w:t>ще у</w:t>
      </w:r>
      <w:r w:rsidR="00D4256A" w:rsidRPr="000A38E5">
        <w:rPr>
          <w:lang w:val="ru-RU" w:bidi="en-US"/>
        </w:rPr>
        <w:t xml:space="preserve"> 2007</w:t>
      </w:r>
      <w:r w:rsidR="00D4256A" w:rsidRPr="000A38E5">
        <w:rPr>
          <w:lang w:val="uk-UA" w:bidi="en-US"/>
        </w:rPr>
        <w:t xml:space="preserve"> році</w:t>
      </w:r>
      <w:r w:rsidR="00D4256A" w:rsidRPr="000A38E5">
        <w:rPr>
          <w:lang w:val="ru-RU" w:bidi="en-US"/>
        </w:rPr>
        <w:t xml:space="preserve">, </w:t>
      </w:r>
      <w:r w:rsidR="00D4256A" w:rsidRPr="000A38E5">
        <w:rPr>
          <w:lang w:val="uk-UA" w:bidi="en-US"/>
        </w:rPr>
        <w:t>і що інші альтернативні засоби протесту</w:t>
      </w:r>
      <w:r w:rsidR="00D4256A" w:rsidRPr="000A38E5">
        <w:rPr>
          <w:lang w:val="ru-RU" w:bidi="en-US"/>
        </w:rPr>
        <w:t xml:space="preserve">, </w:t>
      </w:r>
      <w:r w:rsidR="00D4256A" w:rsidRPr="000A38E5">
        <w:rPr>
          <w:lang w:val="uk-UA" w:bidi="en-US"/>
        </w:rPr>
        <w:t>встановлені у попередніх пунктах, були доступними</w:t>
      </w:r>
      <w:r w:rsidR="00D4256A" w:rsidRPr="000A38E5">
        <w:rPr>
          <w:lang w:val="ru-RU" w:bidi="en-US"/>
        </w:rPr>
        <w:t>.</w:t>
      </w:r>
    </w:p>
    <w:p w:rsidR="00D4256A" w:rsidRPr="000A38E5" w:rsidRDefault="004E7608" w:rsidP="00D4256A">
      <w:pPr>
        <w:pStyle w:val="ECHRPara"/>
        <w:rPr>
          <w:lang w:val="ru-RU" w:bidi="en-US"/>
        </w:rPr>
      </w:pPr>
      <w:r w:rsidRPr="000A38E5">
        <w:rPr>
          <w:lang w:bidi="en-US"/>
        </w:rPr>
        <w:fldChar w:fldCharType="begin"/>
      </w:r>
      <w:r w:rsidR="00D4256A" w:rsidRPr="000A38E5">
        <w:rPr>
          <w:lang w:val="ru-RU" w:bidi="en-US"/>
        </w:rPr>
        <w:instrText xml:space="preserve"> </w:instrText>
      </w:r>
      <w:r w:rsidR="00D4256A" w:rsidRPr="000A38E5">
        <w:rPr>
          <w:lang w:bidi="en-US"/>
        </w:rPr>
        <w:instrText>SEQ</w:instrText>
      </w:r>
      <w:r w:rsidR="00D4256A" w:rsidRPr="000A38E5">
        <w:rPr>
          <w:lang w:val="ru-RU" w:bidi="en-US"/>
        </w:rPr>
        <w:instrText xml:space="preserve"> </w:instrText>
      </w:r>
      <w:r w:rsidR="00D4256A" w:rsidRPr="000A38E5">
        <w:rPr>
          <w:lang w:bidi="en-US"/>
        </w:rPr>
        <w:instrText>level</w:instrText>
      </w:r>
      <w:r w:rsidR="00D4256A" w:rsidRPr="000A38E5">
        <w:rPr>
          <w:lang w:val="ru-RU" w:bidi="en-US"/>
        </w:rPr>
        <w:instrText>0 \*</w:instrText>
      </w:r>
      <w:r w:rsidR="00D4256A" w:rsidRPr="000A38E5">
        <w:rPr>
          <w:lang w:bidi="en-US"/>
        </w:rPr>
        <w:instrText>arabic</w:instrText>
      </w:r>
      <w:r w:rsidR="00D4256A" w:rsidRPr="000A38E5">
        <w:rPr>
          <w:lang w:val="ru-RU" w:bidi="en-US"/>
        </w:rPr>
        <w:instrText xml:space="preserve"> </w:instrText>
      </w:r>
      <w:r w:rsidRPr="000A38E5">
        <w:rPr>
          <w:lang w:bidi="en-US"/>
        </w:rPr>
        <w:fldChar w:fldCharType="separate"/>
      </w:r>
      <w:r w:rsidR="00D4256A" w:rsidRPr="000A38E5">
        <w:rPr>
          <w:noProof/>
          <w:lang w:val="ru-RU" w:bidi="en-US"/>
        </w:rPr>
        <w:t>247</w:t>
      </w:r>
      <w:r w:rsidRPr="000A38E5">
        <w:rPr>
          <w:lang w:bidi="en-US"/>
        </w:rPr>
        <w:fldChar w:fldCharType="end"/>
      </w:r>
      <w:r w:rsidR="00D4256A" w:rsidRPr="000A38E5">
        <w:rPr>
          <w:lang w:val="ru-RU" w:bidi="en-US"/>
        </w:rPr>
        <w:t>.</w:t>
      </w:r>
      <w:r w:rsidR="00D4256A" w:rsidRPr="00E93710">
        <w:rPr>
          <w:lang w:val="ru-RU" w:bidi="en-US"/>
        </w:rPr>
        <w:t xml:space="preserve"> </w:t>
      </w:r>
      <w:r w:rsidR="00D4256A" w:rsidRPr="000A38E5">
        <w:rPr>
          <w:lang w:val="uk-UA" w:bidi="en-US"/>
        </w:rPr>
        <w:t>Ці спостереження є важливими для оцінки Судом</w:t>
      </w:r>
      <w:r w:rsidR="00D4256A" w:rsidRPr="000A38E5">
        <w:rPr>
          <w:lang w:val="ru-RU" w:bidi="en-US"/>
        </w:rPr>
        <w:t xml:space="preserve"> </w:t>
      </w:r>
      <w:r w:rsidR="00D4256A" w:rsidRPr="000A38E5">
        <w:rPr>
          <w:lang w:val="uk-UA" w:bidi="en-US"/>
        </w:rPr>
        <w:t>пропорційності втручання</w:t>
      </w:r>
      <w:r w:rsidR="00D4256A" w:rsidRPr="000A38E5">
        <w:rPr>
          <w:lang w:val="ru-RU" w:bidi="en-US"/>
        </w:rPr>
        <w:t xml:space="preserve"> </w:t>
      </w:r>
      <w:r w:rsidR="00D4256A" w:rsidRPr="000A38E5">
        <w:rPr>
          <w:lang w:val="uk-UA" w:bidi="en-US"/>
        </w:rPr>
        <w:t>у паво заявників на свободу мирного зібрання</w:t>
      </w:r>
      <w:r w:rsidR="00D4256A" w:rsidRPr="000A38E5">
        <w:rPr>
          <w:lang w:val="ru-RU" w:bidi="en-US"/>
        </w:rPr>
        <w:t>.</w:t>
      </w:r>
    </w:p>
    <w:p w:rsidR="00D4256A" w:rsidRPr="000A38E5" w:rsidRDefault="00D4256A" w:rsidP="00D4256A">
      <w:pPr>
        <w:pStyle w:val="ECHRHeading7"/>
        <w:rPr>
          <w:lang w:val="uk-UA"/>
        </w:rPr>
      </w:pPr>
      <w:r w:rsidRPr="000A38E5">
        <w:rPr>
          <w:lang w:val="uk-UA"/>
        </w:rPr>
        <w:t>П’ятий-одинадцятий заявники</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248</w:t>
      </w:r>
      <w:r w:rsidRPr="000A38E5">
        <w:fldChar w:fldCharType="end"/>
      </w:r>
      <w:r w:rsidR="00D4256A" w:rsidRPr="000A38E5">
        <w:rPr>
          <w:lang w:val="ru-RU"/>
        </w:rPr>
        <w:t>.</w:t>
      </w:r>
      <w:r w:rsidR="00D4256A" w:rsidRPr="00E93710">
        <w:rPr>
          <w:lang w:val="ru-RU"/>
        </w:rPr>
        <w:t xml:space="preserve"> </w:t>
      </w:r>
      <w:r w:rsidR="00D4256A" w:rsidRPr="000A38E5">
        <w:rPr>
          <w:lang w:val="uk-UA"/>
        </w:rPr>
        <w:t>Суд визнає встановленим наступний порядок відповідних подій 28 травня</w:t>
      </w:r>
      <w:r w:rsidR="00D4256A" w:rsidRPr="000A38E5">
        <w:rPr>
          <w:lang w:val="ru-RU"/>
        </w:rPr>
        <w:t xml:space="preserve"> 2010 року. </w:t>
      </w:r>
      <w:r w:rsidR="00D4256A" w:rsidRPr="000A38E5">
        <w:rPr>
          <w:lang w:val="uk-UA"/>
        </w:rPr>
        <w:t>Заявники були серед групи протестуючих на ділянці, означеній як місце будівництва</w:t>
      </w:r>
      <w:r w:rsidR="00D4256A" w:rsidRPr="000A38E5">
        <w:rPr>
          <w:lang w:val="ru-RU"/>
        </w:rPr>
        <w:t xml:space="preserve">. </w:t>
      </w:r>
      <w:r w:rsidR="00D4256A" w:rsidRPr="000A38E5">
        <w:rPr>
          <w:lang w:val="uk-UA"/>
        </w:rPr>
        <w:t xml:space="preserve">Особа в цивільному одязі, як видається – представник </w:t>
      </w:r>
      <w:proofErr w:type="spellStart"/>
      <w:r w:rsidR="00D4256A" w:rsidRPr="000A38E5">
        <w:rPr>
          <w:lang w:val="uk-UA"/>
        </w:rPr>
        <w:t>МО</w:t>
      </w:r>
      <w:proofErr w:type="spellEnd"/>
      <w:r w:rsidR="00D4256A" w:rsidRPr="000A38E5">
        <w:rPr>
          <w:lang w:val="ru-RU"/>
        </w:rPr>
        <w:t xml:space="preserve">, </w:t>
      </w:r>
      <w:r w:rsidR="00D4256A" w:rsidRPr="000A38E5">
        <w:rPr>
          <w:lang w:val="uk-UA"/>
        </w:rPr>
        <w:t>комунальних органів або головного підрядника</w:t>
      </w:r>
      <w:r w:rsidR="00D4256A" w:rsidRPr="000A38E5">
        <w:rPr>
          <w:lang w:val="ru-RU"/>
        </w:rPr>
        <w:t xml:space="preserve">, </w:t>
      </w:r>
      <w:r w:rsidR="00D4256A" w:rsidRPr="000A38E5">
        <w:rPr>
          <w:lang w:val="uk-UA"/>
        </w:rPr>
        <w:lastRenderedPageBreak/>
        <w:t>попросила їх піти</w:t>
      </w:r>
      <w:r w:rsidR="00D4256A" w:rsidRPr="000A38E5">
        <w:rPr>
          <w:lang w:val="ru-RU"/>
        </w:rPr>
        <w:t xml:space="preserve">. </w:t>
      </w:r>
      <w:r w:rsidR="00D4256A" w:rsidRPr="000A38E5">
        <w:rPr>
          <w:lang w:val="uk-UA"/>
        </w:rPr>
        <w:t>Вони відмовилися</w:t>
      </w:r>
      <w:r w:rsidR="00D4256A" w:rsidRPr="000A38E5">
        <w:rPr>
          <w:lang w:val="ru-RU"/>
        </w:rPr>
        <w:t xml:space="preserve">. </w:t>
      </w:r>
      <w:r w:rsidR="00D4256A" w:rsidRPr="000A38E5">
        <w:rPr>
          <w:lang w:val="uk-UA"/>
        </w:rPr>
        <w:t>Після цього охоронці оточили протестуючих у тісне коло</w:t>
      </w:r>
      <w:r w:rsidR="00D4256A" w:rsidRPr="000A38E5">
        <w:rPr>
          <w:lang w:val="ru-RU"/>
        </w:rPr>
        <w:t xml:space="preserve">. </w:t>
      </w:r>
      <w:r w:rsidR="00D4256A" w:rsidRPr="000A38E5">
        <w:rPr>
          <w:lang w:val="uk-UA"/>
        </w:rPr>
        <w:t>Міліціонери прибули та попросили протестуючих, які усе ще були оточені</w:t>
      </w:r>
      <w:r w:rsidR="00D4256A" w:rsidRPr="000A38E5">
        <w:rPr>
          <w:lang w:val="ru-RU"/>
        </w:rPr>
        <w:t xml:space="preserve">, </w:t>
      </w:r>
      <w:r w:rsidR="00D4256A" w:rsidRPr="000A38E5">
        <w:rPr>
          <w:lang w:val="uk-UA"/>
        </w:rPr>
        <w:t>покинути місце будівництва</w:t>
      </w:r>
      <w:r w:rsidR="00D4256A" w:rsidRPr="000A38E5">
        <w:rPr>
          <w:lang w:val="ru-RU"/>
        </w:rPr>
        <w:t xml:space="preserve">. </w:t>
      </w:r>
      <w:r w:rsidR="00D4256A" w:rsidRPr="000A38E5">
        <w:rPr>
          <w:lang w:val="uk-UA"/>
        </w:rPr>
        <w:t>Невідомо, яку відповідь вони отримали</w:t>
      </w:r>
      <w:r w:rsidR="00D4256A" w:rsidRPr="000A38E5">
        <w:rPr>
          <w:lang w:val="ru-RU"/>
        </w:rPr>
        <w:t xml:space="preserve">. </w:t>
      </w:r>
      <w:r w:rsidR="00D4256A" w:rsidRPr="000A38E5">
        <w:rPr>
          <w:lang w:val="uk-UA"/>
        </w:rPr>
        <w:t>Після цього міліціонери затримали заявників</w:t>
      </w:r>
      <w:r w:rsidR="00D4256A" w:rsidRPr="000A38E5">
        <w:rPr>
          <w:lang w:val="ru-RU"/>
        </w:rPr>
        <w:t xml:space="preserve">. </w:t>
      </w:r>
      <w:r w:rsidR="00D4256A" w:rsidRPr="000A38E5">
        <w:rPr>
          <w:lang w:val="uk-UA"/>
        </w:rPr>
        <w:t>Ця послідовність подій найбільш ясно продемонстрована</w:t>
      </w:r>
      <w:r w:rsidR="00D4256A" w:rsidRPr="000A38E5">
        <w:rPr>
          <w:lang w:val="ru-RU"/>
        </w:rPr>
        <w:t xml:space="preserve"> </w:t>
      </w:r>
      <w:r w:rsidR="00D4256A" w:rsidRPr="000A38E5">
        <w:rPr>
          <w:lang w:val="uk-UA"/>
        </w:rPr>
        <w:t>на наданих заявниками відеозаписах</w:t>
      </w:r>
      <w:r w:rsidR="00D4256A" w:rsidRPr="000A38E5">
        <w:rPr>
          <w:lang w:val="ru-RU"/>
        </w:rPr>
        <w:t xml:space="preserve">, </w:t>
      </w:r>
      <w:r w:rsidR="00D4256A" w:rsidRPr="000A38E5">
        <w:rPr>
          <w:lang w:val="uk-UA"/>
        </w:rPr>
        <w:t>які, на момент розгляду справи Судом</w:t>
      </w:r>
      <w:r w:rsidR="00D4256A" w:rsidRPr="000A38E5">
        <w:rPr>
          <w:lang w:val="ru-RU"/>
        </w:rPr>
        <w:t xml:space="preserve">, </w:t>
      </w:r>
      <w:r w:rsidR="00D4256A" w:rsidRPr="000A38E5">
        <w:rPr>
          <w:lang w:val="uk-UA"/>
        </w:rPr>
        <w:t xml:space="preserve">є публічно доступними </w:t>
      </w:r>
      <w:proofErr w:type="spellStart"/>
      <w:r w:rsidR="00D4256A" w:rsidRPr="000A38E5">
        <w:rPr>
          <w:lang w:val="uk-UA"/>
        </w:rPr>
        <w:t>онлайн</w:t>
      </w:r>
      <w:proofErr w:type="spellEnd"/>
      <w:r w:rsidR="00D4256A" w:rsidRPr="000A38E5">
        <w:rPr>
          <w:lang w:val="ru-RU"/>
        </w:rPr>
        <w:t xml:space="preserve"> (</w:t>
      </w:r>
      <w:r w:rsidR="00D4256A" w:rsidRPr="000A38E5">
        <w:rPr>
          <w:lang w:val="uk-UA"/>
        </w:rPr>
        <w:t>див. пункт</w:t>
      </w:r>
      <w:r w:rsidR="00D4256A" w:rsidRPr="000A38E5">
        <w:t> </w:t>
      </w:r>
      <w:fldSimple w:instr=" REF video_28_May \h  \* MERGEFORMAT ">
        <w:r w:rsidR="00D4256A" w:rsidRPr="000A38E5">
          <w:rPr>
            <w:noProof/>
            <w:lang w:val="ru-RU"/>
          </w:rPr>
          <w:t>45</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Однак, важливо підкреслити, що оцінка цієї послідовності Судом</w:t>
      </w:r>
      <w:r w:rsidR="00D4256A" w:rsidRPr="000A38E5">
        <w:rPr>
          <w:lang w:val="ru-RU"/>
        </w:rPr>
        <w:t xml:space="preserve"> </w:t>
      </w:r>
      <w:r w:rsidR="00D4256A" w:rsidRPr="000A38E5">
        <w:rPr>
          <w:lang w:val="uk-UA"/>
        </w:rPr>
        <w:t>не суперечить фактичним висновкам національних органів влади</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investigation_decision_28_may_events \h  \* MERGEFORMAT ">
        <w:r w:rsidR="00D4256A" w:rsidRPr="000A38E5">
          <w:rPr>
            <w:noProof/>
            <w:lang w:val="ru-RU"/>
          </w:rPr>
          <w:t>83</w:t>
        </w:r>
      </w:fldSimple>
      <w:r w:rsidR="00D4256A" w:rsidRPr="000A38E5">
        <w:rPr>
          <w:lang w:val="ru-RU"/>
        </w:rPr>
        <w:t xml:space="preserve"> </w:t>
      </w:r>
      <w:r w:rsidR="00D4256A" w:rsidRPr="000A38E5">
        <w:rPr>
          <w:lang w:val="uk-UA"/>
        </w:rPr>
        <w:t>вище та порівняйте, наприклад</w:t>
      </w:r>
      <w:r w:rsidR="00D4256A" w:rsidRPr="000A38E5">
        <w:rPr>
          <w:lang w:val="ru-RU"/>
        </w:rPr>
        <w:t xml:space="preserve">, </w:t>
      </w:r>
      <w:proofErr w:type="spellStart"/>
      <w:r w:rsidR="00D4256A" w:rsidRPr="000A38E5">
        <w:rPr>
          <w:i/>
        </w:rPr>
        <w:t>Nemtsov</w:t>
      </w:r>
      <w:proofErr w:type="spellEnd"/>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Russia</w:t>
      </w:r>
      <w:r w:rsidR="00D4256A" w:rsidRPr="000A38E5">
        <w:rPr>
          <w:lang w:val="ru-RU"/>
        </w:rPr>
        <w:t xml:space="preserve">, </w:t>
      </w:r>
      <w:r w:rsidR="00D4256A" w:rsidRPr="000A38E5">
        <w:rPr>
          <w:lang w:val="uk-UA"/>
        </w:rPr>
        <w:t>№</w:t>
      </w:r>
      <w:r w:rsidR="00D4256A" w:rsidRPr="000A38E5">
        <w:t> </w:t>
      </w:r>
      <w:r w:rsidR="00D4256A" w:rsidRPr="000A38E5">
        <w:rPr>
          <w:lang w:val="ru-RU"/>
        </w:rPr>
        <w:t>1774/11, §§</w:t>
      </w:r>
      <w:r w:rsidR="00D4256A" w:rsidRPr="000A38E5">
        <w:t> </w:t>
      </w:r>
      <w:r w:rsidR="00D4256A" w:rsidRPr="000A38E5">
        <w:rPr>
          <w:lang w:val="ru-RU"/>
        </w:rPr>
        <w:t xml:space="preserve">63-71, 31 </w:t>
      </w:r>
      <w:r w:rsidR="00D4256A" w:rsidRPr="000A38E5">
        <w:rPr>
          <w:lang w:val="uk-UA"/>
        </w:rPr>
        <w:t>липня</w:t>
      </w:r>
      <w:r w:rsidR="00D4256A" w:rsidRPr="000A38E5">
        <w:rPr>
          <w:lang w:val="ru-RU"/>
        </w:rPr>
        <w:t xml:space="preserve"> 2014, </w:t>
      </w:r>
      <w:r w:rsidR="00D4256A" w:rsidRPr="000A38E5">
        <w:rPr>
          <w:lang w:val="uk-UA"/>
        </w:rPr>
        <w:t>та</w:t>
      </w:r>
      <w:r w:rsidR="00D4256A" w:rsidRPr="000A38E5">
        <w:rPr>
          <w:lang w:val="ru-RU"/>
        </w:rPr>
        <w:t xml:space="preserve"> </w:t>
      </w:r>
      <w:proofErr w:type="spellStart"/>
      <w:r w:rsidR="00D4256A" w:rsidRPr="000A38E5">
        <w:rPr>
          <w:i/>
        </w:rPr>
        <w:t>Karpyuk</w:t>
      </w:r>
      <w:proofErr w:type="spellEnd"/>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Others</w:t>
      </w:r>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Ukraine</w:t>
      </w:r>
      <w:r w:rsidR="00D4256A" w:rsidRPr="000A38E5">
        <w:rPr>
          <w:lang w:val="ru-RU"/>
        </w:rPr>
        <w:t xml:space="preserve">, </w:t>
      </w:r>
      <w:r w:rsidR="00D4256A" w:rsidRPr="000A38E5">
        <w:rPr>
          <w:lang w:val="uk-UA"/>
        </w:rPr>
        <w:t>№№</w:t>
      </w:r>
      <w:r w:rsidR="00D4256A" w:rsidRPr="000A38E5">
        <w:rPr>
          <w:lang w:val="ru-RU"/>
        </w:rPr>
        <w:t xml:space="preserve"> 30582/04 </w:t>
      </w:r>
      <w:r w:rsidR="00D4256A" w:rsidRPr="000A38E5">
        <w:rPr>
          <w:lang w:val="uk-UA"/>
        </w:rPr>
        <w:t>та</w:t>
      </w:r>
      <w:r w:rsidR="00D4256A" w:rsidRPr="000A38E5">
        <w:rPr>
          <w:lang w:val="ru-RU"/>
        </w:rPr>
        <w:t xml:space="preserve"> 32152/04</w:t>
      </w:r>
      <w:r w:rsidR="00D4256A" w:rsidRPr="000A38E5">
        <w:rPr>
          <w:snapToGrid w:val="0"/>
          <w:lang w:val="ru-RU"/>
        </w:rPr>
        <w:t xml:space="preserve">, </w:t>
      </w:r>
      <w:r w:rsidR="00D4256A" w:rsidRPr="000A38E5">
        <w:rPr>
          <w:lang w:val="ru-RU"/>
        </w:rPr>
        <w:t>§§</w:t>
      </w:r>
      <w:r w:rsidR="00D4256A" w:rsidRPr="000A38E5">
        <w:t> </w:t>
      </w:r>
      <w:r w:rsidR="00D4256A" w:rsidRPr="000A38E5">
        <w:rPr>
          <w:lang w:val="ru-RU"/>
        </w:rPr>
        <w:t>194</w:t>
      </w:r>
      <w:r w:rsidR="00D4256A" w:rsidRPr="000A38E5">
        <w:rPr>
          <w:lang w:val="ru-RU"/>
        </w:rPr>
        <w:noBreakHyphen/>
        <w:t>209</w:t>
      </w:r>
      <w:r w:rsidR="00D4256A" w:rsidRPr="000A38E5">
        <w:rPr>
          <w:snapToGrid w:val="0"/>
          <w:lang w:val="ru-RU"/>
        </w:rPr>
        <w:t xml:space="preserve">, 6 </w:t>
      </w:r>
      <w:r w:rsidR="00D4256A" w:rsidRPr="000A38E5">
        <w:rPr>
          <w:snapToGrid w:val="0"/>
          <w:lang w:val="uk-UA"/>
        </w:rPr>
        <w:t>жовтня</w:t>
      </w:r>
      <w:r w:rsidR="00D4256A" w:rsidRPr="000A38E5">
        <w:rPr>
          <w:snapToGrid w:val="0"/>
          <w:lang w:val="ru-RU"/>
        </w:rPr>
        <w:t xml:space="preserve"> 2015</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249</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З рішень національних судів, або, насправді, з інших документів</w:t>
      </w:r>
      <w:r w:rsidR="00D4256A" w:rsidRPr="000A38E5">
        <w:rPr>
          <w:lang w:val="ru-RU"/>
        </w:rPr>
        <w:t xml:space="preserve"> </w:t>
      </w:r>
      <w:r w:rsidR="00D4256A" w:rsidRPr="000A38E5">
        <w:rPr>
          <w:lang w:val="uk-UA"/>
        </w:rPr>
        <w:t>у національних матеріалах стосовно справ про адміністративні порушення не повністю ясно</w:t>
      </w:r>
      <w:r w:rsidR="00D4256A" w:rsidRPr="000A38E5">
        <w:rPr>
          <w:lang w:val="ru-RU"/>
        </w:rPr>
        <w:t xml:space="preserve">, </w:t>
      </w:r>
      <w:r w:rsidR="00D4256A" w:rsidRPr="000A38E5">
        <w:rPr>
          <w:lang w:val="uk-UA"/>
        </w:rPr>
        <w:t>коли міліція видала наказ, який не виконали заявники</w:t>
      </w:r>
      <w:r w:rsidR="00D4256A" w:rsidRPr="000A38E5">
        <w:rPr>
          <w:lang w:val="ru-RU"/>
        </w:rPr>
        <w:t xml:space="preserve">, </w:t>
      </w:r>
      <w:r w:rsidR="00D4256A" w:rsidRPr="000A38E5">
        <w:rPr>
          <w:lang w:val="uk-UA"/>
        </w:rPr>
        <w:t>що призвело до їх затримання та засудження</w:t>
      </w:r>
      <w:r w:rsidR="00D4256A" w:rsidRPr="000A38E5">
        <w:rPr>
          <w:lang w:val="ru-RU"/>
        </w:rPr>
        <w:t xml:space="preserve">. </w:t>
      </w:r>
      <w:r w:rsidR="00D4256A" w:rsidRPr="000A38E5">
        <w:rPr>
          <w:lang w:val="uk-UA"/>
        </w:rPr>
        <w:t>За таких обставин Суд не вбачає підстави ставити під сумнів доводи заявників</w:t>
      </w:r>
      <w:r w:rsidR="00D4256A" w:rsidRPr="000A38E5">
        <w:rPr>
          <w:lang w:val="ru-RU"/>
        </w:rPr>
        <w:t xml:space="preserve"> </w:t>
      </w:r>
      <w:r w:rsidR="00D4256A" w:rsidRPr="000A38E5">
        <w:rPr>
          <w:lang w:val="uk-UA"/>
        </w:rPr>
        <w:t>про те, що єдиним наказом міліції був наказ, згаданий у попередньому пункті,</w:t>
      </w:r>
      <w:r w:rsidR="00D4256A" w:rsidRPr="000A38E5">
        <w:rPr>
          <w:lang w:val="ru-RU"/>
        </w:rPr>
        <w:t xml:space="preserve"> </w:t>
      </w:r>
      <w:r w:rsidR="00D4256A" w:rsidRPr="000A38E5">
        <w:rPr>
          <w:lang w:val="uk-UA"/>
        </w:rPr>
        <w:t>який був виданий, коли заявники вже були оточені та заблоковані охоронцями</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250</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Суд спостерігає, що цей міліцейський наказ, як видається, був відданий</w:t>
      </w:r>
      <w:r w:rsidR="00D4256A" w:rsidRPr="000A38E5">
        <w:rPr>
          <w:lang w:val="ru-RU"/>
        </w:rPr>
        <w:t xml:space="preserve"> </w:t>
      </w:r>
      <w:r w:rsidR="00D4256A" w:rsidRPr="000A38E5">
        <w:rPr>
          <w:lang w:val="uk-UA"/>
        </w:rPr>
        <w:t>звичним голосом</w:t>
      </w:r>
      <w:r w:rsidR="00D4256A" w:rsidRPr="000A38E5">
        <w:rPr>
          <w:lang w:val="ru-RU"/>
        </w:rPr>
        <w:t xml:space="preserve"> </w:t>
      </w:r>
      <w:r w:rsidR="00D4256A" w:rsidRPr="000A38E5">
        <w:rPr>
          <w:lang w:val="uk-UA"/>
        </w:rPr>
        <w:t>без використання посилюючого обладнання, незважаючи на галасливе оточення</w:t>
      </w:r>
      <w:r w:rsidR="00D4256A" w:rsidRPr="000A38E5">
        <w:rPr>
          <w:lang w:val="ru-RU"/>
        </w:rPr>
        <w:t xml:space="preserve">. </w:t>
      </w:r>
      <w:r w:rsidR="00D4256A" w:rsidRPr="000A38E5">
        <w:rPr>
          <w:lang w:val="uk-UA"/>
        </w:rPr>
        <w:t>Крім того, виданий до цього наказ розійтися був даний особою без міліцейських відзнак</w:t>
      </w:r>
      <w:r w:rsidR="00D4256A" w:rsidRPr="000A38E5">
        <w:rPr>
          <w:lang w:val="ru-RU"/>
        </w:rPr>
        <w:t xml:space="preserve">, </w:t>
      </w:r>
      <w:r w:rsidR="00D4256A" w:rsidRPr="000A38E5">
        <w:rPr>
          <w:lang w:val="uk-UA"/>
        </w:rPr>
        <w:t>як видається – цивільною особою</w:t>
      </w:r>
      <w:r w:rsidR="00D4256A" w:rsidRPr="000A38E5">
        <w:rPr>
          <w:lang w:val="ru-RU"/>
        </w:rPr>
        <w:t xml:space="preserve">, </w:t>
      </w:r>
      <w:r w:rsidR="00D4256A" w:rsidRPr="000A38E5">
        <w:rPr>
          <w:lang w:val="uk-UA"/>
        </w:rPr>
        <w:t>і його невиконання призвело до затримання протестуючих охоронцями</w:t>
      </w:r>
      <w:r w:rsidR="00D4256A" w:rsidRPr="000A38E5">
        <w:rPr>
          <w:lang w:val="ru-RU"/>
        </w:rPr>
        <w:t xml:space="preserve">. </w:t>
      </w:r>
      <w:r w:rsidR="00D4256A" w:rsidRPr="000A38E5">
        <w:rPr>
          <w:lang w:val="uk-UA"/>
        </w:rPr>
        <w:t>Є підстави сумніватися, що наказ, коли його повторила міліція, був негайно почутий</w:t>
      </w:r>
      <w:r w:rsidR="00D4256A" w:rsidRPr="000A38E5">
        <w:rPr>
          <w:lang w:val="ru-RU"/>
        </w:rPr>
        <w:t xml:space="preserve"> </w:t>
      </w:r>
      <w:r w:rsidR="00D4256A" w:rsidRPr="000A38E5">
        <w:rPr>
          <w:lang w:val="uk-UA"/>
        </w:rPr>
        <w:t>та був чітким для усіх протестуючих</w:t>
      </w:r>
      <w:r w:rsidR="00D4256A" w:rsidRPr="000A38E5">
        <w:rPr>
          <w:lang w:val="ru-RU"/>
        </w:rPr>
        <w:t xml:space="preserve"> (</w:t>
      </w:r>
      <w:r w:rsidR="00D4256A" w:rsidRPr="000A38E5">
        <w:rPr>
          <w:lang w:val="uk-UA"/>
        </w:rPr>
        <w:t>див., наприклад, у пункті</w:t>
      </w:r>
      <w:r w:rsidR="00D4256A" w:rsidRPr="000A38E5">
        <w:rPr>
          <w:lang w:val="ru-RU"/>
        </w:rPr>
        <w:t xml:space="preserve"> </w:t>
      </w:r>
      <w:fldSimple w:instr=" REF eight_applicant \h  \* MERGEFORMAT ">
        <w:r w:rsidR="00D4256A" w:rsidRPr="000A38E5">
          <w:rPr>
            <w:noProof/>
            <w:lang w:val="ru-RU"/>
          </w:rPr>
          <w:t>63</w:t>
        </w:r>
      </w:fldSimple>
      <w:r w:rsidR="00D4256A" w:rsidRPr="000A38E5">
        <w:rPr>
          <w:lang w:val="ru-RU"/>
        </w:rPr>
        <w:t xml:space="preserve"> </w:t>
      </w:r>
      <w:r w:rsidR="00D4256A" w:rsidRPr="000A38E5">
        <w:rPr>
          <w:lang w:val="uk-UA"/>
        </w:rPr>
        <w:t>вище висновки національного суду</w:t>
      </w:r>
      <w:r w:rsidR="00D4256A" w:rsidRPr="000A38E5">
        <w:rPr>
          <w:lang w:val="ru-RU"/>
        </w:rPr>
        <w:t xml:space="preserve"> </w:t>
      </w:r>
      <w:r w:rsidR="00D4256A" w:rsidRPr="000A38E5">
        <w:rPr>
          <w:lang w:val="uk-UA"/>
        </w:rPr>
        <w:t>у справі восьмого та десятого заявників,</w:t>
      </w:r>
      <w:r w:rsidR="00D4256A" w:rsidRPr="000A38E5">
        <w:rPr>
          <w:lang w:val="ru-RU"/>
        </w:rPr>
        <w:t xml:space="preserve"> </w:t>
      </w:r>
      <w:r w:rsidR="00D4256A" w:rsidRPr="000A38E5">
        <w:rPr>
          <w:lang w:val="uk-UA"/>
        </w:rPr>
        <w:t>які були заарештовані у той же час, як і заявники з першого до шостого,</w:t>
      </w:r>
      <w:r w:rsidR="00D4256A" w:rsidRPr="000A38E5">
        <w:rPr>
          <w:lang w:val="ru-RU"/>
        </w:rPr>
        <w:t xml:space="preserve"> </w:t>
      </w:r>
      <w:r w:rsidR="00D4256A" w:rsidRPr="000A38E5">
        <w:rPr>
          <w:lang w:val="uk-UA"/>
        </w:rPr>
        <w:t>і провадження проти них були припинені</w:t>
      </w:r>
      <w:r w:rsidR="00D4256A" w:rsidRPr="000A38E5">
        <w:rPr>
          <w:lang w:val="ru-RU"/>
        </w:rPr>
        <w:t xml:space="preserve">). </w:t>
      </w:r>
      <w:r w:rsidR="00D4256A" w:rsidRPr="000A38E5">
        <w:rPr>
          <w:lang w:val="uk-UA"/>
        </w:rPr>
        <w:t>У будь-якому випадку, це повторення відбулося тільки після того, як пересування протестуючих вже було обмеженим</w:t>
      </w:r>
      <w:r w:rsidR="00D4256A" w:rsidRPr="000A38E5">
        <w:rPr>
          <w:lang w:val="ru-RU"/>
        </w:rPr>
        <w:t xml:space="preserve">. </w:t>
      </w:r>
      <w:r w:rsidR="00D4256A" w:rsidRPr="000A38E5">
        <w:rPr>
          <w:lang w:val="uk-UA"/>
        </w:rPr>
        <w:t>Крім того, не можна сказати, що органи влади були знаходилися в меншості або що існуючі обставини перешкоджали їм спілкуватися з більшою ясністю</w:t>
      </w:r>
      <w:r w:rsidR="00D4256A" w:rsidRPr="000A38E5">
        <w:rPr>
          <w:lang w:val="ru-RU"/>
        </w:rPr>
        <w:t xml:space="preserve">: </w:t>
      </w:r>
      <w:r w:rsidR="00D4256A" w:rsidRPr="000A38E5">
        <w:rPr>
          <w:lang w:val="uk-UA"/>
        </w:rPr>
        <w:t>на час, коли міліція дала цей наказ, протестуючі повністю знаходилися у тісному колі</w:t>
      </w:r>
      <w:r w:rsidR="00D4256A" w:rsidRPr="000A38E5">
        <w:rPr>
          <w:lang w:val="ru-RU"/>
        </w:rPr>
        <w:t xml:space="preserve"> </w:t>
      </w:r>
      <w:r w:rsidR="00D4256A" w:rsidRPr="000A38E5">
        <w:rPr>
          <w:lang w:val="uk-UA"/>
        </w:rPr>
        <w:t>охоронців</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251</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За таких обставин Суд не може виключити, що існував певний ступінь розгубленості з боку протестуючих</w:t>
      </w:r>
      <w:r w:rsidR="00D4256A" w:rsidRPr="000A38E5">
        <w:rPr>
          <w:lang w:val="ru-RU"/>
        </w:rPr>
        <w:t xml:space="preserve">, </w:t>
      </w:r>
      <w:r w:rsidR="00D4256A" w:rsidRPr="000A38E5">
        <w:rPr>
          <w:lang w:val="uk-UA"/>
        </w:rPr>
        <w:t>у тому числі заявників</w:t>
      </w:r>
      <w:r w:rsidR="00D4256A" w:rsidRPr="000A38E5">
        <w:rPr>
          <w:lang w:val="ru-RU"/>
        </w:rPr>
        <w:t xml:space="preserve">, </w:t>
      </w:r>
      <w:r w:rsidR="00D4256A" w:rsidRPr="000A38E5">
        <w:rPr>
          <w:lang w:val="uk-UA"/>
        </w:rPr>
        <w:t>по відношенню до органу влади, який дав наказ покинути місце подій,</w:t>
      </w:r>
      <w:r w:rsidR="00D4256A" w:rsidRPr="000A38E5">
        <w:rPr>
          <w:lang w:val="ru-RU"/>
        </w:rPr>
        <w:t xml:space="preserve"> </w:t>
      </w:r>
      <w:r w:rsidR="00D4256A" w:rsidRPr="000A38E5">
        <w:rPr>
          <w:lang w:val="uk-UA"/>
        </w:rPr>
        <w:t>та практичних шляхів виконання цього наказу</w:t>
      </w:r>
      <w:r w:rsidR="00D4256A" w:rsidRPr="000A38E5">
        <w:rPr>
          <w:lang w:val="ru-RU"/>
        </w:rPr>
        <w:t xml:space="preserve">. </w:t>
      </w:r>
      <w:r w:rsidR="00D4256A" w:rsidRPr="000A38E5">
        <w:rPr>
          <w:lang w:val="uk-UA"/>
        </w:rPr>
        <w:t>Ця розгубленість була частково наслідком неясності у розподілі повноважень між міліцією та охоронцями</w:t>
      </w:r>
      <w:r w:rsidR="00D4256A" w:rsidRPr="000A38E5">
        <w:rPr>
          <w:lang w:val="ru-RU"/>
        </w:rPr>
        <w:t xml:space="preserve">. </w:t>
      </w:r>
      <w:r w:rsidR="00D4256A" w:rsidRPr="000A38E5">
        <w:rPr>
          <w:lang w:val="uk-UA"/>
        </w:rPr>
        <w:t>У цьому контексті Суд зазначає, що Керівні принципи щодо свободи мирних зібрань</w:t>
      </w:r>
      <w:r w:rsidR="00D4256A" w:rsidRPr="000A38E5">
        <w:rPr>
          <w:lang w:val="ru-RU"/>
        </w:rPr>
        <w:t xml:space="preserve"> </w:t>
      </w:r>
      <w:r w:rsidR="00D4256A" w:rsidRPr="000A38E5">
        <w:rPr>
          <w:lang w:val="uk-UA"/>
        </w:rPr>
        <w:t>підкреслюють необхідність ясності по відношенню до органу,</w:t>
      </w:r>
      <w:r w:rsidR="00D4256A" w:rsidRPr="000A38E5">
        <w:rPr>
          <w:lang w:val="ru-RU"/>
        </w:rPr>
        <w:t xml:space="preserve"> </w:t>
      </w:r>
      <w:r w:rsidR="00D4256A" w:rsidRPr="000A38E5">
        <w:rPr>
          <w:lang w:val="uk-UA"/>
        </w:rPr>
        <w:t>який наказує розійтися, та важливість надання достатнього часу для виконання такого наказу</w:t>
      </w:r>
      <w:r w:rsidR="00D4256A" w:rsidRPr="000A38E5">
        <w:rPr>
          <w:lang w:val="ru-RU"/>
        </w:rPr>
        <w:t xml:space="preserve"> (</w:t>
      </w:r>
      <w:r w:rsidR="00D4256A" w:rsidRPr="000A38E5">
        <w:rPr>
          <w:lang w:val="uk-UA"/>
        </w:rPr>
        <w:t>див.</w:t>
      </w:r>
      <w:r w:rsidR="00D4256A" w:rsidRPr="000A38E5">
        <w:rPr>
          <w:lang w:val="ru-RU"/>
        </w:rPr>
        <w:t xml:space="preserve"> § 168 </w:t>
      </w:r>
      <w:r w:rsidR="00D4256A" w:rsidRPr="000A38E5">
        <w:rPr>
          <w:lang w:val="uk-UA"/>
        </w:rPr>
        <w:t>Керівних принципів у пункті</w:t>
      </w:r>
      <w:r w:rsidR="00D4256A" w:rsidRPr="000A38E5">
        <w:rPr>
          <w:lang w:val="ru-RU"/>
        </w:rPr>
        <w:t xml:space="preserve"> </w:t>
      </w:r>
      <w:fldSimple w:instr=" REF OSCE_guidelines \h  \* MERGEFORMAT ">
        <w:r w:rsidR="00D4256A" w:rsidRPr="000A38E5">
          <w:rPr>
            <w:noProof/>
            <w:lang w:val="ru-RU"/>
          </w:rPr>
          <w:t>113</w:t>
        </w:r>
      </w:fldSimple>
      <w:r w:rsidR="00D4256A" w:rsidRPr="000A38E5">
        <w:rPr>
          <w:lang w:val="ru-RU"/>
        </w:rPr>
        <w:t xml:space="preserve"> </w:t>
      </w:r>
      <w:r w:rsidR="00D4256A" w:rsidRPr="000A38E5">
        <w:rPr>
          <w:lang w:val="uk-UA"/>
        </w:rPr>
        <w:t>вище</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252</w:t>
      </w:r>
      <w:r w:rsidRPr="000A38E5">
        <w:fldChar w:fldCharType="end"/>
      </w:r>
      <w:r w:rsidR="00D4256A" w:rsidRPr="000A38E5">
        <w:rPr>
          <w:lang w:val="ru-RU"/>
        </w:rPr>
        <w:t>.</w:t>
      </w:r>
      <w:r w:rsidR="00D4256A" w:rsidRPr="00E93710">
        <w:rPr>
          <w:lang w:val="ru-RU"/>
        </w:rPr>
        <w:t xml:space="preserve"> </w:t>
      </w:r>
      <w:r w:rsidR="00D4256A" w:rsidRPr="000A38E5">
        <w:rPr>
          <w:lang w:val="uk-UA"/>
        </w:rPr>
        <w:t>Цей аспект справи є особливо важливим у світлі</w:t>
      </w:r>
      <w:r w:rsidR="00D4256A" w:rsidRPr="000A38E5">
        <w:rPr>
          <w:lang w:val="ru-RU"/>
        </w:rPr>
        <w:t xml:space="preserve"> </w:t>
      </w:r>
      <w:r w:rsidR="00D4256A" w:rsidRPr="000A38E5">
        <w:rPr>
          <w:lang w:val="uk-UA"/>
        </w:rPr>
        <w:t>висловленого міжнародною спільнотою занепокоєння</w:t>
      </w:r>
      <w:r w:rsidR="00D4256A" w:rsidRPr="000A38E5">
        <w:rPr>
          <w:lang w:val="ru-RU"/>
        </w:rPr>
        <w:t xml:space="preserve"> </w:t>
      </w:r>
      <w:r w:rsidR="00D4256A" w:rsidRPr="000A38E5">
        <w:rPr>
          <w:lang w:val="uk-UA"/>
        </w:rPr>
        <w:t>щодо доречності використання приватних охоронців</w:t>
      </w:r>
      <w:r w:rsidR="00D4256A" w:rsidRPr="000A38E5">
        <w:rPr>
          <w:lang w:val="ru-RU"/>
        </w:rPr>
        <w:t xml:space="preserve"> </w:t>
      </w:r>
      <w:r w:rsidR="00D4256A" w:rsidRPr="000A38E5">
        <w:rPr>
          <w:lang w:val="uk-UA"/>
        </w:rPr>
        <w:t>для розгону осіб, які здійснюють право на свободу мирних зібрань,</w:t>
      </w:r>
      <w:r w:rsidR="00D4256A" w:rsidRPr="000A38E5">
        <w:rPr>
          <w:lang w:val="ru-RU"/>
        </w:rPr>
        <w:t xml:space="preserve"> </w:t>
      </w:r>
      <w:r w:rsidR="00D4256A" w:rsidRPr="000A38E5">
        <w:rPr>
          <w:lang w:val="uk-UA"/>
        </w:rPr>
        <w:t>та необхідності застосовувати втручання міліції</w:t>
      </w:r>
      <w:r w:rsidR="00D4256A" w:rsidRPr="000A38E5">
        <w:rPr>
          <w:lang w:val="ru-RU"/>
        </w:rPr>
        <w:t xml:space="preserve">, </w:t>
      </w:r>
      <w:r w:rsidR="00D4256A" w:rsidRPr="000A38E5">
        <w:rPr>
          <w:lang w:val="uk-UA"/>
        </w:rPr>
        <w:t>а не приватних охоронців</w:t>
      </w:r>
      <w:r w:rsidR="00D4256A" w:rsidRPr="000A38E5">
        <w:rPr>
          <w:lang w:val="ru-RU"/>
        </w:rPr>
        <w:t xml:space="preserve">, </w:t>
      </w:r>
      <w:r w:rsidR="00D4256A" w:rsidRPr="000A38E5">
        <w:rPr>
          <w:lang w:val="uk-UA"/>
        </w:rPr>
        <w:t>у випадку сумнівів</w:t>
      </w:r>
      <w:r w:rsidR="00D4256A" w:rsidRPr="000A38E5">
        <w:rPr>
          <w:lang w:val="ru-RU"/>
        </w:rPr>
        <w:t xml:space="preserve"> (</w:t>
      </w:r>
      <w:r w:rsidR="00D4256A" w:rsidRPr="000A38E5">
        <w:rPr>
          <w:lang w:val="uk-UA"/>
        </w:rPr>
        <w:t>див. пункти</w:t>
      </w:r>
      <w:r w:rsidR="00D4256A" w:rsidRPr="000A38E5">
        <w:rPr>
          <w:lang w:val="ru-RU"/>
        </w:rPr>
        <w:t xml:space="preserve"> </w:t>
      </w:r>
      <w:fldSimple w:instr=" REF SR_joint_report \h  \* MERGEFORMAT ">
        <w:r w:rsidR="00D4256A" w:rsidRPr="000A38E5">
          <w:rPr>
            <w:noProof/>
            <w:lang w:val="ru-RU"/>
          </w:rPr>
          <w:t>114</w:t>
        </w:r>
      </w:fldSimple>
      <w:r w:rsidR="00D4256A" w:rsidRPr="000A38E5">
        <w:rPr>
          <w:lang w:val="ru-RU"/>
        </w:rPr>
        <w:t xml:space="preserve"> </w:t>
      </w:r>
      <w:r w:rsidR="00D4256A" w:rsidRPr="000A38E5">
        <w:rPr>
          <w:lang w:val="uk-UA"/>
        </w:rPr>
        <w:t>та</w:t>
      </w:r>
      <w:r w:rsidR="00D4256A" w:rsidRPr="000A38E5">
        <w:t> </w:t>
      </w:r>
      <w:fldSimple w:instr=" REF SR_report \h  \* MERGEFORMAT ">
        <w:r w:rsidR="00D4256A" w:rsidRPr="000A38E5">
          <w:rPr>
            <w:noProof/>
            <w:lang w:val="ru-RU"/>
          </w:rPr>
          <w:t>115</w:t>
        </w:r>
      </w:fldSimple>
      <w:r w:rsidR="00D4256A" w:rsidRPr="000A38E5">
        <w:rPr>
          <w:lang w:val="ru-RU"/>
        </w:rPr>
        <w:t xml:space="preserve"> </w:t>
      </w:r>
      <w:r w:rsidR="00D4256A" w:rsidRPr="000A38E5">
        <w:rPr>
          <w:lang w:val="uk-UA"/>
        </w:rPr>
        <w:t>вище та див. пункт</w:t>
      </w:r>
      <w:r w:rsidR="00D4256A" w:rsidRPr="000A38E5">
        <w:rPr>
          <w:lang w:val="ru-RU"/>
        </w:rPr>
        <w:t xml:space="preserve"> </w:t>
      </w:r>
      <w:fldSimple w:instr=" REF MG_public_private_status \h  \* MERGEFORMAT ">
        <w:r w:rsidR="00D4256A" w:rsidRPr="000A38E5">
          <w:rPr>
            <w:noProof/>
            <w:lang w:val="ru-RU"/>
          </w:rPr>
          <w:t>128</w:t>
        </w:r>
      </w:fldSimple>
      <w:r w:rsidR="00D4256A" w:rsidRPr="000A38E5">
        <w:rPr>
          <w:lang w:val="ru-RU"/>
        </w:rPr>
        <w:t xml:space="preserve"> </w:t>
      </w:r>
      <w:r w:rsidR="00D4256A" w:rsidRPr="000A38E5">
        <w:rPr>
          <w:lang w:val="uk-UA"/>
        </w:rPr>
        <w:t xml:space="preserve">стосовно працівників </w:t>
      </w:r>
      <w:proofErr w:type="spellStart"/>
      <w:r w:rsidR="00D4256A" w:rsidRPr="000A38E5">
        <w:rPr>
          <w:lang w:val="uk-UA"/>
        </w:rPr>
        <w:t>МО</w:t>
      </w:r>
      <w:proofErr w:type="spellEnd"/>
      <w:r w:rsidR="00D4256A" w:rsidRPr="000A38E5">
        <w:rPr>
          <w:lang w:val="uk-UA"/>
        </w:rPr>
        <w:t>, статус яких дорівнює статусу приватних охоронців</w:t>
      </w:r>
      <w:r w:rsidR="00D4256A" w:rsidRPr="000A38E5">
        <w:rPr>
          <w:lang w:val="ru-RU"/>
        </w:rPr>
        <w:t>).</w:t>
      </w:r>
    </w:p>
    <w:p w:rsidR="00D4256A" w:rsidRPr="000A38E5" w:rsidRDefault="004E7608" w:rsidP="00D4256A">
      <w:pPr>
        <w:pStyle w:val="ECHRPara"/>
        <w:rPr>
          <w:lang w:val="uk-UA"/>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253</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Тим не менш, самих по собі наведених вище міркувань недостатньо для того, щоб Суд визнав, що національні суди</w:t>
      </w:r>
      <w:r w:rsidR="00D4256A" w:rsidRPr="000A38E5">
        <w:rPr>
          <w:lang w:val="ru-RU"/>
        </w:rPr>
        <w:t xml:space="preserve">, </w:t>
      </w:r>
      <w:r w:rsidR="00D4256A" w:rsidRPr="000A38E5">
        <w:rPr>
          <w:lang w:val="uk-UA"/>
        </w:rPr>
        <w:t>які мали перевагу безпосереднього спостереження за усіма доказами у справі</w:t>
      </w:r>
      <w:r w:rsidR="00D4256A" w:rsidRPr="000A38E5">
        <w:rPr>
          <w:lang w:val="ru-RU"/>
        </w:rPr>
        <w:t xml:space="preserve">, </w:t>
      </w:r>
      <w:r w:rsidR="00D4256A" w:rsidRPr="000A38E5">
        <w:rPr>
          <w:lang w:val="uk-UA"/>
        </w:rPr>
        <w:t>у тому числі заслуховуванні свідків</w:t>
      </w:r>
      <w:r w:rsidR="00D4256A" w:rsidRPr="000A38E5">
        <w:rPr>
          <w:lang w:val="ru-RU"/>
        </w:rPr>
        <w:t xml:space="preserve">, </w:t>
      </w:r>
      <w:r w:rsidR="00D4256A" w:rsidRPr="000A38E5">
        <w:rPr>
          <w:lang w:val="uk-UA"/>
        </w:rPr>
        <w:t>помилилися у своїх фактичних висновках про те, що заявники</w:t>
      </w:r>
      <w:r w:rsidR="00D4256A" w:rsidRPr="000A38E5">
        <w:rPr>
          <w:lang w:val="ru-RU"/>
        </w:rPr>
        <w:t xml:space="preserve"> </w:t>
      </w:r>
      <w:r w:rsidR="00D4256A" w:rsidRPr="000A38E5">
        <w:rPr>
          <w:lang w:val="uk-UA"/>
        </w:rPr>
        <w:t>дійсно не виконали наказ міліції розійтися</w:t>
      </w:r>
      <w:r w:rsidR="00D4256A" w:rsidRPr="000A38E5">
        <w:rPr>
          <w:lang w:val="ru-RU"/>
        </w:rPr>
        <w:t xml:space="preserve">. </w:t>
      </w:r>
      <w:r w:rsidR="00D4256A" w:rsidRPr="000A38E5">
        <w:rPr>
          <w:lang w:val="uk-UA"/>
        </w:rPr>
        <w:t xml:space="preserve">Зрештою, ситуацію 28 травня 2010 року слід розглядати не в ізоляції, а в більш широкому контексті подій: до цього дня було публічно відомим, що на тій території, де були присутні заявники, розгортався проект будівництва, і заявники, які, за власним визнанням, приймали участь у протестах з 20 травня 2010 року, не могли не знати, що міліція могла бути використана для запобігання їх втручанню у повалення дерев та будівництво (див. пункти </w:t>
      </w:r>
      <w:fldSimple w:instr=" REF video_20_May \h  \* MERGEFORMAT ">
        <w:r w:rsidR="00D4256A" w:rsidRPr="000A38E5">
          <w:rPr>
            <w:noProof/>
            <w:lang w:val="uk-UA"/>
          </w:rPr>
          <w:t>31</w:t>
        </w:r>
      </w:fldSimple>
      <w:r w:rsidR="00D4256A" w:rsidRPr="000A38E5">
        <w:rPr>
          <w:lang w:val="uk-UA"/>
        </w:rPr>
        <w:t xml:space="preserve"> та </w:t>
      </w:r>
      <w:fldSimple w:instr=" REF video_25_May \h  \* MERGEFORMAT ">
        <w:r w:rsidR="00D4256A" w:rsidRPr="000A38E5">
          <w:rPr>
            <w:noProof/>
            <w:lang w:val="uk-UA"/>
          </w:rPr>
          <w:t>35</w:t>
        </w:r>
      </w:fldSimple>
      <w:r w:rsidR="00D4256A" w:rsidRPr="000A38E5">
        <w:rPr>
          <w:lang w:val="uk-UA"/>
        </w:rPr>
        <w:t xml:space="preserve"> вище стосовно доказів щодо подій 20 та 25 травня, наприклад, та порівняйте з </w:t>
      </w:r>
      <w:proofErr w:type="spellStart"/>
      <w:r w:rsidR="00D4256A" w:rsidRPr="000A38E5">
        <w:rPr>
          <w:i/>
        </w:rPr>
        <w:t>Pentik</w:t>
      </w:r>
      <w:proofErr w:type="spellEnd"/>
      <w:r w:rsidR="00D4256A" w:rsidRPr="000A38E5">
        <w:rPr>
          <w:i/>
          <w:lang w:val="uk-UA"/>
        </w:rPr>
        <w:t>ä</w:t>
      </w:r>
      <w:proofErr w:type="spellStart"/>
      <w:r w:rsidR="00D4256A" w:rsidRPr="000A38E5">
        <w:rPr>
          <w:i/>
        </w:rPr>
        <w:t>inen</w:t>
      </w:r>
      <w:proofErr w:type="spellEnd"/>
      <w:r w:rsidR="00D4256A" w:rsidRPr="000A38E5">
        <w:rPr>
          <w:i/>
          <w:lang w:val="uk-UA"/>
        </w:rPr>
        <w:t xml:space="preserve"> </w:t>
      </w:r>
      <w:r w:rsidR="00D4256A" w:rsidRPr="000A38E5">
        <w:rPr>
          <w:i/>
        </w:rPr>
        <w:t>v</w:t>
      </w:r>
      <w:r w:rsidR="00D4256A" w:rsidRPr="000A38E5">
        <w:rPr>
          <w:i/>
          <w:lang w:val="uk-UA"/>
        </w:rPr>
        <w:t xml:space="preserve">. </w:t>
      </w:r>
      <w:r w:rsidR="00D4256A" w:rsidRPr="000A38E5">
        <w:rPr>
          <w:i/>
        </w:rPr>
        <w:t>Finland</w:t>
      </w:r>
      <w:r w:rsidR="00D4256A" w:rsidRPr="000A38E5">
        <w:rPr>
          <w:i/>
          <w:lang w:val="uk-UA"/>
        </w:rPr>
        <w:t xml:space="preserve"> </w:t>
      </w:r>
      <w:r w:rsidR="00D4256A" w:rsidRPr="000A38E5">
        <w:rPr>
          <w:lang w:val="uk-UA"/>
        </w:rPr>
        <w:t>[</w:t>
      </w:r>
      <w:r w:rsidR="00D4256A" w:rsidRPr="000A38E5">
        <w:t>GC</w:t>
      </w:r>
      <w:r w:rsidR="00D4256A" w:rsidRPr="000A38E5">
        <w:rPr>
          <w:lang w:val="uk-UA"/>
        </w:rPr>
        <w:t>], №</w:t>
      </w:r>
      <w:r w:rsidR="00D4256A" w:rsidRPr="000A38E5">
        <w:t> </w:t>
      </w:r>
      <w:r w:rsidR="00D4256A" w:rsidRPr="000A38E5">
        <w:rPr>
          <w:lang w:val="uk-UA"/>
        </w:rPr>
        <w:t xml:space="preserve">11882/10, § 100, </w:t>
      </w:r>
      <w:r w:rsidR="00D4256A" w:rsidRPr="000A38E5">
        <w:t>ECHR</w:t>
      </w:r>
      <w:r w:rsidR="00D4256A" w:rsidRPr="000A38E5">
        <w:rPr>
          <w:lang w:val="uk-UA"/>
        </w:rPr>
        <w:t xml:space="preserve"> 2015). Крім того, не слід забувати, що докази самих заявників підтверджують, що деякі протестуючі дійсно намагалися перешкоджати </w:t>
      </w:r>
      <w:r w:rsidR="00D4256A" w:rsidRPr="000A38E5">
        <w:rPr>
          <w:lang w:val="uk-UA"/>
        </w:rPr>
        <w:lastRenderedPageBreak/>
        <w:t xml:space="preserve">зусиллям міліції щодо видалення їх з місця будівництва, принаймні пасивно, коли вони волокли ноги (див. пункт </w:t>
      </w:r>
      <w:fldSimple w:instr=" REF video_28_May \h  \* MERGEFORMAT ">
        <w:r w:rsidR="00D4256A" w:rsidRPr="000A38E5">
          <w:rPr>
            <w:noProof/>
            <w:lang w:val="uk-UA"/>
          </w:rPr>
          <w:t>45</w:t>
        </w:r>
      </w:fldSimple>
      <w:r w:rsidR="00D4256A" w:rsidRPr="000A38E5">
        <w:rPr>
          <w:lang w:val="uk-UA"/>
        </w:rPr>
        <w:t xml:space="preserve"> вище).</w:t>
      </w:r>
    </w:p>
    <w:p w:rsidR="00D4256A" w:rsidRPr="000A38E5" w:rsidRDefault="004E7608" w:rsidP="00D4256A">
      <w:pPr>
        <w:pStyle w:val="ECHRPara"/>
        <w:rPr>
          <w:lang w:val="ru-RU"/>
        </w:rPr>
      </w:pPr>
      <w:r w:rsidRPr="000A38E5">
        <w:fldChar w:fldCharType="begin"/>
      </w:r>
      <w:r w:rsidR="00D4256A" w:rsidRPr="000A38E5">
        <w:rPr>
          <w:lang w:val="uk-UA"/>
        </w:rPr>
        <w:instrText xml:space="preserve"> </w:instrText>
      </w:r>
      <w:r w:rsidR="00D4256A" w:rsidRPr="000A38E5">
        <w:instrText>SEQ</w:instrText>
      </w:r>
      <w:r w:rsidR="00D4256A" w:rsidRPr="000A38E5">
        <w:rPr>
          <w:lang w:val="uk-UA"/>
        </w:rPr>
        <w:instrText xml:space="preserve"> </w:instrText>
      </w:r>
      <w:r w:rsidR="00D4256A" w:rsidRPr="000A38E5">
        <w:instrText>level</w:instrText>
      </w:r>
      <w:r w:rsidR="00D4256A" w:rsidRPr="000A38E5">
        <w:rPr>
          <w:lang w:val="uk-UA"/>
        </w:rPr>
        <w:instrText>0 \*</w:instrText>
      </w:r>
      <w:r w:rsidR="00D4256A" w:rsidRPr="000A38E5">
        <w:instrText>arabic</w:instrText>
      </w:r>
      <w:r w:rsidR="00D4256A" w:rsidRPr="000A38E5">
        <w:rPr>
          <w:lang w:val="uk-UA"/>
        </w:rPr>
        <w:instrText xml:space="preserve"> </w:instrText>
      </w:r>
      <w:r w:rsidRPr="000A38E5">
        <w:fldChar w:fldCharType="separate"/>
      </w:r>
      <w:r w:rsidR="00D4256A" w:rsidRPr="000A38E5">
        <w:rPr>
          <w:noProof/>
          <w:lang w:val="ru-RU"/>
        </w:rPr>
        <w:t>254</w:t>
      </w:r>
      <w:r w:rsidRPr="000A38E5">
        <w:rPr>
          <w:noProof/>
        </w:rPr>
        <w:fldChar w:fldCharType="end"/>
      </w:r>
      <w:r w:rsidR="00D4256A" w:rsidRPr="000A38E5">
        <w:rPr>
          <w:lang w:val="uk-UA"/>
        </w:rPr>
        <w:t>.</w:t>
      </w:r>
      <w:r w:rsidR="00D4256A" w:rsidRPr="00E93710">
        <w:rPr>
          <w:lang w:val="ru-RU"/>
        </w:rPr>
        <w:t xml:space="preserve"> </w:t>
      </w:r>
      <w:r w:rsidR="00D4256A" w:rsidRPr="000A38E5">
        <w:rPr>
          <w:lang w:val="uk-UA"/>
        </w:rPr>
        <w:t>При цьому Суд повторює свій висновок про те, що заявники були</w:t>
      </w:r>
      <w:r w:rsidR="00D4256A" w:rsidRPr="000A38E5">
        <w:rPr>
          <w:lang w:val="ru-RU"/>
        </w:rPr>
        <w:t xml:space="preserve"> </w:t>
      </w:r>
      <w:r w:rsidR="00D4256A" w:rsidRPr="000A38E5">
        <w:rPr>
          <w:lang w:val="uk-UA"/>
        </w:rPr>
        <w:t>засуджені за невиконання конкретного наказу розійтися</w:t>
      </w:r>
      <w:r w:rsidR="00D4256A" w:rsidRPr="000A38E5">
        <w:rPr>
          <w:lang w:val="ru-RU"/>
        </w:rPr>
        <w:t xml:space="preserve">, </w:t>
      </w:r>
      <w:r w:rsidR="00D4256A" w:rsidRPr="000A38E5">
        <w:rPr>
          <w:lang w:val="uk-UA"/>
        </w:rPr>
        <w:t>даного 28 травня</w:t>
      </w:r>
      <w:r w:rsidR="00D4256A" w:rsidRPr="000A38E5">
        <w:rPr>
          <w:lang w:val="ru-RU"/>
        </w:rPr>
        <w:t xml:space="preserve"> 2010 року </w:t>
      </w:r>
      <w:r w:rsidR="00D4256A" w:rsidRPr="000A38E5">
        <w:rPr>
          <w:lang w:val="uk-UA"/>
        </w:rPr>
        <w:t>Він вважає, що, зокрема, беручи до уваги важливість права на свободу мирних зібрань</w:t>
      </w:r>
      <w:r w:rsidR="00D4256A" w:rsidRPr="000A38E5">
        <w:rPr>
          <w:lang w:val="ru-RU"/>
        </w:rPr>
        <w:t xml:space="preserve"> </w:t>
      </w:r>
      <w:r w:rsidR="00D4256A" w:rsidRPr="000A38E5">
        <w:rPr>
          <w:lang w:val="uk-UA"/>
        </w:rPr>
        <w:t>у демократичному суспільстві</w:t>
      </w:r>
      <w:r w:rsidR="00D4256A" w:rsidRPr="000A38E5">
        <w:rPr>
          <w:lang w:val="ru-RU"/>
        </w:rPr>
        <w:t xml:space="preserve">, </w:t>
      </w:r>
      <w:r w:rsidR="00D4256A" w:rsidRPr="000A38E5">
        <w:rPr>
          <w:lang w:val="uk-UA"/>
        </w:rPr>
        <w:t>національні суди повинні були прийняти до уваги у своєму обґрунтуванні</w:t>
      </w:r>
      <w:r w:rsidR="00D4256A" w:rsidRPr="000A38E5">
        <w:rPr>
          <w:lang w:val="ru-RU"/>
        </w:rPr>
        <w:t xml:space="preserve"> </w:t>
      </w:r>
      <w:r w:rsidR="00D4256A" w:rsidRPr="000A38E5">
        <w:rPr>
          <w:lang w:val="uk-UA"/>
        </w:rPr>
        <w:t>наведену вище можливу плутанину</w:t>
      </w:r>
      <w:r w:rsidR="00D4256A" w:rsidRPr="000A38E5">
        <w:rPr>
          <w:lang w:val="ru-RU"/>
        </w:rPr>
        <w:t xml:space="preserve"> </w:t>
      </w:r>
      <w:r w:rsidR="00D4256A" w:rsidRPr="000A38E5">
        <w:rPr>
          <w:lang w:val="uk-UA"/>
        </w:rPr>
        <w:t>з боку заявників щодо джерела</w:t>
      </w:r>
      <w:r w:rsidR="00D4256A" w:rsidRPr="000A38E5">
        <w:rPr>
          <w:lang w:val="ru-RU"/>
        </w:rPr>
        <w:t xml:space="preserve"> </w:t>
      </w:r>
      <w:r w:rsidR="00D4256A" w:rsidRPr="000A38E5">
        <w:rPr>
          <w:lang w:val="uk-UA"/>
        </w:rPr>
        <w:t>цього наказу, та, можливо, шляху для його виконання</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255</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Однак, суди це не зробили</w:t>
      </w:r>
      <w:r w:rsidR="00D4256A" w:rsidRPr="000A38E5">
        <w:rPr>
          <w:lang w:val="ru-RU"/>
        </w:rPr>
        <w:t xml:space="preserve">. </w:t>
      </w:r>
      <w:r w:rsidR="00D4256A" w:rsidRPr="000A38E5">
        <w:rPr>
          <w:lang w:val="uk-UA"/>
        </w:rPr>
        <w:t>Вони також не пояснили тяжкість покарання, накладеного на першого та другого заявників</w:t>
      </w:r>
      <w:r w:rsidR="00D4256A" w:rsidRPr="000A38E5">
        <w:rPr>
          <w:lang w:val="ru-RU"/>
        </w:rPr>
        <w:t xml:space="preserve">, </w:t>
      </w:r>
      <w:r w:rsidR="00D4256A" w:rsidRPr="000A38E5">
        <w:rPr>
          <w:lang w:val="uk-UA"/>
        </w:rPr>
        <w:t>особливо у порівнянні з покаранням, накладеним на інших протестуючих</w:t>
      </w:r>
      <w:r w:rsidR="00D4256A" w:rsidRPr="000A38E5">
        <w:rPr>
          <w:lang w:val="ru-RU"/>
        </w:rPr>
        <w:t xml:space="preserve"> </w:t>
      </w:r>
      <w:r w:rsidR="00D4256A" w:rsidRPr="000A38E5">
        <w:rPr>
          <w:lang w:val="uk-UA"/>
        </w:rPr>
        <w:t>та будь-яких особливостей їх поведінки, які могли б виправдати таке поводження</w:t>
      </w:r>
      <w:r w:rsidR="00D4256A" w:rsidRPr="000A38E5">
        <w:rPr>
          <w:lang w:val="ru-RU"/>
        </w:rPr>
        <w:t xml:space="preserve">. </w:t>
      </w:r>
      <w:r w:rsidR="00D4256A" w:rsidRPr="000A38E5">
        <w:rPr>
          <w:lang w:val="uk-UA"/>
        </w:rPr>
        <w:t>Незважаючи на той факт, що їх вироки були пом’якшені за апеляцією</w:t>
      </w:r>
      <w:r w:rsidR="00D4256A" w:rsidRPr="000A38E5">
        <w:rPr>
          <w:lang w:val="ru-RU"/>
        </w:rPr>
        <w:t xml:space="preserve">, </w:t>
      </w:r>
      <w:r w:rsidR="00D4256A" w:rsidRPr="000A38E5">
        <w:rPr>
          <w:lang w:val="uk-UA"/>
        </w:rPr>
        <w:t>перший та другий заявники все ж відбули дев’ять діб позбавлення волі</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256</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За таких обставин Суд визнає, що національні суди не надали достатні підстави</w:t>
      </w:r>
      <w:r w:rsidR="00D4256A" w:rsidRPr="000A38E5">
        <w:rPr>
          <w:lang w:val="ru-RU"/>
        </w:rPr>
        <w:t xml:space="preserve"> </w:t>
      </w:r>
      <w:r w:rsidR="00D4256A" w:rsidRPr="000A38E5">
        <w:rPr>
          <w:lang w:val="uk-UA"/>
        </w:rPr>
        <w:t>для своїх рішень щодо такого покарання у виді позбавлення волі</w:t>
      </w:r>
      <w:r w:rsidR="00D4256A" w:rsidRPr="000A38E5">
        <w:rPr>
          <w:lang w:val="ru-RU"/>
        </w:rPr>
        <w:t xml:space="preserve"> </w:t>
      </w:r>
      <w:r w:rsidR="00D4256A" w:rsidRPr="000A38E5">
        <w:rPr>
          <w:lang w:val="uk-UA"/>
        </w:rPr>
        <w:t>такої тяжкості</w:t>
      </w:r>
      <w:r w:rsidR="00D4256A" w:rsidRPr="000A38E5">
        <w:rPr>
          <w:lang w:val="ru-RU"/>
        </w:rPr>
        <w:t xml:space="preserve"> </w:t>
      </w:r>
      <w:r w:rsidR="00D4256A" w:rsidRPr="000A38E5">
        <w:rPr>
          <w:lang w:val="uk-UA"/>
        </w:rPr>
        <w:t>для першого та другого заявників,</w:t>
      </w:r>
      <w:r w:rsidR="00D4256A" w:rsidRPr="000A38E5">
        <w:rPr>
          <w:lang w:val="ru-RU"/>
        </w:rPr>
        <w:t xml:space="preserve"> </w:t>
      </w:r>
      <w:r w:rsidR="00D4256A" w:rsidRPr="000A38E5">
        <w:rPr>
          <w:lang w:val="uk-UA"/>
        </w:rPr>
        <w:t>і тому Уряд не продемонстрував, що санкції, застосовані до цих заявників,</w:t>
      </w:r>
      <w:r w:rsidR="00D4256A" w:rsidRPr="000A38E5">
        <w:rPr>
          <w:lang w:val="ru-RU"/>
        </w:rPr>
        <w:t xml:space="preserve"> </w:t>
      </w:r>
      <w:r w:rsidR="00D4256A" w:rsidRPr="000A38E5">
        <w:rPr>
          <w:lang w:val="uk-UA"/>
        </w:rPr>
        <w:t>були пропорційними переслідуваній законній меті</w:t>
      </w:r>
      <w:r w:rsidR="00D4256A" w:rsidRPr="000A38E5">
        <w:rPr>
          <w:lang w:val="ru-RU"/>
        </w:rPr>
        <w:t>.</w:t>
      </w:r>
    </w:p>
    <w:p w:rsidR="00D4256A" w:rsidRPr="000A38E5" w:rsidRDefault="004E7608" w:rsidP="00D4256A">
      <w:pPr>
        <w:pStyle w:val="ECHRPara"/>
        <w:rPr>
          <w:lang w:val="uk-UA"/>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257</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Висновки Суду щодо процесуальної несправедливості у провадженнях</w:t>
      </w:r>
      <w:r w:rsidR="00D4256A" w:rsidRPr="000A38E5">
        <w:rPr>
          <w:lang w:val="ru-RU"/>
        </w:rPr>
        <w:t xml:space="preserve"> </w:t>
      </w:r>
      <w:r w:rsidR="00D4256A" w:rsidRPr="000A38E5">
        <w:rPr>
          <w:lang w:val="uk-UA"/>
        </w:rPr>
        <w:t>проти першого та другого заявників</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conclusion_A6_violation \h  \* MERGEFORMAT ">
        <w:r w:rsidR="00D4256A" w:rsidRPr="000A38E5">
          <w:rPr>
            <w:noProof/>
            <w:lang w:val="ru-RU"/>
          </w:rPr>
          <w:t>186</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 xml:space="preserve">посилюють цю непропорційність (див., з необхідними змінами, </w:t>
      </w:r>
      <w:proofErr w:type="spellStart"/>
      <w:r w:rsidR="00D4256A" w:rsidRPr="000A38E5">
        <w:rPr>
          <w:i/>
        </w:rPr>
        <w:t>Karpyuk</w:t>
      </w:r>
      <w:proofErr w:type="spellEnd"/>
      <w:r w:rsidR="00D4256A" w:rsidRPr="000A38E5">
        <w:rPr>
          <w:i/>
          <w:lang w:val="uk-UA"/>
        </w:rPr>
        <w:t xml:space="preserve"> </w:t>
      </w:r>
      <w:r w:rsidR="00D4256A" w:rsidRPr="000A38E5">
        <w:rPr>
          <w:i/>
        </w:rPr>
        <w:t>and Others</w:t>
      </w:r>
      <w:r w:rsidR="00D4256A" w:rsidRPr="000A38E5">
        <w:rPr>
          <w:lang w:val="uk-UA"/>
        </w:rPr>
        <w:t xml:space="preserve">, </w:t>
      </w:r>
      <w:proofErr w:type="spellStart"/>
      <w:r w:rsidR="00D4256A" w:rsidRPr="000A38E5">
        <w:rPr>
          <w:lang w:val="uk-UA"/>
        </w:rPr>
        <w:t>цит</w:t>
      </w:r>
      <w:proofErr w:type="spellEnd"/>
      <w:r w:rsidR="00D4256A" w:rsidRPr="000A38E5">
        <w:rPr>
          <w:lang w:val="uk-UA"/>
        </w:rPr>
        <w:t>. вище, § 236).</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258</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Відповідно, мало місце порушення статті 11 Конвенції стосовно першого та другого заявників у зв’язку з їх арештом та засудженням</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259</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Що стосується третього, четвертого та п’ятого заявників,</w:t>
      </w:r>
      <w:r w:rsidR="00D4256A" w:rsidRPr="000A38E5">
        <w:rPr>
          <w:lang w:val="ru-RU"/>
        </w:rPr>
        <w:t xml:space="preserve"> </w:t>
      </w:r>
      <w:r w:rsidR="00D4256A" w:rsidRPr="000A38E5">
        <w:rPr>
          <w:lang w:val="uk-UA"/>
        </w:rPr>
        <w:t>за цих же підстав</w:t>
      </w:r>
      <w:r w:rsidR="00D4256A" w:rsidRPr="000A38E5">
        <w:rPr>
          <w:lang w:val="ru-RU"/>
        </w:rPr>
        <w:t xml:space="preserve"> </w:t>
      </w:r>
      <w:r w:rsidR="00D4256A" w:rsidRPr="000A38E5">
        <w:rPr>
          <w:lang w:val="uk-UA"/>
        </w:rPr>
        <w:t>Суд не має у своєму розпорядженні сукупності факторів, щоб поставити під сумнів висновки національних судів стосовно них</w:t>
      </w:r>
      <w:r w:rsidR="00D4256A" w:rsidRPr="000A38E5">
        <w:rPr>
          <w:lang w:val="ru-RU"/>
        </w:rPr>
        <w:t xml:space="preserve">. </w:t>
      </w:r>
      <w:r w:rsidR="00D4256A" w:rsidRPr="000A38E5">
        <w:rPr>
          <w:lang w:val="uk-UA"/>
        </w:rPr>
        <w:t xml:space="preserve">Матеріали справи демонструють, що заявники навмисно діяли </w:t>
      </w:r>
      <w:proofErr w:type="spellStart"/>
      <w:r w:rsidR="00D4256A" w:rsidRPr="000A38E5">
        <w:rPr>
          <w:lang w:val="uk-UA"/>
        </w:rPr>
        <w:t>обструктивно</w:t>
      </w:r>
      <w:proofErr w:type="spellEnd"/>
      <w:r w:rsidR="00D4256A" w:rsidRPr="000A38E5">
        <w:rPr>
          <w:lang w:val="ru-RU"/>
        </w:rPr>
        <w:t xml:space="preserve"> </w:t>
      </w:r>
      <w:r w:rsidR="00D4256A" w:rsidRPr="000A38E5">
        <w:rPr>
          <w:lang w:val="uk-UA"/>
        </w:rPr>
        <w:t>у небезпечній ділянці (порівняйте з</w:t>
      </w:r>
      <w:r w:rsidR="00D4256A" w:rsidRPr="000A38E5">
        <w:rPr>
          <w:lang w:val="ru-RU"/>
        </w:rPr>
        <w:t xml:space="preserve"> </w:t>
      </w:r>
      <w:proofErr w:type="spellStart"/>
      <w:r w:rsidR="00D4256A" w:rsidRPr="000A38E5">
        <w:rPr>
          <w:i/>
        </w:rPr>
        <w:t>Pentik</w:t>
      </w:r>
      <w:r w:rsidR="00D4256A" w:rsidRPr="000A38E5">
        <w:rPr>
          <w:i/>
          <w:lang w:val="ru-RU"/>
        </w:rPr>
        <w:t>ä</w:t>
      </w:r>
      <w:r w:rsidR="00D4256A" w:rsidRPr="000A38E5">
        <w:rPr>
          <w:i/>
        </w:rPr>
        <w:t>inen</w:t>
      </w:r>
      <w:proofErr w:type="spellEnd"/>
      <w:r w:rsidR="00D4256A" w:rsidRPr="000A38E5">
        <w:rPr>
          <w:lang w:val="ru-RU"/>
        </w:rPr>
        <w:t xml:space="preserve">, </w:t>
      </w:r>
      <w:proofErr w:type="spellStart"/>
      <w:r w:rsidR="00D4256A" w:rsidRPr="000A38E5">
        <w:rPr>
          <w:lang w:val="uk-UA"/>
        </w:rPr>
        <w:t>цит</w:t>
      </w:r>
      <w:proofErr w:type="spellEnd"/>
      <w:r w:rsidR="00D4256A" w:rsidRPr="000A38E5">
        <w:rPr>
          <w:lang w:val="uk-UA"/>
        </w:rPr>
        <w:t>. вище</w:t>
      </w:r>
      <w:r w:rsidR="00D4256A" w:rsidRPr="000A38E5">
        <w:rPr>
          <w:lang w:val="ru-RU"/>
        </w:rPr>
        <w:t>, §</w:t>
      </w:r>
      <w:r w:rsidR="00D4256A" w:rsidRPr="000A38E5">
        <w:t> </w:t>
      </w:r>
      <w:r w:rsidR="00D4256A" w:rsidRPr="000A38E5">
        <w:rPr>
          <w:lang w:val="ru-RU"/>
        </w:rPr>
        <w:t xml:space="preserve">100). </w:t>
      </w:r>
      <w:r w:rsidR="00D4256A" w:rsidRPr="000A38E5">
        <w:rPr>
          <w:lang w:val="uk-UA"/>
        </w:rPr>
        <w:t xml:space="preserve">Крім того, органи влади деякий час проявляли терпимість навіть по відношенню до такої небезпечної </w:t>
      </w:r>
      <w:proofErr w:type="spellStart"/>
      <w:r w:rsidR="00D4256A" w:rsidRPr="000A38E5">
        <w:rPr>
          <w:lang w:val="uk-UA"/>
        </w:rPr>
        <w:t>протестної</w:t>
      </w:r>
      <w:proofErr w:type="spellEnd"/>
      <w:r w:rsidR="00D4256A" w:rsidRPr="000A38E5">
        <w:rPr>
          <w:lang w:val="uk-UA"/>
        </w:rPr>
        <w:t xml:space="preserve"> діяльності</w:t>
      </w:r>
      <w:r w:rsidR="00D4256A" w:rsidRPr="000A38E5">
        <w:rPr>
          <w:lang w:val="ru-RU"/>
        </w:rPr>
        <w:t xml:space="preserve">, </w:t>
      </w:r>
      <w:r w:rsidR="00D4256A" w:rsidRPr="000A38E5">
        <w:rPr>
          <w:lang w:val="uk-UA"/>
        </w:rPr>
        <w:t>і заявники були заарештовані та засуджені не за саму діяльність у зв’язку з протестом,</w:t>
      </w:r>
      <w:r w:rsidR="00D4256A" w:rsidRPr="000A38E5">
        <w:rPr>
          <w:lang w:val="ru-RU"/>
        </w:rPr>
        <w:t xml:space="preserve"> а за </w:t>
      </w:r>
      <w:r w:rsidR="00D4256A" w:rsidRPr="000A38E5">
        <w:rPr>
          <w:lang w:val="uk-UA"/>
        </w:rPr>
        <w:t>невиконання наказу розійтися</w:t>
      </w:r>
      <w:r w:rsidR="00D4256A" w:rsidRPr="000A38E5">
        <w:rPr>
          <w:lang w:val="ru-RU"/>
        </w:rPr>
        <w:t xml:space="preserve"> (</w:t>
      </w:r>
      <w:r w:rsidR="00D4256A" w:rsidRPr="000A38E5">
        <w:t>ibid</w:t>
      </w:r>
      <w:r w:rsidR="00D4256A" w:rsidRPr="000A38E5">
        <w:rPr>
          <w:lang w:val="ru-RU"/>
        </w:rPr>
        <w:t>., §</w:t>
      </w:r>
      <w:r w:rsidR="00D4256A" w:rsidRPr="000A38E5">
        <w:t> </w:t>
      </w:r>
      <w:r w:rsidR="00D4256A" w:rsidRPr="000A38E5">
        <w:rPr>
          <w:lang w:val="ru-RU"/>
        </w:rPr>
        <w:t xml:space="preserve">108). </w:t>
      </w:r>
      <w:r w:rsidR="00D4256A" w:rsidRPr="000A38E5">
        <w:rPr>
          <w:lang w:val="uk-UA"/>
        </w:rPr>
        <w:t>Певна реакція могла вважатися доречною при реагуванні на таку поведінку</w:t>
      </w:r>
      <w:r w:rsidR="00D4256A" w:rsidRPr="000A38E5">
        <w:rPr>
          <w:lang w:val="ru-RU"/>
        </w:rPr>
        <w:t xml:space="preserve">. </w:t>
      </w:r>
      <w:r w:rsidR="00D4256A" w:rsidRPr="000A38E5">
        <w:rPr>
          <w:lang w:val="uk-UA"/>
        </w:rPr>
        <w:t>Видалення заявників з місця будівництва та засудження за адміністративне правопорушення</w:t>
      </w:r>
      <w:r w:rsidR="00D4256A" w:rsidRPr="000A38E5">
        <w:rPr>
          <w:lang w:val="ru-RU"/>
        </w:rPr>
        <w:t xml:space="preserve"> </w:t>
      </w:r>
      <w:r w:rsidR="00D4256A" w:rsidRPr="000A38E5">
        <w:rPr>
          <w:lang w:val="uk-UA"/>
        </w:rPr>
        <w:t>у світлі накладених санкцій було пропорційним</w:t>
      </w:r>
      <w:r w:rsidR="00D4256A" w:rsidRPr="000A38E5">
        <w:rPr>
          <w:lang w:val="ru-RU"/>
        </w:rPr>
        <w:t xml:space="preserve"> </w:t>
      </w:r>
      <w:r w:rsidR="00D4256A" w:rsidRPr="000A38E5">
        <w:rPr>
          <w:lang w:val="uk-UA"/>
        </w:rPr>
        <w:t>переслідуваній законній меті</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260</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Відповідно, не було порушення статті 11 Конвенції</w:t>
      </w:r>
      <w:r w:rsidR="00D4256A" w:rsidRPr="000A38E5">
        <w:rPr>
          <w:lang w:val="ru-RU"/>
        </w:rPr>
        <w:t xml:space="preserve"> </w:t>
      </w:r>
      <w:r w:rsidR="00D4256A" w:rsidRPr="000A38E5">
        <w:rPr>
          <w:lang w:val="uk-UA"/>
        </w:rPr>
        <w:t>стосовно третього, четвертого та п’ятого заявників у зв’язку з їх арештом та засудженням</w:t>
      </w:r>
      <w:r w:rsidR="00D4256A" w:rsidRPr="000A38E5">
        <w:rPr>
          <w:lang w:val="ru-RU"/>
        </w:rPr>
        <w:t>.</w:t>
      </w:r>
    </w:p>
    <w:p w:rsidR="00D4256A" w:rsidRPr="000A38E5" w:rsidRDefault="00D4256A" w:rsidP="00D4256A">
      <w:pPr>
        <w:pStyle w:val="ECHRHeading7"/>
        <w:rPr>
          <w:lang w:val="uk-UA"/>
        </w:rPr>
      </w:pPr>
      <w:r w:rsidRPr="000A38E5">
        <w:rPr>
          <w:lang w:val="uk-UA"/>
        </w:rPr>
        <w:t>Шостий заявник</w:t>
      </w:r>
    </w:p>
    <w:p w:rsidR="00D4256A" w:rsidRPr="00E93710" w:rsidRDefault="004E7608" w:rsidP="00D4256A">
      <w:pPr>
        <w:pStyle w:val="ECHRPara"/>
        <w:rPr>
          <w:lang w:val="uk-UA"/>
        </w:rPr>
      </w:pPr>
      <w:r w:rsidRPr="000A38E5">
        <w:fldChar w:fldCharType="begin"/>
      </w:r>
      <w:r w:rsidR="00D4256A" w:rsidRPr="00E93710">
        <w:rPr>
          <w:lang w:val="uk-UA"/>
        </w:rPr>
        <w:instrText xml:space="preserve"> </w:instrText>
      </w:r>
      <w:r w:rsidR="00D4256A" w:rsidRPr="000A38E5">
        <w:instrText>SEQ</w:instrText>
      </w:r>
      <w:r w:rsidR="00D4256A" w:rsidRPr="00E93710">
        <w:rPr>
          <w:lang w:val="uk-UA"/>
        </w:rPr>
        <w:instrText xml:space="preserve"> </w:instrText>
      </w:r>
      <w:r w:rsidR="00D4256A" w:rsidRPr="000A38E5">
        <w:instrText>level</w:instrText>
      </w:r>
      <w:r w:rsidR="00D4256A" w:rsidRPr="00E93710">
        <w:rPr>
          <w:lang w:val="uk-UA"/>
        </w:rPr>
        <w:instrText>0 \*</w:instrText>
      </w:r>
      <w:r w:rsidR="00D4256A" w:rsidRPr="000A38E5">
        <w:instrText>arabic</w:instrText>
      </w:r>
      <w:r w:rsidR="00D4256A" w:rsidRPr="00E93710">
        <w:rPr>
          <w:lang w:val="uk-UA"/>
        </w:rPr>
        <w:instrText xml:space="preserve"> </w:instrText>
      </w:r>
      <w:r w:rsidRPr="000A38E5">
        <w:fldChar w:fldCharType="separate"/>
      </w:r>
      <w:r w:rsidR="00D4256A" w:rsidRPr="00E93710">
        <w:rPr>
          <w:noProof/>
          <w:lang w:val="uk-UA"/>
        </w:rPr>
        <w:t>261</w:t>
      </w:r>
      <w:r w:rsidRPr="000A38E5">
        <w:fldChar w:fldCharType="end"/>
      </w:r>
      <w:r w:rsidR="00D4256A" w:rsidRPr="00E93710">
        <w:rPr>
          <w:lang w:val="uk-UA"/>
        </w:rPr>
        <w:t xml:space="preserve">. </w:t>
      </w:r>
      <w:r w:rsidR="00D4256A" w:rsidRPr="000A38E5">
        <w:rPr>
          <w:lang w:val="uk-UA"/>
        </w:rPr>
        <w:t>Національні суди встановили, – і їх висновки у цьому відношенні повністю підтверджуються</w:t>
      </w:r>
      <w:r w:rsidR="00D4256A" w:rsidRPr="00E93710">
        <w:rPr>
          <w:lang w:val="uk-UA"/>
        </w:rPr>
        <w:t xml:space="preserve"> </w:t>
      </w:r>
      <w:r w:rsidR="00D4256A" w:rsidRPr="000A38E5">
        <w:rPr>
          <w:lang w:val="uk-UA"/>
        </w:rPr>
        <w:t>твердженнями шостого заявника в ході суду</w:t>
      </w:r>
      <w:r w:rsidR="00D4256A" w:rsidRPr="00E93710">
        <w:rPr>
          <w:lang w:val="uk-UA"/>
        </w:rPr>
        <w:t xml:space="preserve"> (</w:t>
      </w:r>
      <w:r w:rsidR="00D4256A" w:rsidRPr="000A38E5">
        <w:rPr>
          <w:lang w:val="uk-UA"/>
        </w:rPr>
        <w:t>див. пункти</w:t>
      </w:r>
      <w:r w:rsidR="00D4256A" w:rsidRPr="00E93710">
        <w:rPr>
          <w:lang w:val="uk-UA"/>
        </w:rPr>
        <w:t xml:space="preserve"> </w:t>
      </w:r>
      <w:fldSimple w:instr=" REF sixth_app_trial \h  \* MERGEFORMAT ">
        <w:r w:rsidR="00D4256A" w:rsidRPr="00E93710">
          <w:rPr>
            <w:noProof/>
            <w:lang w:val="uk-UA"/>
          </w:rPr>
          <w:t>65</w:t>
        </w:r>
      </w:fldSimple>
      <w:r w:rsidR="00D4256A" w:rsidRPr="00E93710">
        <w:rPr>
          <w:lang w:val="uk-UA"/>
        </w:rPr>
        <w:t xml:space="preserve"> </w:t>
      </w:r>
      <w:r w:rsidR="00D4256A" w:rsidRPr="000A38E5">
        <w:rPr>
          <w:lang w:val="uk-UA"/>
        </w:rPr>
        <w:t>та</w:t>
      </w:r>
      <w:r w:rsidR="00D4256A" w:rsidRPr="00E93710">
        <w:rPr>
          <w:lang w:val="uk-UA"/>
        </w:rPr>
        <w:t xml:space="preserve"> </w:t>
      </w:r>
      <w:fldSimple w:instr=" REF sixth_app_trial_court_judgment \h  \* MERGEFORMAT ">
        <w:r w:rsidR="00D4256A" w:rsidRPr="00E93710">
          <w:rPr>
            <w:noProof/>
            <w:lang w:val="uk-UA"/>
          </w:rPr>
          <w:t>66</w:t>
        </w:r>
      </w:fldSimple>
      <w:r w:rsidR="00D4256A" w:rsidRPr="00E93710">
        <w:rPr>
          <w:lang w:val="uk-UA"/>
        </w:rPr>
        <w:t xml:space="preserve"> </w:t>
      </w:r>
      <w:r w:rsidR="00D4256A" w:rsidRPr="000A38E5">
        <w:rPr>
          <w:lang w:val="uk-UA"/>
        </w:rPr>
        <w:t>вище</w:t>
      </w:r>
      <w:r w:rsidR="00D4256A" w:rsidRPr="00E93710">
        <w:rPr>
          <w:lang w:val="uk-UA"/>
        </w:rPr>
        <w:t xml:space="preserve">), – </w:t>
      </w:r>
      <w:r w:rsidR="00D4256A" w:rsidRPr="000A38E5">
        <w:rPr>
          <w:lang w:val="uk-UA"/>
        </w:rPr>
        <w:t>що шостий заявник не тільки відмовився виконати прямий наказ міліції покинути територію</w:t>
      </w:r>
      <w:r w:rsidR="00D4256A" w:rsidRPr="00E93710">
        <w:rPr>
          <w:lang w:val="uk-UA"/>
        </w:rPr>
        <w:t xml:space="preserve">, </w:t>
      </w:r>
      <w:r w:rsidR="00D4256A" w:rsidRPr="000A38E5">
        <w:rPr>
          <w:lang w:val="uk-UA"/>
        </w:rPr>
        <w:t>але й чинив опір, принаймні пасивно, а може й активно</w:t>
      </w:r>
      <w:r w:rsidR="00D4256A" w:rsidRPr="00E93710">
        <w:rPr>
          <w:lang w:val="uk-UA"/>
        </w:rPr>
        <w:t xml:space="preserve">, </w:t>
      </w:r>
      <w:r w:rsidR="00D4256A" w:rsidRPr="000A38E5">
        <w:rPr>
          <w:lang w:val="uk-UA"/>
        </w:rPr>
        <w:t>спробам міліції видалити його</w:t>
      </w:r>
      <w:r w:rsidR="00D4256A" w:rsidRPr="00E93710">
        <w:rPr>
          <w:lang w:val="uk-UA"/>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262</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Суд також приймає до уваги той факт, що на той час, коли заявник займався своєю обструктивною поведінкою</w:t>
      </w:r>
      <w:r w:rsidR="00D4256A" w:rsidRPr="000A38E5">
        <w:rPr>
          <w:lang w:val="ru-RU"/>
        </w:rPr>
        <w:t xml:space="preserve">, </w:t>
      </w:r>
      <w:r w:rsidR="00D4256A" w:rsidRPr="000A38E5">
        <w:rPr>
          <w:lang w:val="uk-UA"/>
        </w:rPr>
        <w:t>проект будівництва вже тривав півтора місяці</w:t>
      </w:r>
      <w:r w:rsidR="00D4256A" w:rsidRPr="000A38E5">
        <w:rPr>
          <w:lang w:val="ru-RU"/>
        </w:rPr>
        <w:t xml:space="preserve">. </w:t>
      </w:r>
      <w:r w:rsidR="00D4256A" w:rsidRPr="000A38E5">
        <w:rPr>
          <w:lang w:val="uk-UA"/>
        </w:rPr>
        <w:t>Його опоненти мали багато можливостей протестувати проти нього</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alternative_means_of_opposition \h  \* MERGEFORMAT ">
        <w:r w:rsidR="00D4256A" w:rsidRPr="000A38E5">
          <w:rPr>
            <w:noProof/>
            <w:lang w:val="ru-RU" w:bidi="en-US"/>
          </w:rPr>
          <w:t>243</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у тому числі шляхом обструктивної діяльності з</w:t>
      </w:r>
      <w:r w:rsidR="00D4256A" w:rsidRPr="000A38E5">
        <w:rPr>
          <w:lang w:val="ru-RU" w:bidi="en-US"/>
        </w:rPr>
        <w:t xml:space="preserve"> 21 </w:t>
      </w:r>
      <w:r w:rsidR="00D4256A" w:rsidRPr="000A38E5">
        <w:rPr>
          <w:lang w:val="uk-UA" w:bidi="en-US"/>
        </w:rPr>
        <w:t>травня до 2 червня</w:t>
      </w:r>
      <w:r w:rsidR="00D4256A" w:rsidRPr="000A38E5">
        <w:rPr>
          <w:lang w:val="ru-RU" w:bidi="en-US"/>
        </w:rPr>
        <w:t xml:space="preserve"> 2010 року.</w:t>
      </w:r>
      <w:r w:rsidR="00D4256A" w:rsidRPr="000A38E5">
        <w:rPr>
          <w:lang w:val="ru-RU"/>
        </w:rPr>
        <w:t xml:space="preserve"> </w:t>
      </w:r>
      <w:r w:rsidR="00D4256A" w:rsidRPr="000A38E5">
        <w:rPr>
          <w:lang w:val="uk-UA"/>
        </w:rPr>
        <w:t>Той факт, що проект на той час був на просунутій стадії, означає, що можна було у більш значній мірі користуватися законними засобами протесту та правового захисту</w:t>
      </w:r>
      <w:r w:rsidR="00D4256A" w:rsidRPr="000A38E5">
        <w:rPr>
          <w:lang w:val="ru-RU"/>
        </w:rPr>
        <w:t>.</w:t>
      </w:r>
    </w:p>
    <w:p w:rsidR="00D4256A" w:rsidRPr="000A38E5" w:rsidRDefault="004E7608" w:rsidP="00D4256A">
      <w:pPr>
        <w:pStyle w:val="ECHRPara"/>
        <w:rPr>
          <w:lang w:val="uk-UA"/>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263</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За таких обставин ніщо не дозволяє поставити під сумнів висновок,</w:t>
      </w:r>
      <w:r w:rsidR="00D4256A" w:rsidRPr="000A38E5">
        <w:rPr>
          <w:lang w:val="ru-RU"/>
        </w:rPr>
        <w:t xml:space="preserve"> </w:t>
      </w:r>
      <w:r w:rsidR="00D4256A" w:rsidRPr="000A38E5">
        <w:rPr>
          <w:lang w:val="uk-UA"/>
        </w:rPr>
        <w:t>що накладення санкції на шостого заявника було виправданим</w:t>
      </w:r>
      <w:r w:rsidR="00D4256A" w:rsidRPr="000A38E5">
        <w:rPr>
          <w:lang w:val="ru-RU"/>
        </w:rPr>
        <w:t xml:space="preserve">. </w:t>
      </w:r>
      <w:r w:rsidR="00D4256A" w:rsidRPr="000A38E5">
        <w:rPr>
          <w:lang w:val="uk-UA"/>
        </w:rPr>
        <w:t>Однак, залишається побачити, чи було пропорційним настільки серйозне позбавлення волі</w:t>
      </w:r>
      <w:r w:rsidR="00D4256A" w:rsidRPr="000A38E5">
        <w:rPr>
          <w:lang w:val="ru-RU"/>
        </w:rPr>
        <w:t xml:space="preserve">. </w:t>
      </w:r>
      <w:r w:rsidR="00D4256A" w:rsidRPr="000A38E5">
        <w:rPr>
          <w:lang w:val="uk-UA"/>
        </w:rPr>
        <w:t>Суд повторює у цьому контексті, що коли накладені на учасників демонстрації санкції є за своїм характером кримінальними</w:t>
      </w:r>
      <w:r w:rsidR="00D4256A" w:rsidRPr="000A38E5">
        <w:rPr>
          <w:lang w:val="ru-RU"/>
        </w:rPr>
        <w:t xml:space="preserve">, </w:t>
      </w:r>
      <w:r w:rsidR="00D4256A" w:rsidRPr="000A38E5">
        <w:rPr>
          <w:lang w:val="uk-UA"/>
        </w:rPr>
        <w:t>вони вимагають особливого обґрунтування</w:t>
      </w:r>
      <w:r w:rsidR="00D4256A" w:rsidRPr="000A38E5">
        <w:rPr>
          <w:lang w:val="ru-RU"/>
        </w:rPr>
        <w:t xml:space="preserve">. </w:t>
      </w:r>
      <w:r w:rsidR="00D4256A" w:rsidRPr="000A38E5">
        <w:rPr>
          <w:lang w:val="uk-UA"/>
        </w:rPr>
        <w:t>Мирна демонстрація, у принципі, не повинна тягнути за собою загрозу</w:t>
      </w:r>
      <w:r w:rsidR="00D4256A" w:rsidRPr="000A38E5">
        <w:rPr>
          <w:lang w:val="ru-RU"/>
        </w:rPr>
        <w:t xml:space="preserve"> </w:t>
      </w:r>
      <w:r w:rsidR="00D4256A" w:rsidRPr="000A38E5">
        <w:rPr>
          <w:lang w:val="uk-UA"/>
        </w:rPr>
        <w:lastRenderedPageBreak/>
        <w:t>кримінальної санкції</w:t>
      </w:r>
      <w:r w:rsidR="00D4256A" w:rsidRPr="000A38E5">
        <w:rPr>
          <w:lang w:val="ru-RU"/>
        </w:rPr>
        <w:t xml:space="preserve">, </w:t>
      </w:r>
      <w:r w:rsidR="00D4256A" w:rsidRPr="000A38E5">
        <w:rPr>
          <w:lang w:val="uk-UA"/>
        </w:rPr>
        <w:t>і особливо – позбавлення волі</w:t>
      </w:r>
      <w:r w:rsidR="00D4256A" w:rsidRPr="000A38E5">
        <w:rPr>
          <w:lang w:val="ru-RU"/>
        </w:rPr>
        <w:t xml:space="preserve">. </w:t>
      </w:r>
      <w:r w:rsidR="00D4256A" w:rsidRPr="000A38E5">
        <w:rPr>
          <w:lang w:val="uk-UA"/>
        </w:rPr>
        <w:t>Тому Суд повинен з особливою ретельністю розглядати справи,</w:t>
      </w:r>
      <w:r w:rsidR="00D4256A" w:rsidRPr="000A38E5">
        <w:rPr>
          <w:lang w:val="ru-RU"/>
        </w:rPr>
        <w:t xml:space="preserve"> </w:t>
      </w:r>
      <w:r w:rsidR="00D4256A" w:rsidRPr="000A38E5">
        <w:rPr>
          <w:lang w:val="uk-UA"/>
        </w:rPr>
        <w:t>такі як ця справа</w:t>
      </w:r>
      <w:r w:rsidR="00D4256A" w:rsidRPr="000A38E5">
        <w:rPr>
          <w:lang w:val="ru-RU"/>
        </w:rPr>
        <w:t xml:space="preserve">, </w:t>
      </w:r>
      <w:r w:rsidR="00D4256A" w:rsidRPr="000A38E5">
        <w:rPr>
          <w:lang w:val="uk-UA"/>
        </w:rPr>
        <w:t>де ненасильницька поведінка призвела до позбавлення волі</w:t>
      </w:r>
      <w:r w:rsidR="00D4256A" w:rsidRPr="000A38E5">
        <w:rPr>
          <w:lang w:val="ru-RU"/>
        </w:rPr>
        <w:t xml:space="preserve"> (</w:t>
      </w:r>
      <w:r w:rsidR="00D4256A" w:rsidRPr="000A38E5">
        <w:rPr>
          <w:lang w:val="uk-UA"/>
        </w:rPr>
        <w:t>див.</w:t>
      </w:r>
      <w:r w:rsidR="00D4256A" w:rsidRPr="000A38E5">
        <w:rPr>
          <w:lang w:val="ru-RU"/>
        </w:rPr>
        <w:t xml:space="preserve"> </w:t>
      </w:r>
      <w:proofErr w:type="spellStart"/>
      <w:r w:rsidR="00D4256A" w:rsidRPr="000A38E5">
        <w:rPr>
          <w:i/>
        </w:rPr>
        <w:t>Kudrevi</w:t>
      </w:r>
      <w:r w:rsidR="00D4256A" w:rsidRPr="000A38E5">
        <w:rPr>
          <w:i/>
          <w:lang w:val="ru-RU"/>
        </w:rPr>
        <w:t>č</w:t>
      </w:r>
      <w:r w:rsidR="00D4256A" w:rsidRPr="000A38E5">
        <w:rPr>
          <w:i/>
        </w:rPr>
        <w:t>ius</w:t>
      </w:r>
      <w:proofErr w:type="spellEnd"/>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Others</w:t>
      </w:r>
      <w:r w:rsidR="00D4256A" w:rsidRPr="000A38E5">
        <w:rPr>
          <w:lang w:val="ru-RU"/>
        </w:rPr>
        <w:t xml:space="preserve">, </w:t>
      </w:r>
      <w:proofErr w:type="spellStart"/>
      <w:r w:rsidR="00D4256A" w:rsidRPr="000A38E5">
        <w:rPr>
          <w:lang w:val="uk-UA"/>
        </w:rPr>
        <w:t>цит</w:t>
      </w:r>
      <w:proofErr w:type="spellEnd"/>
      <w:r w:rsidR="00D4256A" w:rsidRPr="000A38E5">
        <w:rPr>
          <w:lang w:val="uk-UA"/>
        </w:rPr>
        <w:t>. вище</w:t>
      </w:r>
      <w:r w:rsidR="00D4256A" w:rsidRPr="000A38E5">
        <w:rPr>
          <w:lang w:val="ru-RU"/>
        </w:rPr>
        <w:t>, §</w:t>
      </w:r>
      <w:r w:rsidR="00D4256A" w:rsidRPr="000A38E5">
        <w:t> </w:t>
      </w:r>
      <w:r w:rsidR="00D4256A" w:rsidRPr="000A38E5">
        <w:rPr>
          <w:lang w:val="ru-RU"/>
        </w:rPr>
        <w:t>146).</w:t>
      </w:r>
    </w:p>
    <w:p w:rsidR="00D4256A" w:rsidRPr="000A38E5" w:rsidRDefault="004E7608" w:rsidP="00D4256A">
      <w:pPr>
        <w:pStyle w:val="ECHRPara"/>
        <w:rPr>
          <w:b/>
          <w:u w:val="single"/>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00D4256A" w:rsidRPr="000A38E5">
        <w:instrText>r</w:instrText>
      </w:r>
      <w:r w:rsidR="00D4256A" w:rsidRPr="000A38E5">
        <w:rPr>
          <w:lang w:val="ru-RU"/>
        </w:rPr>
        <w:instrText xml:space="preserve"> 264 </w:instrText>
      </w:r>
      <w:r w:rsidRPr="000A38E5">
        <w:fldChar w:fldCharType="separate"/>
      </w:r>
      <w:r w:rsidR="00D4256A" w:rsidRPr="000A38E5">
        <w:rPr>
          <w:noProof/>
          <w:lang w:val="ru-RU"/>
        </w:rPr>
        <w:t>264</w:t>
      </w:r>
      <w:r w:rsidRPr="000A38E5">
        <w:fldChar w:fldCharType="end"/>
      </w:r>
      <w:r w:rsidR="00D4256A" w:rsidRPr="000A38E5">
        <w:rPr>
          <w:lang w:val="ru-RU"/>
        </w:rPr>
        <w:t>.</w:t>
      </w:r>
      <w:r w:rsidR="00D4256A" w:rsidRPr="00E93710">
        <w:rPr>
          <w:lang w:val="ru-RU"/>
        </w:rPr>
        <w:t xml:space="preserve"> </w:t>
      </w:r>
      <w:r w:rsidR="00D4256A" w:rsidRPr="000A38E5">
        <w:rPr>
          <w:lang w:val="uk-UA"/>
        </w:rPr>
        <w:t>У той же час, застосування позбавлення волі за обструктивну поведінку, пов’язану з протестом,</w:t>
      </w:r>
      <w:r w:rsidR="00D4256A" w:rsidRPr="000A38E5">
        <w:rPr>
          <w:lang w:val="ru-RU"/>
        </w:rPr>
        <w:t xml:space="preserve"> </w:t>
      </w:r>
      <w:r w:rsidR="00D4256A" w:rsidRPr="000A38E5">
        <w:rPr>
          <w:lang w:val="uk-UA"/>
        </w:rPr>
        <w:t>саме по собі не є несумісним зі статтею</w:t>
      </w:r>
      <w:r w:rsidR="00D4256A" w:rsidRPr="000A38E5">
        <w:rPr>
          <w:lang w:val="ru-RU"/>
        </w:rPr>
        <w:t xml:space="preserve"> 11. </w:t>
      </w:r>
      <w:r w:rsidR="00D4256A" w:rsidRPr="000A38E5">
        <w:rPr>
          <w:lang w:val="uk-UA"/>
        </w:rPr>
        <w:t>Національні органи влади мають свободу розсуду</w:t>
      </w:r>
      <w:r w:rsidR="00D4256A" w:rsidRPr="000A38E5">
        <w:rPr>
          <w:lang w:val="ru-RU"/>
        </w:rPr>
        <w:t xml:space="preserve"> </w:t>
      </w:r>
      <w:r w:rsidR="00D4256A" w:rsidRPr="000A38E5">
        <w:rPr>
          <w:lang w:val="uk-UA"/>
        </w:rPr>
        <w:t>при оцінці того, що є доречним та пропорційним покаранням</w:t>
      </w:r>
      <w:r w:rsidR="00D4256A" w:rsidRPr="000A38E5">
        <w:rPr>
          <w:lang w:val="ru-RU"/>
        </w:rPr>
        <w:t xml:space="preserve"> </w:t>
      </w:r>
      <w:r w:rsidR="00D4256A" w:rsidRPr="000A38E5">
        <w:rPr>
          <w:lang w:val="uk-UA"/>
        </w:rPr>
        <w:t>після «кримінального» засудження</w:t>
      </w:r>
      <w:r w:rsidR="00D4256A" w:rsidRPr="000A38E5">
        <w:rPr>
          <w:lang w:val="ru-RU"/>
        </w:rPr>
        <w:t xml:space="preserve">, </w:t>
      </w:r>
      <w:r w:rsidR="00D4256A" w:rsidRPr="000A38E5">
        <w:rPr>
          <w:lang w:val="uk-UA"/>
        </w:rPr>
        <w:t>приймаючи до уваги, зокрема, характер та серйозність</w:t>
      </w:r>
      <w:r w:rsidR="00D4256A" w:rsidRPr="000A38E5">
        <w:rPr>
          <w:lang w:val="ru-RU"/>
        </w:rPr>
        <w:t xml:space="preserve"> </w:t>
      </w:r>
      <w:r w:rsidR="00D4256A" w:rsidRPr="000A38E5">
        <w:rPr>
          <w:lang w:val="uk-UA"/>
        </w:rPr>
        <w:t>відповідної поведінки та мети санкції</w:t>
      </w:r>
      <w:r w:rsidR="00D4256A" w:rsidRPr="000A38E5">
        <w:rPr>
          <w:lang w:val="ru-RU"/>
        </w:rPr>
        <w:t>.</w:t>
      </w:r>
    </w:p>
    <w:p w:rsidR="00D4256A" w:rsidRPr="000A38E5" w:rsidRDefault="004E7608" w:rsidP="00D4256A">
      <w:pPr>
        <w:pStyle w:val="ECHRPara"/>
        <w:rPr>
          <w:b/>
          <w:u w:val="single"/>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265</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При оцінці пропорційності застосованої до заявника санкції</w:t>
      </w:r>
      <w:r w:rsidR="00D4256A" w:rsidRPr="000A38E5">
        <w:rPr>
          <w:lang w:val="ru-RU"/>
        </w:rPr>
        <w:t xml:space="preserve"> </w:t>
      </w:r>
      <w:r w:rsidR="00D4256A" w:rsidRPr="000A38E5">
        <w:rPr>
          <w:lang w:val="uk-UA"/>
        </w:rPr>
        <w:t>Суд зазначає, що він був засуджений за відмову виконати наказ</w:t>
      </w:r>
      <w:r w:rsidR="00D4256A" w:rsidRPr="000A38E5">
        <w:rPr>
          <w:lang w:val="ru-RU"/>
        </w:rPr>
        <w:t xml:space="preserve"> </w:t>
      </w:r>
      <w:r w:rsidR="00D4256A" w:rsidRPr="000A38E5">
        <w:rPr>
          <w:lang w:val="uk-UA"/>
        </w:rPr>
        <w:t>міліції покинути місце будівництва</w:t>
      </w:r>
      <w:r w:rsidR="00D4256A" w:rsidRPr="000A38E5">
        <w:rPr>
          <w:lang w:val="ru-RU"/>
        </w:rPr>
        <w:t xml:space="preserve"> </w:t>
      </w:r>
      <w:r w:rsidR="00D4256A" w:rsidRPr="000A38E5">
        <w:rPr>
          <w:lang w:val="uk-UA"/>
        </w:rPr>
        <w:t>та за опір спробам міліції видалити його</w:t>
      </w:r>
      <w:r w:rsidR="00D4256A" w:rsidRPr="000A38E5">
        <w:rPr>
          <w:lang w:val="ru-RU"/>
        </w:rPr>
        <w:t xml:space="preserve">. </w:t>
      </w:r>
      <w:r w:rsidR="00D4256A" w:rsidRPr="000A38E5">
        <w:rPr>
          <w:lang w:val="uk-UA"/>
        </w:rPr>
        <w:t>Ніщо не вказує, що наказ був необґрунтований</w:t>
      </w:r>
      <w:r w:rsidR="00D4256A" w:rsidRPr="000A38E5">
        <w:rPr>
          <w:lang w:val="ru-RU"/>
        </w:rPr>
        <w:t xml:space="preserve">, </w:t>
      </w:r>
      <w:r w:rsidR="00D4256A" w:rsidRPr="000A38E5">
        <w:rPr>
          <w:lang w:val="uk-UA"/>
        </w:rPr>
        <w:t>нечіткий, або що щось заважало заявникові його виконати</w:t>
      </w:r>
      <w:r w:rsidR="00D4256A" w:rsidRPr="000A38E5">
        <w:rPr>
          <w:lang w:val="ru-RU"/>
        </w:rPr>
        <w:t xml:space="preserve">. </w:t>
      </w:r>
      <w:r w:rsidR="00D4256A" w:rsidRPr="000A38E5">
        <w:rPr>
          <w:lang w:val="uk-UA"/>
        </w:rPr>
        <w:t>Якщо б заявник виконав наказ, ніщо б не заважало йому продовжувати протест</w:t>
      </w:r>
      <w:r w:rsidR="00D4256A" w:rsidRPr="000A38E5">
        <w:rPr>
          <w:lang w:val="ru-RU"/>
        </w:rPr>
        <w:t xml:space="preserve"> </w:t>
      </w:r>
      <w:r w:rsidR="00D4256A" w:rsidRPr="000A38E5">
        <w:rPr>
          <w:lang w:val="uk-UA"/>
        </w:rPr>
        <w:t>за межами будівельного майданчика</w:t>
      </w:r>
      <w:r w:rsidR="00D4256A" w:rsidRPr="000A38E5">
        <w:rPr>
          <w:lang w:val="ru-RU"/>
        </w:rPr>
        <w:t xml:space="preserve"> (</w:t>
      </w:r>
      <w:r w:rsidR="00D4256A" w:rsidRPr="000A38E5">
        <w:rPr>
          <w:lang w:val="uk-UA"/>
        </w:rPr>
        <w:t>див., з необхідними змінами</w:t>
      </w:r>
      <w:r w:rsidR="00D4256A" w:rsidRPr="000A38E5">
        <w:rPr>
          <w:lang w:val="ru-RU"/>
        </w:rPr>
        <w:t xml:space="preserve">, </w:t>
      </w:r>
      <w:proofErr w:type="spellStart"/>
      <w:r w:rsidR="00D4256A" w:rsidRPr="000A38E5">
        <w:rPr>
          <w:i/>
        </w:rPr>
        <w:t>Pentik</w:t>
      </w:r>
      <w:r w:rsidR="00D4256A" w:rsidRPr="000A38E5">
        <w:rPr>
          <w:i/>
          <w:lang w:val="ru-RU"/>
        </w:rPr>
        <w:t>ä</w:t>
      </w:r>
      <w:r w:rsidR="00D4256A" w:rsidRPr="000A38E5">
        <w:rPr>
          <w:i/>
        </w:rPr>
        <w:t>inen</w:t>
      </w:r>
      <w:proofErr w:type="spellEnd"/>
      <w:r w:rsidR="00D4256A" w:rsidRPr="000A38E5">
        <w:rPr>
          <w:lang w:val="ru-RU"/>
        </w:rPr>
        <w:t xml:space="preserve">, </w:t>
      </w:r>
      <w:proofErr w:type="spellStart"/>
      <w:r w:rsidR="00D4256A" w:rsidRPr="000A38E5">
        <w:rPr>
          <w:lang w:val="uk-UA"/>
        </w:rPr>
        <w:t>цит</w:t>
      </w:r>
      <w:proofErr w:type="spellEnd"/>
      <w:r w:rsidR="00D4256A" w:rsidRPr="000A38E5">
        <w:rPr>
          <w:lang w:val="uk-UA"/>
        </w:rPr>
        <w:t>. вище</w:t>
      </w:r>
      <w:r w:rsidR="00D4256A" w:rsidRPr="000A38E5">
        <w:rPr>
          <w:lang w:val="ru-RU"/>
        </w:rPr>
        <w:t xml:space="preserve">, §§ 95-101). </w:t>
      </w:r>
      <w:r w:rsidR="00D4256A" w:rsidRPr="000A38E5">
        <w:rPr>
          <w:lang w:val="uk-UA"/>
        </w:rPr>
        <w:t>Крім того, заявник чітко висловив свій намір повернутися на місце будівництва</w:t>
      </w:r>
      <w:r w:rsidR="00D4256A" w:rsidRPr="000A38E5">
        <w:rPr>
          <w:lang w:val="ru-RU"/>
        </w:rPr>
        <w:t xml:space="preserve"> </w:t>
      </w:r>
      <w:r w:rsidR="00D4256A" w:rsidRPr="000A38E5">
        <w:rPr>
          <w:lang w:val="uk-UA"/>
        </w:rPr>
        <w:t>та продовжити свою обструктивну діяльність</w:t>
      </w:r>
      <w:r w:rsidR="00D4256A" w:rsidRPr="000A38E5">
        <w:rPr>
          <w:lang w:val="ru-RU"/>
        </w:rPr>
        <w:t xml:space="preserve">. </w:t>
      </w:r>
      <w:r w:rsidR="00D4256A" w:rsidRPr="000A38E5">
        <w:rPr>
          <w:lang w:val="uk-UA"/>
        </w:rPr>
        <w:t>Зокрема, зазначивши свої наміри міліції</w:t>
      </w:r>
      <w:r w:rsidR="00D4256A" w:rsidRPr="000A38E5">
        <w:rPr>
          <w:lang w:val="ru-RU"/>
        </w:rPr>
        <w:t xml:space="preserve">, </w:t>
      </w:r>
      <w:r w:rsidR="00D4256A" w:rsidRPr="000A38E5">
        <w:rPr>
          <w:lang w:val="uk-UA"/>
        </w:rPr>
        <w:t>він не відмовився від цих тверджень у суді та не надав ніяких гарантій стосовно них</w:t>
      </w:r>
      <w:r w:rsidR="00D4256A" w:rsidRPr="000A38E5">
        <w:rPr>
          <w:lang w:val="ru-RU"/>
        </w:rPr>
        <w:t xml:space="preserve"> (</w:t>
      </w:r>
      <w:r w:rsidR="00D4256A" w:rsidRPr="000A38E5">
        <w:rPr>
          <w:lang w:val="uk-UA"/>
        </w:rPr>
        <w:t>див. пункти</w:t>
      </w:r>
      <w:r w:rsidR="00D4256A" w:rsidRPr="000A38E5">
        <w:rPr>
          <w:lang w:val="ru-RU"/>
        </w:rPr>
        <w:t xml:space="preserve"> </w:t>
      </w:r>
      <w:fldSimple w:instr=" REF sixth_app_trial \h  \* MERGEFORMAT ">
        <w:r w:rsidR="00D4256A" w:rsidRPr="000A38E5">
          <w:rPr>
            <w:noProof/>
            <w:lang w:val="ru-RU"/>
          </w:rPr>
          <w:t>65</w:t>
        </w:r>
      </w:fldSimple>
      <w:r w:rsidR="00D4256A" w:rsidRPr="000A38E5">
        <w:rPr>
          <w:lang w:val="ru-RU"/>
        </w:rPr>
        <w:t xml:space="preserve"> </w:t>
      </w:r>
      <w:r w:rsidR="00D4256A" w:rsidRPr="000A38E5">
        <w:rPr>
          <w:lang w:val="uk-UA"/>
        </w:rPr>
        <w:t>та</w:t>
      </w:r>
      <w:r w:rsidR="00D4256A" w:rsidRPr="000A38E5">
        <w:rPr>
          <w:lang w:val="ru-RU"/>
        </w:rPr>
        <w:t xml:space="preserve"> </w:t>
      </w:r>
      <w:fldSimple w:instr=" REF sixth_app_trial_court_judgment \h  \* MERGEFORMAT ">
        <w:r w:rsidR="00D4256A" w:rsidRPr="000A38E5">
          <w:rPr>
            <w:lang w:val="ru-RU"/>
          </w:rPr>
          <w:t>66</w:t>
        </w:r>
      </w:fldSimple>
      <w:r w:rsidR="00D4256A" w:rsidRPr="000A38E5">
        <w:rPr>
          <w:lang w:val="ru-RU"/>
        </w:rPr>
        <w:t xml:space="preserve"> </w:t>
      </w:r>
      <w:r w:rsidR="00D4256A" w:rsidRPr="000A38E5">
        <w:rPr>
          <w:lang w:val="uk-UA"/>
        </w:rPr>
        <w:t>вище та порівняйте</w:t>
      </w:r>
      <w:r w:rsidR="00D4256A" w:rsidRPr="000A38E5">
        <w:rPr>
          <w:lang w:val="ru-RU"/>
        </w:rPr>
        <w:t xml:space="preserve"> </w:t>
      </w:r>
      <w:r w:rsidR="00D4256A" w:rsidRPr="000A38E5">
        <w:rPr>
          <w:i/>
        </w:rPr>
        <w:t>Steel</w:t>
      </w:r>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Others v</w:t>
      </w:r>
      <w:r w:rsidR="00D4256A" w:rsidRPr="000A38E5">
        <w:rPr>
          <w:i/>
          <w:lang w:val="ru-RU"/>
        </w:rPr>
        <w:t xml:space="preserve">. </w:t>
      </w:r>
      <w:r w:rsidR="00D4256A" w:rsidRPr="000A38E5">
        <w:rPr>
          <w:i/>
        </w:rPr>
        <w:t>the</w:t>
      </w:r>
      <w:r w:rsidR="00D4256A" w:rsidRPr="000A38E5">
        <w:rPr>
          <w:i/>
          <w:lang w:val="ru-RU"/>
        </w:rPr>
        <w:t xml:space="preserve"> </w:t>
      </w:r>
      <w:r w:rsidR="00D4256A" w:rsidRPr="000A38E5">
        <w:rPr>
          <w:i/>
        </w:rPr>
        <w:t>United</w:t>
      </w:r>
      <w:r w:rsidR="00D4256A" w:rsidRPr="000A38E5">
        <w:rPr>
          <w:i/>
          <w:lang w:val="ru-RU"/>
        </w:rPr>
        <w:t xml:space="preserve"> </w:t>
      </w:r>
      <w:r w:rsidR="00D4256A" w:rsidRPr="000A38E5">
        <w:rPr>
          <w:i/>
        </w:rPr>
        <w:t>Kingdom</w:t>
      </w:r>
      <w:r w:rsidR="00D4256A" w:rsidRPr="000A38E5">
        <w:rPr>
          <w:lang w:val="ru-RU"/>
        </w:rPr>
        <w:t xml:space="preserve">, 23 </w:t>
      </w:r>
      <w:r w:rsidR="00D4256A" w:rsidRPr="000A38E5">
        <w:rPr>
          <w:lang w:val="uk-UA"/>
        </w:rPr>
        <w:t>вересня</w:t>
      </w:r>
      <w:r w:rsidR="00D4256A" w:rsidRPr="000A38E5">
        <w:rPr>
          <w:lang w:val="ru-RU"/>
        </w:rPr>
        <w:t xml:space="preserve"> 1998, §</w:t>
      </w:r>
      <w:r w:rsidR="00D4256A" w:rsidRPr="000A38E5">
        <w:rPr>
          <w:lang w:val="uk-UA"/>
        </w:rPr>
        <w:t> </w:t>
      </w:r>
      <w:r w:rsidR="00D4256A" w:rsidRPr="000A38E5">
        <w:rPr>
          <w:lang w:val="ru-RU"/>
        </w:rPr>
        <w:t xml:space="preserve">107, </w:t>
      </w:r>
      <w:r w:rsidR="00D4256A" w:rsidRPr="000A38E5">
        <w:rPr>
          <w:i/>
        </w:rPr>
        <w:t>Reports</w:t>
      </w:r>
      <w:r w:rsidR="00D4256A" w:rsidRPr="000A38E5">
        <w:rPr>
          <w:i/>
          <w:lang w:val="ru-RU"/>
        </w:rPr>
        <w:t xml:space="preserve"> </w:t>
      </w:r>
      <w:r w:rsidR="00D4256A" w:rsidRPr="000A38E5">
        <w:rPr>
          <w:lang w:val="ru-RU"/>
        </w:rPr>
        <w:t>1998-</w:t>
      </w:r>
      <w:r w:rsidR="00D4256A" w:rsidRPr="000A38E5">
        <w:t>VII</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266</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Крім того, Суд спостерігає, що заявник, хоча його представляв адвокат</w:t>
      </w:r>
      <w:r w:rsidR="00D4256A" w:rsidRPr="000A38E5">
        <w:rPr>
          <w:lang w:val="ru-RU"/>
        </w:rPr>
        <w:t xml:space="preserve">, </w:t>
      </w:r>
      <w:r w:rsidR="00D4256A" w:rsidRPr="000A38E5">
        <w:rPr>
          <w:lang w:val="uk-UA"/>
        </w:rPr>
        <w:t>не попросив належним чином апеляційний суд про зменшення вироку</w:t>
      </w:r>
      <w:r w:rsidR="00D4256A" w:rsidRPr="000A38E5">
        <w:rPr>
          <w:lang w:val="ru-RU"/>
        </w:rPr>
        <w:t xml:space="preserve">, </w:t>
      </w:r>
      <w:r w:rsidR="00D4256A" w:rsidRPr="000A38E5">
        <w:rPr>
          <w:lang w:val="uk-UA"/>
        </w:rPr>
        <w:t>поставивши цей суд, який був обмежений висунутими в апеляції аргументами</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sixth_app_CoA \h  \* MERGEFORMAT ">
        <w:r w:rsidR="00D4256A" w:rsidRPr="000A38E5">
          <w:rPr>
            <w:noProof/>
            <w:lang w:val="ru-RU"/>
          </w:rPr>
          <w:t>68</w:t>
        </w:r>
      </w:fldSimple>
      <w:r w:rsidR="00D4256A" w:rsidRPr="000A38E5">
        <w:rPr>
          <w:lang w:val="ru-RU"/>
        </w:rPr>
        <w:t xml:space="preserve"> </w:t>
      </w:r>
      <w:r w:rsidR="00D4256A" w:rsidRPr="000A38E5">
        <w:rPr>
          <w:lang w:val="uk-UA"/>
        </w:rPr>
        <w:t>вище</w:t>
      </w:r>
      <w:r w:rsidR="00D4256A" w:rsidRPr="000A38E5">
        <w:rPr>
          <w:lang w:val="ru-RU"/>
        </w:rPr>
        <w:t>)</w:t>
      </w:r>
      <w:r w:rsidR="00D4256A" w:rsidRPr="000A38E5">
        <w:rPr>
          <w:lang w:val="uk-UA"/>
        </w:rPr>
        <w:t>,</w:t>
      </w:r>
      <w:r w:rsidR="00D4256A" w:rsidRPr="000A38E5">
        <w:rPr>
          <w:lang w:val="ru-RU"/>
        </w:rPr>
        <w:t xml:space="preserve"> перед </w:t>
      </w:r>
      <w:r w:rsidR="00D4256A" w:rsidRPr="000A38E5">
        <w:rPr>
          <w:lang w:val="uk-UA"/>
        </w:rPr>
        <w:t>вибором між виправданням та припиненням проваджень, з одного боку</w:t>
      </w:r>
      <w:r w:rsidR="00D4256A" w:rsidRPr="000A38E5">
        <w:rPr>
          <w:lang w:val="ru-RU"/>
        </w:rPr>
        <w:t xml:space="preserve">, </w:t>
      </w:r>
      <w:r w:rsidR="00D4256A" w:rsidRPr="000A38E5">
        <w:rPr>
          <w:lang w:val="uk-UA"/>
        </w:rPr>
        <w:t>що не було доречним за даних обставин</w:t>
      </w:r>
      <w:r w:rsidR="00D4256A" w:rsidRPr="000A38E5">
        <w:rPr>
          <w:lang w:val="ru-RU"/>
        </w:rPr>
        <w:t xml:space="preserve">, </w:t>
      </w:r>
      <w:r w:rsidR="00D4256A" w:rsidRPr="000A38E5">
        <w:rPr>
          <w:lang w:val="uk-UA"/>
        </w:rPr>
        <w:t>та підтвердженням вироку суду першої інстанції</w:t>
      </w:r>
      <w:r w:rsidR="00D4256A" w:rsidRPr="000A38E5">
        <w:rPr>
          <w:lang w:val="ru-RU"/>
        </w:rPr>
        <w:t xml:space="preserve">, </w:t>
      </w:r>
      <w:r w:rsidR="00D4256A" w:rsidRPr="000A38E5">
        <w:rPr>
          <w:lang w:val="uk-UA"/>
        </w:rPr>
        <w:t>з іншого</w:t>
      </w:r>
      <w:r w:rsidR="00D4256A" w:rsidRPr="000A38E5">
        <w:rPr>
          <w:lang w:val="ru-RU"/>
        </w:rPr>
        <w:t xml:space="preserve">. </w:t>
      </w:r>
      <w:r w:rsidR="00D4256A" w:rsidRPr="000A38E5">
        <w:rPr>
          <w:lang w:val="uk-UA"/>
        </w:rPr>
        <w:t>Дійсно, перегляд апеляційного суду відбувся після того, як заявник вже відбув своє покарання</w:t>
      </w:r>
      <w:r w:rsidR="00D4256A" w:rsidRPr="000A38E5">
        <w:rPr>
          <w:lang w:val="ru-RU"/>
        </w:rPr>
        <w:t xml:space="preserve">. </w:t>
      </w:r>
      <w:r w:rsidR="00D4256A" w:rsidRPr="000A38E5">
        <w:rPr>
          <w:lang w:val="uk-UA"/>
        </w:rPr>
        <w:t>Однак його поведінка демонструє безперспективну позицію, яку він зайняв у національних судах</w:t>
      </w:r>
      <w:r w:rsidR="00D4256A" w:rsidRPr="000A38E5">
        <w:rPr>
          <w:lang w:val="ru-RU"/>
        </w:rPr>
        <w:t xml:space="preserve"> </w:t>
      </w:r>
      <w:r w:rsidR="00D4256A" w:rsidRPr="000A38E5">
        <w:rPr>
          <w:lang w:val="uk-UA"/>
        </w:rPr>
        <w:t>у цілому</w:t>
      </w:r>
      <w:r w:rsidR="00D4256A" w:rsidRPr="000A38E5">
        <w:rPr>
          <w:lang w:val="ru-RU"/>
        </w:rPr>
        <w:t xml:space="preserve">, </w:t>
      </w:r>
      <w:r w:rsidR="00D4256A" w:rsidRPr="000A38E5">
        <w:rPr>
          <w:lang w:val="uk-UA"/>
        </w:rPr>
        <w:t>підтверджуючи правильність оцінки того, що він продовжував вважати свою поведінку повністю законною та міг продовжити її</w:t>
      </w:r>
      <w:r w:rsidR="00D4256A" w:rsidRPr="000A38E5">
        <w:rPr>
          <w:lang w:val="ru-RU"/>
        </w:rPr>
        <w:t xml:space="preserve">, </w:t>
      </w:r>
      <w:r w:rsidR="00D4256A" w:rsidRPr="000A38E5">
        <w:rPr>
          <w:lang w:val="uk-UA"/>
        </w:rPr>
        <w:t>створюючи значний ризик для безпеки поточного будівництва</w:t>
      </w:r>
      <w:r w:rsidR="00D4256A" w:rsidRPr="000A38E5">
        <w:rPr>
          <w:lang w:val="ru-RU"/>
        </w:rPr>
        <w:t>.</w:t>
      </w:r>
    </w:p>
    <w:p w:rsidR="00D4256A" w:rsidRPr="000A38E5" w:rsidRDefault="004E7608" w:rsidP="00D4256A">
      <w:pPr>
        <w:pStyle w:val="ECHRPara"/>
        <w:rPr>
          <w:b/>
          <w:u w:val="single"/>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267</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За таких обставин Суд вважає, що накладене на заявника покарання у вигляді позбавлення волі на десять діб</w:t>
      </w:r>
      <w:r w:rsidR="00D4256A" w:rsidRPr="000A38E5">
        <w:rPr>
          <w:lang w:val="ru-RU"/>
        </w:rPr>
        <w:t xml:space="preserve"> </w:t>
      </w:r>
      <w:r w:rsidR="00D4256A" w:rsidRPr="000A38E5">
        <w:rPr>
          <w:lang w:val="uk-UA"/>
        </w:rPr>
        <w:t>не може вважатися надто непропорційним</w:t>
      </w:r>
      <w:r w:rsidR="00D4256A" w:rsidRPr="000A38E5">
        <w:rPr>
          <w:lang w:val="ru-RU"/>
        </w:rPr>
        <w:t xml:space="preserve"> (</w:t>
      </w:r>
      <w:r w:rsidR="00D4256A" w:rsidRPr="000A38E5">
        <w:rPr>
          <w:lang w:val="uk-UA"/>
        </w:rPr>
        <w:t>див., на відміну від цього</w:t>
      </w:r>
      <w:r w:rsidR="00D4256A" w:rsidRPr="000A38E5">
        <w:rPr>
          <w:lang w:val="ru-RU"/>
        </w:rPr>
        <w:t xml:space="preserve">, </w:t>
      </w:r>
      <w:proofErr w:type="spellStart"/>
      <w:r w:rsidR="00D4256A" w:rsidRPr="000A38E5">
        <w:rPr>
          <w:i/>
        </w:rPr>
        <w:t>Frumkin</w:t>
      </w:r>
      <w:proofErr w:type="spellEnd"/>
      <w:r w:rsidR="00D4256A" w:rsidRPr="000A38E5">
        <w:rPr>
          <w:lang w:val="ru-RU"/>
        </w:rPr>
        <w:t xml:space="preserve">, </w:t>
      </w:r>
      <w:proofErr w:type="spellStart"/>
      <w:r w:rsidR="00D4256A" w:rsidRPr="000A38E5">
        <w:rPr>
          <w:lang w:val="uk-UA"/>
        </w:rPr>
        <w:t>цит</w:t>
      </w:r>
      <w:proofErr w:type="spellEnd"/>
      <w:r w:rsidR="00D4256A" w:rsidRPr="000A38E5">
        <w:rPr>
          <w:lang w:val="uk-UA"/>
        </w:rPr>
        <w:t>. вище</w:t>
      </w:r>
      <w:r w:rsidR="00D4256A" w:rsidRPr="000A38E5">
        <w:rPr>
          <w:lang w:val="ru-RU"/>
        </w:rPr>
        <w:t>, §</w:t>
      </w:r>
      <w:r w:rsidR="00D4256A" w:rsidRPr="000A38E5">
        <w:t> </w:t>
      </w:r>
      <w:r w:rsidR="00D4256A" w:rsidRPr="000A38E5">
        <w:rPr>
          <w:lang w:val="ru-RU"/>
        </w:rPr>
        <w:t xml:space="preserve">140; </w:t>
      </w:r>
      <w:r w:rsidR="00D4256A" w:rsidRPr="000A38E5">
        <w:rPr>
          <w:i/>
          <w:iCs/>
        </w:rPr>
        <w:t>I</w:t>
      </w:r>
      <w:r w:rsidR="00D4256A" w:rsidRPr="000A38E5">
        <w:rPr>
          <w:i/>
          <w:iCs/>
          <w:lang w:val="ru-RU"/>
        </w:rPr>
        <w:t>şı</w:t>
      </w:r>
      <w:r w:rsidR="00D4256A" w:rsidRPr="000A38E5">
        <w:rPr>
          <w:i/>
          <w:iCs/>
        </w:rPr>
        <w:t>k</w:t>
      </w:r>
      <w:r w:rsidR="00D4256A" w:rsidRPr="000A38E5">
        <w:rPr>
          <w:i/>
          <w:iCs/>
          <w:lang w:val="ru-RU"/>
        </w:rPr>
        <w:t>ı</w:t>
      </w:r>
      <w:r w:rsidR="00D4256A" w:rsidRPr="000A38E5">
        <w:rPr>
          <w:i/>
          <w:iCs/>
        </w:rPr>
        <w:t>r</w:t>
      </w:r>
      <w:r w:rsidR="00D4256A" w:rsidRPr="000A38E5">
        <w:rPr>
          <w:i/>
          <w:iCs/>
          <w:lang w:val="ru-RU"/>
        </w:rPr>
        <w:t>ı</w:t>
      </w:r>
      <w:r w:rsidR="00D4256A" w:rsidRPr="000A38E5">
        <w:rPr>
          <w:i/>
          <w:iCs/>
        </w:rPr>
        <w:t>k</w:t>
      </w:r>
      <w:r w:rsidR="00D4256A" w:rsidRPr="000A38E5">
        <w:rPr>
          <w:i/>
          <w:iCs/>
          <w:lang w:val="ru-RU"/>
        </w:rPr>
        <w:t xml:space="preserve"> </w:t>
      </w:r>
      <w:r w:rsidR="00D4256A" w:rsidRPr="000A38E5">
        <w:rPr>
          <w:i/>
          <w:iCs/>
        </w:rPr>
        <w:t>v</w:t>
      </w:r>
      <w:r w:rsidR="00D4256A" w:rsidRPr="000A38E5">
        <w:rPr>
          <w:i/>
          <w:iCs/>
          <w:lang w:val="ru-RU"/>
        </w:rPr>
        <w:t>.</w:t>
      </w:r>
      <w:r w:rsidR="00D4256A" w:rsidRPr="000A38E5">
        <w:rPr>
          <w:i/>
          <w:iCs/>
        </w:rPr>
        <w:t> Turkey</w:t>
      </w:r>
      <w:r w:rsidR="00D4256A" w:rsidRPr="000A38E5">
        <w:rPr>
          <w:lang w:val="ru-RU"/>
        </w:rPr>
        <w:t xml:space="preserve">, </w:t>
      </w:r>
      <w:r w:rsidR="00D4256A" w:rsidRPr="000A38E5">
        <w:rPr>
          <w:lang w:val="uk-UA"/>
        </w:rPr>
        <w:t>№</w:t>
      </w:r>
      <w:r w:rsidR="00D4256A" w:rsidRPr="000A38E5">
        <w:t> </w:t>
      </w:r>
      <w:r w:rsidR="00D4256A" w:rsidRPr="000A38E5">
        <w:rPr>
          <w:lang w:val="ru-RU"/>
        </w:rPr>
        <w:t xml:space="preserve">41226/09, § 69, 14 </w:t>
      </w:r>
      <w:r w:rsidR="00D4256A" w:rsidRPr="000A38E5">
        <w:rPr>
          <w:lang w:val="uk-UA"/>
        </w:rPr>
        <w:t>листопада</w:t>
      </w:r>
      <w:r w:rsidR="00D4256A" w:rsidRPr="000A38E5">
        <w:rPr>
          <w:lang w:val="ru-RU"/>
        </w:rPr>
        <w:t xml:space="preserve"> 2017; </w:t>
      </w:r>
      <w:proofErr w:type="spellStart"/>
      <w:r w:rsidR="00D4256A" w:rsidRPr="000A38E5">
        <w:rPr>
          <w:i/>
          <w:iCs/>
        </w:rPr>
        <w:t>Bak</w:t>
      </w:r>
      <w:proofErr w:type="spellEnd"/>
      <w:r w:rsidR="00D4256A" w:rsidRPr="000A38E5">
        <w:rPr>
          <w:i/>
          <w:iCs/>
          <w:lang w:val="ru-RU"/>
        </w:rPr>
        <w:t>ı</w:t>
      </w:r>
      <w:r w:rsidR="00D4256A" w:rsidRPr="000A38E5">
        <w:rPr>
          <w:i/>
          <w:iCs/>
        </w:rPr>
        <w:t>r</w:t>
      </w:r>
      <w:r w:rsidR="00D4256A" w:rsidRPr="000A38E5">
        <w:rPr>
          <w:i/>
          <w:iCs/>
          <w:lang w:val="ru-RU"/>
        </w:rPr>
        <w:t xml:space="preserve"> </w:t>
      </w:r>
      <w:r w:rsidR="00D4256A" w:rsidRPr="000A38E5">
        <w:rPr>
          <w:i/>
          <w:iCs/>
        </w:rPr>
        <w:t>and</w:t>
      </w:r>
      <w:r w:rsidR="00D4256A" w:rsidRPr="000A38E5">
        <w:rPr>
          <w:i/>
          <w:iCs/>
          <w:lang w:val="ru-RU"/>
        </w:rPr>
        <w:t xml:space="preserve"> </w:t>
      </w:r>
      <w:r w:rsidR="00D4256A" w:rsidRPr="000A38E5">
        <w:rPr>
          <w:i/>
          <w:iCs/>
        </w:rPr>
        <w:t>Others</w:t>
      </w:r>
      <w:r w:rsidR="00D4256A" w:rsidRPr="000A38E5">
        <w:rPr>
          <w:i/>
          <w:iCs/>
          <w:lang w:val="ru-RU"/>
        </w:rPr>
        <w:t xml:space="preserve"> </w:t>
      </w:r>
      <w:r w:rsidR="00D4256A" w:rsidRPr="000A38E5">
        <w:rPr>
          <w:i/>
          <w:iCs/>
        </w:rPr>
        <w:t>v</w:t>
      </w:r>
      <w:r w:rsidR="00D4256A" w:rsidRPr="000A38E5">
        <w:rPr>
          <w:i/>
          <w:iCs/>
          <w:lang w:val="ru-RU"/>
        </w:rPr>
        <w:t xml:space="preserve">. </w:t>
      </w:r>
      <w:r w:rsidR="00D4256A" w:rsidRPr="000A38E5">
        <w:rPr>
          <w:i/>
          <w:iCs/>
        </w:rPr>
        <w:t>Turkey</w:t>
      </w:r>
      <w:r w:rsidR="00D4256A" w:rsidRPr="000A38E5">
        <w:rPr>
          <w:lang w:val="ru-RU"/>
        </w:rPr>
        <w:t xml:space="preserve">, </w:t>
      </w:r>
      <w:r w:rsidR="00D4256A" w:rsidRPr="000A38E5">
        <w:rPr>
          <w:lang w:val="uk-UA"/>
        </w:rPr>
        <w:t>№</w:t>
      </w:r>
      <w:r w:rsidR="00D4256A" w:rsidRPr="000A38E5">
        <w:t> </w:t>
      </w:r>
      <w:r w:rsidR="00D4256A" w:rsidRPr="000A38E5">
        <w:rPr>
          <w:lang w:val="ru-RU"/>
        </w:rPr>
        <w:t xml:space="preserve">46713/10, § 68, 10 </w:t>
      </w:r>
      <w:r w:rsidR="00D4256A" w:rsidRPr="000A38E5">
        <w:rPr>
          <w:lang w:val="uk-UA"/>
        </w:rPr>
        <w:t>липня</w:t>
      </w:r>
      <w:r w:rsidR="00D4256A" w:rsidRPr="000A38E5">
        <w:rPr>
          <w:lang w:val="ru-RU"/>
        </w:rPr>
        <w:t xml:space="preserve"> 2018; </w:t>
      </w:r>
      <w:r w:rsidR="00D4256A" w:rsidRPr="000A38E5">
        <w:rPr>
          <w:lang w:val="uk-UA"/>
        </w:rPr>
        <w:t>та</w:t>
      </w:r>
      <w:r w:rsidR="00D4256A" w:rsidRPr="000A38E5">
        <w:rPr>
          <w:lang w:val="ru-RU"/>
        </w:rPr>
        <w:t xml:space="preserve"> </w:t>
      </w:r>
      <w:r w:rsidR="00D4256A" w:rsidRPr="000A38E5">
        <w:rPr>
          <w:i/>
          <w:iCs/>
          <w:lang w:val="ru-RU"/>
        </w:rPr>
        <w:t>İ</w:t>
      </w:r>
      <w:proofErr w:type="spellStart"/>
      <w:r w:rsidR="00D4256A" w:rsidRPr="000A38E5">
        <w:rPr>
          <w:i/>
          <w:iCs/>
        </w:rPr>
        <w:t>mret</w:t>
      </w:r>
      <w:proofErr w:type="spellEnd"/>
      <w:r w:rsidR="00D4256A" w:rsidRPr="000A38E5">
        <w:rPr>
          <w:i/>
          <w:iCs/>
          <w:lang w:val="ru-RU"/>
        </w:rPr>
        <w:t xml:space="preserve"> </w:t>
      </w:r>
      <w:r w:rsidR="00D4256A" w:rsidRPr="000A38E5">
        <w:rPr>
          <w:i/>
          <w:iCs/>
        </w:rPr>
        <w:t>v</w:t>
      </w:r>
      <w:r w:rsidR="00D4256A" w:rsidRPr="000A38E5">
        <w:rPr>
          <w:i/>
          <w:iCs/>
          <w:lang w:val="ru-RU"/>
        </w:rPr>
        <w:t xml:space="preserve">. </w:t>
      </w:r>
      <w:r w:rsidR="00D4256A" w:rsidRPr="000A38E5">
        <w:rPr>
          <w:i/>
          <w:iCs/>
        </w:rPr>
        <w:t>Turkey</w:t>
      </w:r>
      <w:r w:rsidR="00D4256A" w:rsidRPr="000A38E5">
        <w:rPr>
          <w:i/>
          <w:iCs/>
          <w:lang w:val="ru-RU"/>
        </w:rPr>
        <w:t xml:space="preserve"> (</w:t>
      </w:r>
      <w:r w:rsidR="00D4256A" w:rsidRPr="000A38E5">
        <w:rPr>
          <w:i/>
          <w:iCs/>
          <w:lang w:val="uk-UA"/>
        </w:rPr>
        <w:t>№</w:t>
      </w:r>
      <w:r w:rsidR="00D4256A" w:rsidRPr="000A38E5">
        <w:rPr>
          <w:i/>
          <w:iCs/>
        </w:rPr>
        <w:t> </w:t>
      </w:r>
      <w:r w:rsidR="00D4256A" w:rsidRPr="000A38E5">
        <w:rPr>
          <w:i/>
          <w:iCs/>
          <w:lang w:val="ru-RU"/>
        </w:rPr>
        <w:t>2)</w:t>
      </w:r>
      <w:r w:rsidR="00D4256A" w:rsidRPr="000A38E5">
        <w:rPr>
          <w:lang w:val="ru-RU"/>
        </w:rPr>
        <w:t xml:space="preserve">, </w:t>
      </w:r>
      <w:r w:rsidR="00D4256A" w:rsidRPr="000A38E5">
        <w:rPr>
          <w:lang w:val="uk-UA"/>
        </w:rPr>
        <w:t>№</w:t>
      </w:r>
      <w:r w:rsidR="00D4256A" w:rsidRPr="000A38E5">
        <w:t> </w:t>
      </w:r>
      <w:r w:rsidR="00D4256A" w:rsidRPr="000A38E5">
        <w:rPr>
          <w:lang w:val="ru-RU"/>
        </w:rPr>
        <w:t xml:space="preserve">57316/10, § 58, 10 </w:t>
      </w:r>
      <w:r w:rsidR="00D4256A" w:rsidRPr="000A38E5">
        <w:rPr>
          <w:lang w:val="uk-UA"/>
        </w:rPr>
        <w:t>липня</w:t>
      </w:r>
      <w:r w:rsidR="00D4256A" w:rsidRPr="000A38E5">
        <w:rPr>
          <w:lang w:val="ru-RU"/>
        </w:rPr>
        <w:t xml:space="preserve"> 2018).</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268</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Беручи до уваги ці міркування, Суд вважає, що за конкретних обставин даної справи</w:t>
      </w:r>
      <w:r w:rsidR="00D4256A" w:rsidRPr="000A38E5">
        <w:rPr>
          <w:lang w:val="ru-RU"/>
        </w:rPr>
        <w:t xml:space="preserve"> </w:t>
      </w:r>
      <w:r w:rsidR="00D4256A" w:rsidRPr="000A38E5">
        <w:rPr>
          <w:lang w:val="uk-UA"/>
        </w:rPr>
        <w:t>не можна вважати, що національні суди вийшли за межі свободи розсуду</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269</w:t>
      </w:r>
      <w:r w:rsidRPr="000A38E5">
        <w:rPr>
          <w:noProof/>
        </w:rPr>
        <w:fldChar w:fldCharType="end"/>
      </w:r>
      <w:r w:rsidR="00D4256A" w:rsidRPr="000A38E5">
        <w:rPr>
          <w:lang w:val="ru-RU"/>
        </w:rPr>
        <w:t>.</w:t>
      </w:r>
      <w:r w:rsidR="00D4256A" w:rsidRPr="00E93710">
        <w:rPr>
          <w:lang w:val="ru-RU"/>
        </w:rPr>
        <w:t xml:space="preserve"> </w:t>
      </w:r>
      <w:r w:rsidR="00D4256A" w:rsidRPr="000A38E5">
        <w:rPr>
          <w:lang w:val="uk-UA"/>
        </w:rPr>
        <w:t>Відповідно, не було порушення статті 11 Конвенції у зв’язку з затриманням та засудженням шостого заявника</w:t>
      </w:r>
      <w:r w:rsidR="00D4256A" w:rsidRPr="000A38E5">
        <w:rPr>
          <w:lang w:val="ru-RU"/>
        </w:rPr>
        <w:t>.</w:t>
      </w:r>
    </w:p>
    <w:p w:rsidR="00D4256A" w:rsidRPr="000A38E5" w:rsidRDefault="00D4256A" w:rsidP="00D4256A">
      <w:pPr>
        <w:pStyle w:val="ECHRHeading5"/>
        <w:rPr>
          <w:lang w:val="uk-UA"/>
        </w:rPr>
      </w:pPr>
      <w:r w:rsidRPr="000A38E5">
        <w:rPr>
          <w:lang w:val="ru-RU"/>
        </w:rPr>
        <w:t>(</w:t>
      </w:r>
      <w:r w:rsidRPr="000A38E5">
        <w:t>ii</w:t>
      </w:r>
      <w:r w:rsidRPr="000A38E5">
        <w:rPr>
          <w:lang w:val="ru-RU"/>
        </w:rPr>
        <w:t>)</w:t>
      </w:r>
      <w:r w:rsidRPr="00E93710">
        <w:rPr>
          <w:lang w:val="ru-RU"/>
        </w:rPr>
        <w:t xml:space="preserve"> </w:t>
      </w:r>
      <w:r w:rsidRPr="000A38E5">
        <w:rPr>
          <w:lang w:val="uk-UA"/>
        </w:rPr>
        <w:t>Події 31 травня та 27 травня</w:t>
      </w:r>
      <w:r w:rsidRPr="000A38E5">
        <w:rPr>
          <w:lang w:val="ru-RU"/>
        </w:rPr>
        <w:t xml:space="preserve"> 2010 </w:t>
      </w:r>
      <w:r w:rsidRPr="000A38E5">
        <w:rPr>
          <w:lang w:val="uk-UA"/>
        </w:rPr>
        <w:t>р. стосовно сьомого та дев’ятого заявників, відповідно</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270</w:t>
      </w:r>
      <w:r w:rsidRPr="000A38E5">
        <w:fldChar w:fldCharType="end"/>
      </w:r>
      <w:r w:rsidR="00D4256A" w:rsidRPr="000A38E5">
        <w:rPr>
          <w:lang w:val="ru-RU"/>
        </w:rPr>
        <w:t>.</w:t>
      </w:r>
      <w:r w:rsidR="00D4256A" w:rsidRPr="00E93710">
        <w:rPr>
          <w:lang w:val="ru-RU"/>
        </w:rPr>
        <w:t xml:space="preserve"> </w:t>
      </w:r>
      <w:r w:rsidR="00D4256A" w:rsidRPr="000A38E5">
        <w:rPr>
          <w:lang w:val="uk-UA"/>
        </w:rPr>
        <w:t>Сьомий та дев’ятий заявники стверджували, що були травмовані</w:t>
      </w:r>
      <w:r w:rsidR="00D4256A" w:rsidRPr="000A38E5">
        <w:rPr>
          <w:lang w:val="ru-RU"/>
        </w:rPr>
        <w:t xml:space="preserve"> </w:t>
      </w:r>
      <w:r w:rsidR="00D4256A" w:rsidRPr="000A38E5">
        <w:rPr>
          <w:lang w:val="uk-UA"/>
        </w:rPr>
        <w:t>особами, які намагалися перешкоджати протесту</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271</w:t>
      </w:r>
      <w:r w:rsidRPr="000A38E5">
        <w:fldChar w:fldCharType="end"/>
      </w:r>
      <w:r w:rsidR="00D4256A" w:rsidRPr="000A38E5">
        <w:rPr>
          <w:lang w:val="ru-RU"/>
        </w:rPr>
        <w:t>.</w:t>
      </w:r>
      <w:r w:rsidR="00D4256A" w:rsidRPr="00E93710">
        <w:rPr>
          <w:lang w:val="ru-RU"/>
        </w:rPr>
        <w:t xml:space="preserve"> </w:t>
      </w:r>
      <w:r w:rsidR="00D4256A" w:rsidRPr="000A38E5">
        <w:rPr>
          <w:lang w:val="uk-UA"/>
        </w:rPr>
        <w:t>Суд вже визнав, що органи влади мають обов’язок</w:t>
      </w:r>
      <w:r w:rsidR="00D4256A" w:rsidRPr="000A38E5">
        <w:rPr>
          <w:lang w:val="ru-RU"/>
        </w:rPr>
        <w:t xml:space="preserve"> </w:t>
      </w:r>
      <w:r w:rsidR="00D4256A" w:rsidRPr="000A38E5">
        <w:rPr>
          <w:lang w:val="uk-UA"/>
        </w:rPr>
        <w:t>приймати розумні заходи по відношенню до законних демонстрацій</w:t>
      </w:r>
      <w:r w:rsidR="00D4256A" w:rsidRPr="000A38E5">
        <w:rPr>
          <w:lang w:val="ru-RU"/>
        </w:rPr>
        <w:t xml:space="preserve"> </w:t>
      </w:r>
      <w:r w:rsidR="00D4256A" w:rsidRPr="000A38E5">
        <w:rPr>
          <w:lang w:val="uk-UA"/>
        </w:rPr>
        <w:t>для забезпечення їх мирного проведення</w:t>
      </w:r>
      <w:r w:rsidR="00D4256A" w:rsidRPr="000A38E5">
        <w:rPr>
          <w:lang w:val="ru-RU"/>
        </w:rPr>
        <w:t xml:space="preserve"> </w:t>
      </w:r>
      <w:r w:rsidR="00D4256A" w:rsidRPr="000A38E5">
        <w:rPr>
          <w:lang w:val="uk-UA"/>
        </w:rPr>
        <w:t>та безпеки усіх громадян</w:t>
      </w:r>
      <w:r w:rsidR="00D4256A" w:rsidRPr="000A38E5">
        <w:rPr>
          <w:lang w:val="ru-RU"/>
        </w:rPr>
        <w:t xml:space="preserve"> (</w:t>
      </w:r>
      <w:r w:rsidR="00D4256A" w:rsidRPr="000A38E5">
        <w:rPr>
          <w:lang w:val="uk-UA"/>
        </w:rPr>
        <w:t>див.</w:t>
      </w:r>
      <w:r w:rsidR="00D4256A" w:rsidRPr="000A38E5">
        <w:rPr>
          <w:lang w:val="ru-RU"/>
        </w:rPr>
        <w:t xml:space="preserve"> </w:t>
      </w:r>
      <w:proofErr w:type="spellStart"/>
      <w:r w:rsidR="00D4256A" w:rsidRPr="000A38E5">
        <w:rPr>
          <w:i/>
        </w:rPr>
        <w:t>Kudrevi</w:t>
      </w:r>
      <w:r w:rsidR="00D4256A" w:rsidRPr="000A38E5">
        <w:rPr>
          <w:i/>
          <w:lang w:val="ru-RU"/>
        </w:rPr>
        <w:t>č</w:t>
      </w:r>
      <w:r w:rsidR="00D4256A" w:rsidRPr="000A38E5">
        <w:rPr>
          <w:i/>
        </w:rPr>
        <w:t>ius</w:t>
      </w:r>
      <w:proofErr w:type="spellEnd"/>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Others</w:t>
      </w:r>
      <w:r w:rsidR="00D4256A" w:rsidRPr="000A38E5">
        <w:rPr>
          <w:lang w:val="ru-RU"/>
        </w:rPr>
        <w:t xml:space="preserve">, </w:t>
      </w:r>
      <w:proofErr w:type="spellStart"/>
      <w:r w:rsidR="00D4256A" w:rsidRPr="000A38E5">
        <w:rPr>
          <w:lang w:val="uk-UA"/>
        </w:rPr>
        <w:t>цит</w:t>
      </w:r>
      <w:proofErr w:type="spellEnd"/>
      <w:r w:rsidR="00D4256A" w:rsidRPr="000A38E5">
        <w:rPr>
          <w:lang w:val="uk-UA"/>
        </w:rPr>
        <w:t>. вище</w:t>
      </w:r>
      <w:r w:rsidR="00D4256A" w:rsidRPr="000A38E5">
        <w:rPr>
          <w:lang w:val="ru-RU"/>
        </w:rPr>
        <w:t xml:space="preserve">, § 159). </w:t>
      </w:r>
      <w:r w:rsidR="00D4256A" w:rsidRPr="000A38E5">
        <w:rPr>
          <w:lang w:val="uk-UA"/>
        </w:rPr>
        <w:t>Суд вважає, що цей же обов’язок стосується зібрання</w:t>
      </w:r>
      <w:r w:rsidR="00D4256A" w:rsidRPr="000A38E5">
        <w:rPr>
          <w:lang w:val="ru-RU"/>
        </w:rPr>
        <w:t xml:space="preserve">, </w:t>
      </w:r>
      <w:r w:rsidR="00D4256A" w:rsidRPr="000A38E5">
        <w:rPr>
          <w:lang w:val="uk-UA"/>
        </w:rPr>
        <w:t>яке, незалежно від того, чи вважається законним або незаконним з точки зору національного законодавства</w:t>
      </w:r>
      <w:r w:rsidR="00D4256A" w:rsidRPr="000A38E5">
        <w:rPr>
          <w:lang w:val="ru-RU"/>
        </w:rPr>
        <w:t xml:space="preserve">, </w:t>
      </w:r>
      <w:r w:rsidR="00D4256A" w:rsidRPr="000A38E5">
        <w:rPr>
          <w:lang w:val="uk-UA"/>
        </w:rPr>
        <w:t>потребує захисту статті</w:t>
      </w:r>
      <w:r w:rsidR="00D4256A" w:rsidRPr="000A38E5">
        <w:rPr>
          <w:lang w:val="ru-RU"/>
        </w:rPr>
        <w:t xml:space="preserve"> 11 </w:t>
      </w:r>
      <w:r w:rsidR="00D4256A" w:rsidRPr="000A38E5">
        <w:rPr>
          <w:lang w:val="uk-UA"/>
        </w:rPr>
        <w:t>та про яке органи влади були в достатній мірі повідомлені</w:t>
      </w:r>
      <w:r w:rsidR="00D4256A" w:rsidRPr="000A38E5">
        <w:rPr>
          <w:lang w:val="ru-RU"/>
        </w:rPr>
        <w:t xml:space="preserve">, </w:t>
      </w:r>
      <w:r w:rsidR="00D4256A" w:rsidRPr="000A38E5">
        <w:rPr>
          <w:lang w:val="uk-UA"/>
        </w:rPr>
        <w:t>офіційно або фактично</w:t>
      </w:r>
      <w:r w:rsidR="00D4256A" w:rsidRPr="000A38E5">
        <w:rPr>
          <w:lang w:val="ru-RU"/>
        </w:rPr>
        <w:t xml:space="preserve">, </w:t>
      </w:r>
      <w:r w:rsidR="00D4256A" w:rsidRPr="000A38E5">
        <w:rPr>
          <w:lang w:val="uk-UA"/>
        </w:rPr>
        <w:t>що дозволяло їм здійснити такі заходи</w:t>
      </w:r>
      <w:r w:rsidR="00D4256A" w:rsidRPr="000A38E5">
        <w:rPr>
          <w:lang w:val="ru-RU"/>
        </w:rPr>
        <w:t xml:space="preserve"> (</w:t>
      </w:r>
      <w:r w:rsidR="00D4256A" w:rsidRPr="000A38E5">
        <w:rPr>
          <w:lang w:val="uk-UA"/>
        </w:rPr>
        <w:t>див. також</w:t>
      </w:r>
      <w:r w:rsidR="00D4256A" w:rsidRPr="000A38E5">
        <w:rPr>
          <w:lang w:val="ru-RU"/>
        </w:rPr>
        <w:t xml:space="preserve"> § 28 </w:t>
      </w:r>
      <w:r w:rsidR="00D4256A" w:rsidRPr="000A38E5">
        <w:rPr>
          <w:lang w:val="uk-UA"/>
        </w:rPr>
        <w:t xml:space="preserve">Керівних принципів щодо свободи мирних зібрань, </w:t>
      </w:r>
      <w:proofErr w:type="spellStart"/>
      <w:r w:rsidR="00D4256A" w:rsidRPr="000A38E5">
        <w:rPr>
          <w:lang w:val="uk-UA"/>
        </w:rPr>
        <w:t>цит</w:t>
      </w:r>
      <w:proofErr w:type="spellEnd"/>
      <w:r w:rsidR="00D4256A" w:rsidRPr="000A38E5">
        <w:rPr>
          <w:lang w:val="uk-UA"/>
        </w:rPr>
        <w:t>. у пункті</w:t>
      </w:r>
      <w:r w:rsidR="00D4256A" w:rsidRPr="000A38E5">
        <w:rPr>
          <w:lang w:val="ru-RU"/>
        </w:rPr>
        <w:t xml:space="preserve"> </w:t>
      </w:r>
      <w:fldSimple w:instr=" REF OSCE_guidelines \h  \* MERGEFORMAT ">
        <w:r w:rsidR="00D4256A" w:rsidRPr="000A38E5">
          <w:rPr>
            <w:noProof/>
            <w:lang w:val="ru-RU"/>
          </w:rPr>
          <w:t>113</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Суд вважає, що умови, які породжують цей обов’язок,</w:t>
      </w:r>
      <w:r w:rsidR="00D4256A" w:rsidRPr="000A38E5">
        <w:rPr>
          <w:lang w:val="ru-RU"/>
        </w:rPr>
        <w:t xml:space="preserve"> </w:t>
      </w:r>
      <w:r w:rsidR="00D4256A" w:rsidRPr="000A38E5">
        <w:rPr>
          <w:lang w:val="uk-UA"/>
        </w:rPr>
        <w:t>були наявні в даній справі</w:t>
      </w:r>
      <w:r w:rsidR="00D4256A" w:rsidRPr="000A38E5">
        <w:rPr>
          <w:lang w:val="ru-RU"/>
        </w:rPr>
        <w:t xml:space="preserve">, </w:t>
      </w:r>
      <w:r w:rsidR="00D4256A" w:rsidRPr="000A38E5">
        <w:rPr>
          <w:lang w:val="uk-UA"/>
        </w:rPr>
        <w:t>оскільки органи влади, без сумніву, знали про заплановану акцію протесту</w:t>
      </w:r>
      <w:r w:rsidR="00D4256A" w:rsidRPr="000A38E5">
        <w:rPr>
          <w:lang w:val="ru-RU"/>
        </w:rPr>
        <w:t xml:space="preserve"> </w:t>
      </w:r>
      <w:r w:rsidR="00D4256A" w:rsidRPr="000A38E5">
        <w:rPr>
          <w:lang w:val="uk-UA"/>
        </w:rPr>
        <w:t>задовго до відповідних подій</w:t>
      </w:r>
      <w:r w:rsidR="00D4256A" w:rsidRPr="000A38E5">
        <w:rPr>
          <w:lang w:val="ru-RU"/>
        </w:rPr>
        <w:t xml:space="preserve"> (27 </w:t>
      </w:r>
      <w:r w:rsidR="00D4256A" w:rsidRPr="000A38E5">
        <w:rPr>
          <w:lang w:val="uk-UA"/>
        </w:rPr>
        <w:t>та</w:t>
      </w:r>
      <w:r w:rsidR="00D4256A" w:rsidRPr="000A38E5">
        <w:rPr>
          <w:lang w:val="ru-RU"/>
        </w:rPr>
        <w:t xml:space="preserve"> 31 </w:t>
      </w:r>
      <w:r w:rsidR="00D4256A" w:rsidRPr="000A38E5">
        <w:rPr>
          <w:lang w:val="uk-UA"/>
        </w:rPr>
        <w:t>травня</w:t>
      </w:r>
      <w:r w:rsidR="00D4256A" w:rsidRPr="000A38E5">
        <w:rPr>
          <w:lang w:val="ru-RU"/>
        </w:rPr>
        <w:t xml:space="preserve"> 2010), </w:t>
      </w:r>
      <w:r w:rsidR="00D4256A" w:rsidRPr="000A38E5">
        <w:rPr>
          <w:lang w:val="uk-UA"/>
        </w:rPr>
        <w:t>що в дійсності дало їм достатньо часу для підготовки</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Law_Enforcement_Plan \h  \* MERGEFORMAT ">
        <w:r w:rsidR="00D4256A" w:rsidRPr="000A38E5">
          <w:rPr>
            <w:noProof/>
            <w:lang w:val="ru-RU"/>
          </w:rPr>
          <w:t>24</w:t>
        </w:r>
      </w:fldSimple>
      <w:r w:rsidR="00D4256A" w:rsidRPr="000A38E5">
        <w:rPr>
          <w:lang w:val="ru-RU"/>
        </w:rPr>
        <w:t xml:space="preserve"> </w:t>
      </w:r>
      <w:r w:rsidR="00D4256A" w:rsidRPr="000A38E5">
        <w:rPr>
          <w:lang w:val="uk-UA"/>
        </w:rPr>
        <w:t>та</w:t>
      </w:r>
      <w:r w:rsidR="00D4256A" w:rsidRPr="000A38E5">
        <w:rPr>
          <w:lang w:val="ru-RU"/>
        </w:rPr>
        <w:t xml:space="preserve"> </w:t>
      </w:r>
      <w:fldSimple w:instr=" REF police_report_law_enforcement_measures \h  \* MERGEFORMAT ">
        <w:r w:rsidR="00D4256A" w:rsidRPr="000A38E5">
          <w:rPr>
            <w:noProof/>
            <w:lang w:val="ru-RU"/>
          </w:rPr>
          <w:t>76</w:t>
        </w:r>
      </w:fldSimple>
      <w:r w:rsidR="00D4256A" w:rsidRPr="000A38E5">
        <w:rPr>
          <w:lang w:val="ru-RU"/>
        </w:rPr>
        <w:t xml:space="preserve"> </w:t>
      </w:r>
      <w:r w:rsidR="00D4256A" w:rsidRPr="000A38E5">
        <w:rPr>
          <w:lang w:val="uk-UA"/>
        </w:rPr>
        <w:t>вище</w:t>
      </w:r>
      <w:r w:rsidR="00D4256A" w:rsidRPr="000A38E5">
        <w:rPr>
          <w:lang w:val="ru-RU"/>
        </w:rPr>
        <w:t>).</w:t>
      </w:r>
    </w:p>
    <w:p w:rsidR="00D4256A" w:rsidRPr="000A38E5" w:rsidRDefault="004E7608" w:rsidP="00D4256A">
      <w:pPr>
        <w:pStyle w:val="ECHRPara"/>
        <w:rPr>
          <w:lang w:val="ru-RU"/>
        </w:rPr>
      </w:pPr>
      <w:r w:rsidRPr="000A38E5">
        <w:lastRenderedPageBreak/>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272</w:t>
      </w:r>
      <w:r w:rsidRPr="000A38E5">
        <w:fldChar w:fldCharType="end"/>
      </w:r>
      <w:r w:rsidR="00D4256A" w:rsidRPr="000A38E5">
        <w:rPr>
          <w:lang w:val="ru-RU"/>
        </w:rPr>
        <w:t>.</w:t>
      </w:r>
      <w:r w:rsidR="00D4256A" w:rsidRPr="00E93710">
        <w:rPr>
          <w:lang w:val="ru-RU"/>
        </w:rPr>
        <w:t xml:space="preserve"> </w:t>
      </w:r>
      <w:r w:rsidR="00D4256A" w:rsidRPr="000A38E5">
        <w:rPr>
          <w:lang w:val="uk-UA"/>
        </w:rPr>
        <w:t>Заявники не стверджували, що міліція прямо займалася будь-якою діяльністю,</w:t>
      </w:r>
      <w:r w:rsidR="00D4256A" w:rsidRPr="000A38E5">
        <w:rPr>
          <w:lang w:val="ru-RU"/>
        </w:rPr>
        <w:t xml:space="preserve"> </w:t>
      </w:r>
      <w:r w:rsidR="00D4256A" w:rsidRPr="000A38E5">
        <w:rPr>
          <w:lang w:val="uk-UA"/>
        </w:rPr>
        <w:t>спрямованою на перешкоджання їх акції протесту</w:t>
      </w:r>
      <w:r w:rsidR="00D4256A" w:rsidRPr="000A38E5">
        <w:rPr>
          <w:lang w:val="ru-RU"/>
        </w:rPr>
        <w:t xml:space="preserve"> 27 </w:t>
      </w:r>
      <w:r w:rsidR="00D4256A" w:rsidRPr="000A38E5">
        <w:rPr>
          <w:lang w:val="uk-UA"/>
        </w:rPr>
        <w:t>травня та 31 травня</w:t>
      </w:r>
      <w:r w:rsidR="00D4256A" w:rsidRPr="000A38E5">
        <w:rPr>
          <w:lang w:val="ru-RU"/>
        </w:rPr>
        <w:t xml:space="preserve"> 2010 року. </w:t>
      </w:r>
      <w:r w:rsidR="00D4256A" w:rsidRPr="000A38E5">
        <w:rPr>
          <w:lang w:val="uk-UA"/>
        </w:rPr>
        <w:t>Аналогічно, не заперечувалося, що охоронці були відправлені на місце подій</w:t>
      </w:r>
      <w:r w:rsidR="00D4256A" w:rsidRPr="000A38E5">
        <w:rPr>
          <w:lang w:val="ru-RU"/>
        </w:rPr>
        <w:t xml:space="preserve"> </w:t>
      </w:r>
      <w:r w:rsidR="00D4256A" w:rsidRPr="000A38E5">
        <w:rPr>
          <w:lang w:val="uk-UA"/>
        </w:rPr>
        <w:t>і що вони застосовували певну силу для виштовхування заявників за межі місця будівництва</w:t>
      </w:r>
      <w:r w:rsidR="00D4256A" w:rsidRPr="000A38E5">
        <w:rPr>
          <w:lang w:val="ru-RU"/>
        </w:rPr>
        <w:t xml:space="preserve"> (</w:t>
      </w:r>
      <w:r w:rsidR="00D4256A" w:rsidRPr="000A38E5">
        <w:rPr>
          <w:lang w:val="uk-UA"/>
        </w:rPr>
        <w:t>див. пункти</w:t>
      </w:r>
      <w:r w:rsidR="00D4256A" w:rsidRPr="000A38E5">
        <w:rPr>
          <w:lang w:val="ru-RU"/>
        </w:rPr>
        <w:t xml:space="preserve"> </w:t>
      </w:r>
      <w:fldSimple w:instr=" REF Govt_pushback \h  \* MERGEFORMAT ">
        <w:r w:rsidR="00D4256A" w:rsidRPr="000A38E5">
          <w:rPr>
            <w:noProof/>
            <w:lang w:val="ru-RU"/>
          </w:rPr>
          <w:t>28</w:t>
        </w:r>
      </w:fldSimple>
      <w:r w:rsidR="00D4256A" w:rsidRPr="000A38E5">
        <w:rPr>
          <w:lang w:val="ru-RU"/>
        </w:rPr>
        <w:t xml:space="preserve"> </w:t>
      </w:r>
      <w:r w:rsidR="00D4256A" w:rsidRPr="000A38E5">
        <w:rPr>
          <w:lang w:val="uk-UA"/>
        </w:rPr>
        <w:t>та</w:t>
      </w:r>
      <w:r w:rsidR="00D4256A" w:rsidRPr="000A38E5">
        <w:rPr>
          <w:lang w:val="ru-RU"/>
        </w:rPr>
        <w:t xml:space="preserve"> </w:t>
      </w:r>
      <w:fldSimple w:instr=" REF Govt_push_away \h  \* MERGEFORMAT ">
        <w:r w:rsidR="00D4256A" w:rsidRPr="000A38E5">
          <w:rPr>
            <w:noProof/>
            <w:lang w:val="ru-RU"/>
          </w:rPr>
          <w:t>208</w:t>
        </w:r>
      </w:fldSimple>
      <w:r w:rsidR="00D4256A" w:rsidRPr="000A38E5">
        <w:rPr>
          <w:lang w:val="ru-RU"/>
        </w:rPr>
        <w:t xml:space="preserve"> </w:t>
      </w:r>
      <w:r w:rsidR="00D4256A" w:rsidRPr="000A38E5">
        <w:rPr>
          <w:lang w:val="uk-UA"/>
        </w:rPr>
        <w:t>вище</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273</w:t>
      </w:r>
      <w:r w:rsidRPr="000A38E5">
        <w:fldChar w:fldCharType="end"/>
      </w:r>
      <w:r w:rsidR="00D4256A" w:rsidRPr="000A38E5">
        <w:rPr>
          <w:lang w:val="ru-RU"/>
        </w:rPr>
        <w:t>.</w:t>
      </w:r>
      <w:r w:rsidR="00D4256A" w:rsidRPr="00E93710">
        <w:rPr>
          <w:lang w:val="ru-RU"/>
        </w:rPr>
        <w:t xml:space="preserve"> </w:t>
      </w:r>
      <w:r w:rsidR="00D4256A" w:rsidRPr="000A38E5">
        <w:rPr>
          <w:lang w:val="uk-UA"/>
        </w:rPr>
        <w:t>На той час основа для повноважень</w:t>
      </w:r>
      <w:r w:rsidR="00D4256A" w:rsidRPr="000A38E5">
        <w:rPr>
          <w:lang w:val="ru-RU"/>
        </w:rPr>
        <w:t xml:space="preserve"> </w:t>
      </w:r>
      <w:r w:rsidR="00D4256A" w:rsidRPr="000A38E5">
        <w:rPr>
          <w:lang w:val="uk-UA"/>
        </w:rPr>
        <w:t>охоронців щодо застосування примусу проти протестуючих</w:t>
      </w:r>
      <w:r w:rsidR="00D4256A" w:rsidRPr="000A38E5">
        <w:rPr>
          <w:lang w:val="ru-RU"/>
        </w:rPr>
        <w:t xml:space="preserve"> </w:t>
      </w:r>
      <w:r w:rsidR="00D4256A" w:rsidRPr="000A38E5">
        <w:rPr>
          <w:lang w:val="uk-UA"/>
        </w:rPr>
        <w:t>полягала у Ліцензійних Умовах, які тісно пов’язували ці повноваження</w:t>
      </w:r>
      <w:r w:rsidR="00D4256A" w:rsidRPr="000A38E5">
        <w:rPr>
          <w:lang w:val="ru-RU"/>
        </w:rPr>
        <w:t xml:space="preserve"> </w:t>
      </w:r>
      <w:r w:rsidR="00D4256A" w:rsidRPr="000A38E5">
        <w:rPr>
          <w:lang w:val="uk-UA"/>
        </w:rPr>
        <w:t>з повноваженнями охоронців, які захищають «об’єкт охорони»</w:t>
      </w:r>
      <w:r w:rsidR="00D4256A" w:rsidRPr="000A38E5">
        <w:rPr>
          <w:lang w:val="ru-RU"/>
        </w:rPr>
        <w:t xml:space="preserve">. </w:t>
      </w:r>
      <w:r w:rsidR="00D4256A" w:rsidRPr="000A38E5">
        <w:rPr>
          <w:lang w:val="uk-UA"/>
        </w:rPr>
        <w:t>Формулювання правил</w:t>
      </w:r>
      <w:r w:rsidR="00D4256A" w:rsidRPr="000A38E5">
        <w:rPr>
          <w:lang w:val="ru-RU"/>
        </w:rPr>
        <w:t xml:space="preserve"> 1.4.1 </w:t>
      </w:r>
      <w:r w:rsidR="00D4256A" w:rsidRPr="000A38E5">
        <w:rPr>
          <w:lang w:val="uk-UA"/>
        </w:rPr>
        <w:t>та</w:t>
      </w:r>
      <w:r w:rsidR="00D4256A" w:rsidRPr="000A38E5">
        <w:rPr>
          <w:lang w:val="ru-RU"/>
        </w:rPr>
        <w:t xml:space="preserve"> 1.4.2 </w:t>
      </w:r>
      <w:r w:rsidR="00D4256A" w:rsidRPr="000A38E5">
        <w:rPr>
          <w:lang w:val="uk-UA"/>
        </w:rPr>
        <w:t>Ліцензійних умов вказує, що «об’єктом охорони»</w:t>
      </w:r>
      <w:r w:rsidR="00D4256A" w:rsidRPr="000A38E5">
        <w:rPr>
          <w:lang w:val="ru-RU"/>
        </w:rPr>
        <w:t xml:space="preserve"> </w:t>
      </w:r>
      <w:r w:rsidR="00D4256A" w:rsidRPr="000A38E5">
        <w:rPr>
          <w:lang w:val="uk-UA"/>
        </w:rPr>
        <w:t>вважався в першу чергу добре визначене фізичне приміщення</w:t>
      </w:r>
      <w:r w:rsidR="00D4256A" w:rsidRPr="000A38E5">
        <w:rPr>
          <w:lang w:val="ru-RU"/>
        </w:rPr>
        <w:t xml:space="preserve">, </w:t>
      </w:r>
      <w:r w:rsidR="00D4256A" w:rsidRPr="000A38E5">
        <w:rPr>
          <w:lang w:val="uk-UA"/>
        </w:rPr>
        <w:t>доступ до якого повинні були контролювати охоронці</w:t>
      </w:r>
      <w:r w:rsidR="00D4256A" w:rsidRPr="000A38E5">
        <w:rPr>
          <w:lang w:val="ru-RU"/>
        </w:rPr>
        <w:t xml:space="preserve">, </w:t>
      </w:r>
      <w:r w:rsidR="00D4256A" w:rsidRPr="000A38E5">
        <w:rPr>
          <w:lang w:val="uk-UA"/>
        </w:rPr>
        <w:t>і це вважалося їх головною роллю</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Licensing_Rules_guards_powers \h  \* MERGEFORMAT ">
        <w:r w:rsidR="00D4256A" w:rsidRPr="000A38E5">
          <w:rPr>
            <w:noProof/>
            <w:lang w:val="ru-RU"/>
          </w:rPr>
          <w:t>107</w:t>
        </w:r>
      </w:fldSimple>
      <w:r w:rsidR="00D4256A" w:rsidRPr="000A38E5">
        <w:rPr>
          <w:lang w:val="ru-RU"/>
        </w:rPr>
        <w:t xml:space="preserve"> </w:t>
      </w:r>
      <w:r w:rsidR="00D4256A" w:rsidRPr="000A38E5">
        <w:rPr>
          <w:lang w:val="uk-UA"/>
        </w:rPr>
        <w:t>вище</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274</w:t>
      </w:r>
      <w:r w:rsidRPr="000A38E5">
        <w:fldChar w:fldCharType="end"/>
      </w:r>
      <w:r w:rsidR="00D4256A" w:rsidRPr="000A38E5">
        <w:rPr>
          <w:lang w:val="ru-RU"/>
        </w:rPr>
        <w:t>.</w:t>
      </w:r>
      <w:r w:rsidR="00D4256A" w:rsidRPr="00E93710">
        <w:rPr>
          <w:lang w:val="ru-RU"/>
        </w:rPr>
        <w:t xml:space="preserve"> </w:t>
      </w:r>
      <w:r w:rsidR="00D4256A" w:rsidRPr="000A38E5">
        <w:rPr>
          <w:lang w:val="uk-UA"/>
        </w:rPr>
        <w:t>На відміну від цього, видається, що національні правила не дозволяли приватним охоронцям</w:t>
      </w:r>
      <w:r w:rsidR="00D4256A" w:rsidRPr="000A38E5">
        <w:rPr>
          <w:lang w:val="ru-RU"/>
        </w:rPr>
        <w:t xml:space="preserve"> </w:t>
      </w:r>
      <w:r w:rsidR="00D4256A" w:rsidRPr="000A38E5">
        <w:rPr>
          <w:lang w:val="uk-UA"/>
        </w:rPr>
        <w:t>брати на себе функції контролю натовпу або розгону у громадських місцях</w:t>
      </w:r>
      <w:r w:rsidR="00D4256A" w:rsidRPr="000A38E5">
        <w:rPr>
          <w:lang w:val="ru-RU"/>
        </w:rPr>
        <w:t xml:space="preserve">. </w:t>
      </w:r>
      <w:r w:rsidR="00D4256A" w:rsidRPr="000A38E5">
        <w:rPr>
          <w:lang w:val="uk-UA"/>
        </w:rPr>
        <w:t>Крім того, видається, що навіть у визначених місцях, які підлягають охороні,</w:t>
      </w:r>
      <w:r w:rsidR="00D4256A" w:rsidRPr="000A38E5">
        <w:rPr>
          <w:lang w:val="ru-RU"/>
        </w:rPr>
        <w:t xml:space="preserve"> </w:t>
      </w:r>
      <w:r w:rsidR="00D4256A" w:rsidRPr="000A38E5">
        <w:rPr>
          <w:lang w:val="uk-UA"/>
        </w:rPr>
        <w:t>повноваження охоронців стосовно примусу, у принципі, обмежуються</w:t>
      </w:r>
      <w:r w:rsidR="00D4256A" w:rsidRPr="000A38E5">
        <w:rPr>
          <w:lang w:val="ru-RU"/>
        </w:rPr>
        <w:t xml:space="preserve"> </w:t>
      </w:r>
      <w:r w:rsidR="00D4256A" w:rsidRPr="000A38E5">
        <w:rPr>
          <w:lang w:val="uk-UA"/>
        </w:rPr>
        <w:t xml:space="preserve">запобіганню доступу сторонніх осіб до цих ділянок </w:t>
      </w:r>
      <w:r w:rsidR="00D4256A" w:rsidRPr="000A38E5">
        <w:rPr>
          <w:lang w:val="ru-RU"/>
        </w:rPr>
        <w:t>(</w:t>
      </w:r>
      <w:r w:rsidR="00D4256A" w:rsidRPr="000A38E5">
        <w:rPr>
          <w:lang w:val="uk-UA"/>
        </w:rPr>
        <w:t>див. наведені вище положення Ліцензійних умов</w:t>
      </w:r>
      <w:r w:rsidR="00D4256A" w:rsidRPr="000A38E5">
        <w:rPr>
          <w:lang w:val="ru-RU"/>
        </w:rPr>
        <w:t xml:space="preserve">) </w:t>
      </w:r>
      <w:r w:rsidR="00D4256A" w:rsidRPr="000A38E5">
        <w:rPr>
          <w:lang w:val="uk-UA"/>
        </w:rPr>
        <w:t>і будь-який примус за межами цього повинен використовуватися тільки у виняткових обставинах</w:t>
      </w:r>
      <w:r w:rsidR="00D4256A" w:rsidRPr="000A38E5">
        <w:rPr>
          <w:lang w:val="ru-RU"/>
        </w:rPr>
        <w:t xml:space="preserve">, </w:t>
      </w:r>
      <w:r w:rsidR="00D4256A" w:rsidRPr="000A38E5">
        <w:rPr>
          <w:lang w:val="uk-UA"/>
        </w:rPr>
        <w:t>коли цього вимагає невідкладність</w:t>
      </w:r>
      <w:r w:rsidR="00D4256A" w:rsidRPr="000A38E5">
        <w:rPr>
          <w:lang w:val="ru-RU"/>
        </w:rPr>
        <w:t xml:space="preserve"> (</w:t>
      </w:r>
      <w:r w:rsidR="00D4256A" w:rsidRPr="000A38E5">
        <w:rPr>
          <w:lang w:val="uk-UA"/>
        </w:rPr>
        <w:t>див. правило</w:t>
      </w:r>
      <w:r w:rsidR="00D4256A" w:rsidRPr="000A38E5">
        <w:rPr>
          <w:lang w:val="ru-RU"/>
        </w:rPr>
        <w:t xml:space="preserve"> 1.4.3 </w:t>
      </w:r>
      <w:r w:rsidR="00D4256A" w:rsidRPr="000A38E5">
        <w:rPr>
          <w:lang w:val="uk-UA"/>
        </w:rPr>
        <w:t>Ліцензійних умов</w:t>
      </w:r>
      <w:r w:rsidR="00D4256A" w:rsidRPr="000A38E5">
        <w:rPr>
          <w:lang w:val="ru-RU"/>
        </w:rPr>
        <w:t xml:space="preserve">). </w:t>
      </w:r>
      <w:r w:rsidR="00D4256A" w:rsidRPr="000A38E5">
        <w:rPr>
          <w:lang w:val="uk-UA"/>
        </w:rPr>
        <w:t>Це має на увазі вимогу,</w:t>
      </w:r>
      <w:r w:rsidR="00D4256A" w:rsidRPr="000A38E5">
        <w:rPr>
          <w:lang w:val="ru-RU"/>
        </w:rPr>
        <w:t xml:space="preserve"> </w:t>
      </w:r>
      <w:r w:rsidR="00D4256A" w:rsidRPr="000A38E5">
        <w:rPr>
          <w:lang w:val="uk-UA"/>
        </w:rPr>
        <w:t>щоб у будь-яких ситуаціях, окрім екстрених,</w:t>
      </w:r>
      <w:r w:rsidR="00D4256A" w:rsidRPr="000A38E5">
        <w:rPr>
          <w:lang w:val="ru-RU"/>
        </w:rPr>
        <w:t xml:space="preserve"> </w:t>
      </w:r>
      <w:r w:rsidR="00D4256A" w:rsidRPr="000A38E5">
        <w:rPr>
          <w:lang w:val="uk-UA"/>
        </w:rPr>
        <w:t>охоронці користувалися допомогою міліції</w:t>
      </w:r>
      <w:r w:rsidR="00D4256A" w:rsidRPr="000A38E5">
        <w:rPr>
          <w:lang w:val="ru-RU"/>
        </w:rPr>
        <w:t xml:space="preserve"> (</w:t>
      </w:r>
      <w:r w:rsidR="00D4256A" w:rsidRPr="000A38E5">
        <w:rPr>
          <w:lang w:val="uk-UA"/>
        </w:rPr>
        <w:t>див. також у цьому відношенні розділ</w:t>
      </w:r>
      <w:r w:rsidR="00D4256A" w:rsidRPr="000A38E5">
        <w:rPr>
          <w:lang w:val="ru-RU"/>
        </w:rPr>
        <w:t xml:space="preserve"> 2.2.3 </w:t>
      </w:r>
      <w:r w:rsidR="00D4256A" w:rsidRPr="000A38E5">
        <w:rPr>
          <w:lang w:val="uk-UA"/>
        </w:rPr>
        <w:t>Ліцензійних умов у пункті</w:t>
      </w:r>
      <w:r w:rsidR="00D4256A" w:rsidRPr="000A38E5">
        <w:rPr>
          <w:lang w:val="ru-RU"/>
        </w:rPr>
        <w:t xml:space="preserve"> </w:t>
      </w:r>
      <w:fldSimple w:instr=" REF Licensing_Rules_police_notification \h  \* MERGEFORMAT ">
        <w:r w:rsidR="00D4256A" w:rsidRPr="000A38E5">
          <w:rPr>
            <w:noProof/>
            <w:lang w:val="ru-RU"/>
          </w:rPr>
          <w:t>109</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що, як видається, відповідає підтриманим на міжнародному рівні передовим практикам</w:t>
      </w:r>
      <w:r w:rsidR="00D4256A" w:rsidRPr="000A38E5">
        <w:rPr>
          <w:lang w:val="ru-RU"/>
        </w:rPr>
        <w:t xml:space="preserve"> </w:t>
      </w:r>
      <w:r w:rsidR="00D4256A" w:rsidRPr="000A38E5">
        <w:rPr>
          <w:lang w:val="uk-UA"/>
        </w:rPr>
        <w:t>індустрії приватної охорони</w:t>
      </w:r>
      <w:r w:rsidR="00D4256A" w:rsidRPr="000A38E5">
        <w:rPr>
          <w:lang w:val="ru-RU"/>
        </w:rPr>
        <w:t xml:space="preserve"> (</w:t>
      </w:r>
      <w:r w:rsidR="00D4256A" w:rsidRPr="000A38E5">
        <w:rPr>
          <w:lang w:val="uk-UA"/>
        </w:rPr>
        <w:t>див.</w:t>
      </w:r>
      <w:r w:rsidR="00D4256A" w:rsidRPr="000A38E5">
        <w:rPr>
          <w:lang w:val="ru-RU"/>
        </w:rPr>
        <w:t xml:space="preserve"> § 85 </w:t>
      </w:r>
      <w:r w:rsidR="00D4256A" w:rsidRPr="000A38E5">
        <w:rPr>
          <w:lang w:val="uk-UA"/>
        </w:rPr>
        <w:t>доповіді Спеціального Доповідача у пункті</w:t>
      </w:r>
      <w:r w:rsidR="00D4256A" w:rsidRPr="000A38E5">
        <w:rPr>
          <w:lang w:val="ru-RU"/>
        </w:rPr>
        <w:t xml:space="preserve"> </w:t>
      </w:r>
      <w:fldSimple w:instr=" REF SR_report \h  \* MERGEFORMAT ">
        <w:r w:rsidR="00D4256A" w:rsidRPr="000A38E5">
          <w:rPr>
            <w:noProof/>
            <w:lang w:val="ru-RU"/>
          </w:rPr>
          <w:t>115</w:t>
        </w:r>
      </w:fldSimple>
      <w:r w:rsidR="00D4256A" w:rsidRPr="000A38E5">
        <w:rPr>
          <w:lang w:val="ru-RU"/>
        </w:rPr>
        <w:t xml:space="preserve"> </w:t>
      </w:r>
      <w:r w:rsidR="00D4256A" w:rsidRPr="000A38E5">
        <w:rPr>
          <w:lang w:val="uk-UA"/>
        </w:rPr>
        <w:t>вище</w:t>
      </w:r>
      <w:r w:rsidR="00D4256A" w:rsidRPr="000A38E5">
        <w:rPr>
          <w:lang w:val="ru-RU"/>
        </w:rPr>
        <w:t>).</w:t>
      </w:r>
    </w:p>
    <w:p w:rsidR="00D4256A" w:rsidRPr="000A38E5" w:rsidRDefault="004E7608" w:rsidP="00D4256A">
      <w:pPr>
        <w:pStyle w:val="ECHRPara"/>
        <w:rPr>
          <w:lang w:val="uk-UA"/>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275</w:t>
      </w:r>
      <w:r w:rsidRPr="000A38E5">
        <w:fldChar w:fldCharType="end"/>
      </w:r>
      <w:r w:rsidR="00D4256A" w:rsidRPr="000A38E5">
        <w:rPr>
          <w:lang w:val="ru-RU"/>
        </w:rPr>
        <w:t>.</w:t>
      </w:r>
      <w:r w:rsidR="00D4256A" w:rsidRPr="00E93710">
        <w:rPr>
          <w:lang w:val="ru-RU"/>
        </w:rPr>
        <w:t xml:space="preserve"> </w:t>
      </w:r>
      <w:r w:rsidR="00D4256A" w:rsidRPr="000A38E5">
        <w:rPr>
          <w:lang w:val="uk-UA"/>
        </w:rPr>
        <w:t>Реальність 27 травня та 31 травня</w:t>
      </w:r>
      <w:r w:rsidR="00D4256A" w:rsidRPr="000A38E5">
        <w:rPr>
          <w:lang w:val="ru-RU"/>
        </w:rPr>
        <w:t xml:space="preserve"> 2010 </w:t>
      </w:r>
      <w:r w:rsidR="00D4256A" w:rsidRPr="000A38E5">
        <w:rPr>
          <w:lang w:val="uk-UA"/>
        </w:rPr>
        <w:t>року, однак, була іншою</w:t>
      </w:r>
      <w:r w:rsidR="00D4256A" w:rsidRPr="000A38E5">
        <w:rPr>
          <w:lang w:val="ru-RU"/>
        </w:rPr>
        <w:t xml:space="preserve">. </w:t>
      </w:r>
      <w:r w:rsidR="00D4256A" w:rsidRPr="000A38E5">
        <w:rPr>
          <w:lang w:val="uk-UA"/>
        </w:rPr>
        <w:t>Суд зазначає, що ніщо у висновках національних органів влади</w:t>
      </w:r>
      <w:r w:rsidR="00D4256A" w:rsidRPr="000A38E5">
        <w:rPr>
          <w:lang w:val="ru-RU"/>
        </w:rPr>
        <w:t xml:space="preserve"> </w:t>
      </w:r>
      <w:r w:rsidR="00D4256A" w:rsidRPr="000A38E5">
        <w:rPr>
          <w:lang w:val="uk-UA"/>
        </w:rPr>
        <w:t xml:space="preserve">не суперечить </w:t>
      </w:r>
      <w:proofErr w:type="spellStart"/>
      <w:r w:rsidR="00D4256A" w:rsidRPr="000A38E5">
        <w:rPr>
          <w:lang w:val="uk-UA"/>
        </w:rPr>
        <w:t>відеодоказам</w:t>
      </w:r>
      <w:proofErr w:type="spellEnd"/>
      <w:r w:rsidR="00D4256A" w:rsidRPr="000A38E5">
        <w:rPr>
          <w:lang w:val="uk-UA"/>
        </w:rPr>
        <w:t>, наданим заявниками</w:t>
      </w:r>
      <w:r w:rsidR="00D4256A" w:rsidRPr="000A38E5">
        <w:rPr>
          <w:lang w:val="ru-RU"/>
        </w:rPr>
        <w:t xml:space="preserve">. </w:t>
      </w:r>
      <w:r w:rsidR="00D4256A" w:rsidRPr="000A38E5">
        <w:rPr>
          <w:lang w:val="uk-UA"/>
        </w:rPr>
        <w:t>Ці докази демонструють, що хоча місце було означено стрічкою</w:t>
      </w:r>
      <w:r w:rsidR="00D4256A" w:rsidRPr="000A38E5">
        <w:rPr>
          <w:lang w:val="ru-RU"/>
        </w:rPr>
        <w:t xml:space="preserve">, </w:t>
      </w:r>
      <w:r w:rsidR="00D4256A" w:rsidRPr="000A38E5">
        <w:rPr>
          <w:lang w:val="uk-UA"/>
        </w:rPr>
        <w:t>протестуючі фактично були присутні там до його означення стрічкою</w:t>
      </w:r>
      <w:r w:rsidR="00D4256A" w:rsidRPr="000A38E5">
        <w:rPr>
          <w:lang w:val="ru-RU"/>
        </w:rPr>
        <w:t xml:space="preserve"> </w:t>
      </w:r>
      <w:r w:rsidR="00D4256A" w:rsidRPr="000A38E5">
        <w:rPr>
          <w:lang w:val="uk-UA"/>
        </w:rPr>
        <w:t>та продовжували бути присутніми обидва дні</w:t>
      </w:r>
      <w:r w:rsidR="00D4256A" w:rsidRPr="000A38E5">
        <w:rPr>
          <w:lang w:val="ru-RU"/>
        </w:rPr>
        <w:t xml:space="preserve">. </w:t>
      </w:r>
      <w:r w:rsidR="00D4256A" w:rsidRPr="000A38E5">
        <w:rPr>
          <w:lang w:val="uk-UA"/>
        </w:rPr>
        <w:t>Доступ до зони не був фізично заблокований у будь-якій значній мірі</w:t>
      </w:r>
      <w:r w:rsidR="00D4256A" w:rsidRPr="000A38E5">
        <w:rPr>
          <w:lang w:val="ru-RU"/>
        </w:rPr>
        <w:t xml:space="preserve">, </w:t>
      </w:r>
      <w:r w:rsidR="00D4256A" w:rsidRPr="000A38E5">
        <w:rPr>
          <w:lang w:val="uk-UA"/>
        </w:rPr>
        <w:t>окрім попереджуючої стрічки</w:t>
      </w:r>
      <w:r w:rsidR="00D4256A" w:rsidRPr="000A38E5">
        <w:rPr>
          <w:lang w:val="ru-RU"/>
        </w:rPr>
        <w:t xml:space="preserve"> (</w:t>
      </w:r>
      <w:r w:rsidR="00D4256A" w:rsidRPr="000A38E5">
        <w:rPr>
          <w:lang w:val="uk-UA"/>
        </w:rPr>
        <w:t>див. пункти</w:t>
      </w:r>
      <w:r w:rsidR="00D4256A" w:rsidRPr="000A38E5">
        <w:rPr>
          <w:lang w:val="ru-RU"/>
        </w:rPr>
        <w:t xml:space="preserve"> </w:t>
      </w:r>
      <w:fldSimple w:instr=" REF video_27_May \h  \* MERGEFORMAT ">
        <w:r w:rsidR="00D4256A" w:rsidRPr="000A38E5">
          <w:rPr>
            <w:noProof/>
            <w:lang w:val="ru-RU"/>
          </w:rPr>
          <w:t>38</w:t>
        </w:r>
      </w:fldSimple>
      <w:r w:rsidR="00D4256A" w:rsidRPr="000A38E5">
        <w:rPr>
          <w:lang w:val="ru-RU"/>
        </w:rPr>
        <w:t xml:space="preserve"> </w:t>
      </w:r>
      <w:r w:rsidR="00D4256A" w:rsidRPr="000A38E5">
        <w:rPr>
          <w:lang w:val="uk-UA"/>
        </w:rPr>
        <w:t>та</w:t>
      </w:r>
      <w:r w:rsidR="00D4256A" w:rsidRPr="000A38E5">
        <w:rPr>
          <w:lang w:val="ru-RU"/>
        </w:rPr>
        <w:t xml:space="preserve"> </w:t>
      </w:r>
      <w:fldSimple w:instr=" REF video_31_May \h  \* MERGEFORMAT ">
        <w:r w:rsidR="00D4256A" w:rsidRPr="000A38E5">
          <w:rPr>
            <w:noProof/>
            <w:lang w:val="ru-RU"/>
          </w:rPr>
          <w:t>40</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Це підтверджується висновком національних органів про те</w:t>
      </w:r>
      <w:r w:rsidR="00D4256A" w:rsidRPr="000A38E5">
        <w:rPr>
          <w:lang w:val="ru-RU"/>
        </w:rPr>
        <w:t xml:space="preserve">, </w:t>
      </w:r>
      <w:r w:rsidR="00D4256A" w:rsidRPr="000A38E5">
        <w:rPr>
          <w:lang w:val="uk-UA"/>
        </w:rPr>
        <w:t xml:space="preserve">що коли зона була позначена стрічкою 28 травня 2010 року, в ній вже були протестуючі (див. пункт </w:t>
      </w:r>
      <w:fldSimple w:instr=" REF investigation_decision_28_may_events \h  \* MERGEFORMAT ">
        <w:r w:rsidR="00D4256A" w:rsidRPr="000A38E5">
          <w:rPr>
            <w:noProof/>
            <w:lang w:val="ru-RU"/>
          </w:rPr>
          <w:t>83</w:t>
        </w:r>
      </w:fldSimple>
      <w:r w:rsidR="00D4256A" w:rsidRPr="000A38E5">
        <w:rPr>
          <w:lang w:val="uk-UA"/>
        </w:rPr>
        <w:t xml:space="preserve"> вище). За таких обставин участь охоронців полягала у спробах видалити протестуючих зі шляху будівельної техніки та з місця будівництва, а не у перешкоджанні їх доступу до нього. Це становище супроводжувалося тиском і повинно було створити більше напруги, ніж проста заборона доступу до встановленої зони охорони. Інакше кажучи, охоронці діяли на основі системи, сфокусованої на операціях в обмеженому та визначеному периметрі з обмеженим доступом, яка є незастосовною, або принаймні непрактичною, в контексті подій, з якими вони стикнулися.</w:t>
      </w:r>
    </w:p>
    <w:p w:rsidR="00D4256A" w:rsidRPr="000A38E5" w:rsidRDefault="004E7608" w:rsidP="00D4256A">
      <w:pPr>
        <w:pStyle w:val="ECHRPara"/>
        <w:rPr>
          <w:lang w:val="ru-RU"/>
        </w:rPr>
      </w:pPr>
      <w:r w:rsidRPr="000A38E5">
        <w:fldChar w:fldCharType="begin"/>
      </w:r>
      <w:r w:rsidR="00D4256A" w:rsidRPr="000A38E5">
        <w:rPr>
          <w:lang w:val="uk-UA"/>
        </w:rPr>
        <w:instrText xml:space="preserve"> </w:instrText>
      </w:r>
      <w:r w:rsidR="00D4256A" w:rsidRPr="000A38E5">
        <w:instrText>SEQ</w:instrText>
      </w:r>
      <w:r w:rsidR="00D4256A" w:rsidRPr="000A38E5">
        <w:rPr>
          <w:lang w:val="uk-UA"/>
        </w:rPr>
        <w:instrText xml:space="preserve"> </w:instrText>
      </w:r>
      <w:r w:rsidR="00D4256A" w:rsidRPr="000A38E5">
        <w:instrText>level</w:instrText>
      </w:r>
      <w:r w:rsidR="00D4256A" w:rsidRPr="000A38E5">
        <w:rPr>
          <w:lang w:val="uk-UA"/>
        </w:rPr>
        <w:instrText>0 \*</w:instrText>
      </w:r>
      <w:r w:rsidR="00D4256A" w:rsidRPr="000A38E5">
        <w:instrText>arabic</w:instrText>
      </w:r>
      <w:r w:rsidR="00D4256A" w:rsidRPr="000A38E5">
        <w:rPr>
          <w:lang w:val="uk-UA"/>
        </w:rPr>
        <w:instrText xml:space="preserve"> </w:instrText>
      </w:r>
      <w:r w:rsidRPr="000A38E5">
        <w:fldChar w:fldCharType="separate"/>
      </w:r>
      <w:r w:rsidR="00D4256A" w:rsidRPr="000A38E5">
        <w:rPr>
          <w:noProof/>
          <w:lang w:val="uk-UA"/>
        </w:rPr>
        <w:t>276</w:t>
      </w:r>
      <w:r w:rsidRPr="000A38E5">
        <w:fldChar w:fldCharType="end"/>
      </w:r>
      <w:r w:rsidR="00D4256A" w:rsidRPr="000A38E5">
        <w:rPr>
          <w:lang w:val="uk-UA"/>
        </w:rPr>
        <w:t>.</w:t>
      </w:r>
      <w:r w:rsidR="00D4256A" w:rsidRPr="00E93710">
        <w:rPr>
          <w:lang w:val="uk-UA"/>
        </w:rPr>
        <w:t xml:space="preserve"> </w:t>
      </w:r>
      <w:r w:rsidR="00D4256A" w:rsidRPr="000A38E5">
        <w:rPr>
          <w:lang w:val="uk-UA"/>
        </w:rPr>
        <w:t>Дійсно, видається, що національна система також дозволяла охоронцям здійснювати в більш широкому значенні будь-які доречні дії для запобігання правопорушенням або завданню шкоди в екстрених випадках (див. розділ 1.4.3 Ліцензійних умов). Однак в даній справі ніщо не вказує, що існували екстрені обставини</w:t>
      </w:r>
      <w:r w:rsidR="00D4256A" w:rsidRPr="000A38E5">
        <w:rPr>
          <w:lang w:val="ru-RU"/>
        </w:rPr>
        <w:t xml:space="preserve">. </w:t>
      </w:r>
      <w:r w:rsidR="00D4256A" w:rsidRPr="000A38E5">
        <w:rPr>
          <w:lang w:val="uk-UA"/>
        </w:rPr>
        <w:t>В дійсності, ситуація не була неочікуваною,</w:t>
      </w:r>
      <w:r w:rsidR="00D4256A" w:rsidRPr="000A38E5">
        <w:rPr>
          <w:lang w:val="ru-RU"/>
        </w:rPr>
        <w:t xml:space="preserve"> </w:t>
      </w:r>
      <w:r w:rsidR="00D4256A" w:rsidRPr="000A38E5">
        <w:rPr>
          <w:lang w:val="uk-UA"/>
        </w:rPr>
        <w:t>оскільки на час відповідних подій</w:t>
      </w:r>
      <w:r w:rsidR="00D4256A" w:rsidRPr="000A38E5">
        <w:rPr>
          <w:lang w:val="ru-RU"/>
        </w:rPr>
        <w:t xml:space="preserve"> (27 </w:t>
      </w:r>
      <w:r w:rsidR="00D4256A" w:rsidRPr="000A38E5">
        <w:rPr>
          <w:lang w:val="uk-UA"/>
        </w:rPr>
        <w:t>та 31 травня</w:t>
      </w:r>
      <w:r w:rsidR="00D4256A" w:rsidRPr="000A38E5">
        <w:rPr>
          <w:lang w:val="ru-RU"/>
        </w:rPr>
        <w:t xml:space="preserve"> 2010</w:t>
      </w:r>
      <w:r w:rsidR="00D4256A" w:rsidRPr="000A38E5">
        <w:rPr>
          <w:lang w:val="uk-UA"/>
        </w:rPr>
        <w:t xml:space="preserve"> року</w:t>
      </w:r>
      <w:r w:rsidR="00D4256A" w:rsidRPr="000A38E5">
        <w:rPr>
          <w:lang w:val="ru-RU"/>
        </w:rPr>
        <w:t xml:space="preserve">) </w:t>
      </w:r>
      <w:r w:rsidR="00D4256A" w:rsidRPr="000A38E5">
        <w:rPr>
          <w:lang w:val="uk-UA"/>
        </w:rPr>
        <w:t>протистояння тривало сім та одинадцять днів, відповідно,</w:t>
      </w:r>
      <w:r w:rsidR="00D4256A" w:rsidRPr="000A38E5">
        <w:rPr>
          <w:lang w:val="ru-RU"/>
        </w:rPr>
        <w:t xml:space="preserve"> </w:t>
      </w:r>
      <w:r w:rsidR="00D4256A" w:rsidRPr="000A38E5">
        <w:rPr>
          <w:lang w:val="uk-UA"/>
        </w:rPr>
        <w:t>і головний підрядник, який призначав охоронців</w:t>
      </w:r>
      <w:r w:rsidR="00D4256A" w:rsidRPr="000A38E5">
        <w:rPr>
          <w:lang w:val="ru-RU"/>
        </w:rPr>
        <w:t xml:space="preserve">, </w:t>
      </w:r>
      <w:r w:rsidR="00D4256A" w:rsidRPr="000A38E5">
        <w:rPr>
          <w:lang w:val="uk-UA"/>
        </w:rPr>
        <w:t>проінформував міліцію про можливість сутичок</w:t>
      </w:r>
      <w:r w:rsidR="00D4256A" w:rsidRPr="000A38E5">
        <w:rPr>
          <w:lang w:val="ru-RU"/>
        </w:rPr>
        <w:t xml:space="preserve"> </w:t>
      </w:r>
      <w:r w:rsidR="00D4256A" w:rsidRPr="000A38E5">
        <w:rPr>
          <w:lang w:val="uk-UA"/>
        </w:rPr>
        <w:t>з протестуючими заздалегідь</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contractors_letters_to_police \h  \* MERGEFORMAT ">
        <w:r w:rsidR="00D4256A" w:rsidRPr="000A38E5">
          <w:rPr>
            <w:noProof/>
            <w:lang w:val="ru-RU"/>
          </w:rPr>
          <w:t>26</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Міліція була присутня на місці у повному обсязі</w:t>
      </w:r>
      <w:r w:rsidR="00D4256A" w:rsidRPr="000A38E5">
        <w:rPr>
          <w:lang w:val="ru-RU"/>
        </w:rPr>
        <w:t xml:space="preserve">, </w:t>
      </w:r>
      <w:r w:rsidR="00D4256A" w:rsidRPr="000A38E5">
        <w:rPr>
          <w:lang w:val="uk-UA"/>
        </w:rPr>
        <w:t>як це передбачав план охорони громадського порядку</w:t>
      </w:r>
      <w:r w:rsidR="00D4256A" w:rsidRPr="000A38E5">
        <w:rPr>
          <w:lang w:val="ru-RU"/>
        </w:rPr>
        <w:t xml:space="preserve">, </w:t>
      </w:r>
      <w:r w:rsidR="00D4256A" w:rsidRPr="000A38E5">
        <w:rPr>
          <w:lang w:val="uk-UA"/>
        </w:rPr>
        <w:t>у дні сутичок, коли заявники були травмовані</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police_report_law_enforcement_measures \h  \* MERGEFORMAT ">
        <w:r w:rsidR="00D4256A" w:rsidRPr="000A38E5">
          <w:rPr>
            <w:noProof/>
            <w:lang w:val="ru-RU"/>
          </w:rPr>
          <w:t>76</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але не втрачалась помітним чином та не змогла запобігти або ефективно контролювати сутички</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277</w:t>
      </w:r>
      <w:r w:rsidRPr="000A38E5">
        <w:fldChar w:fldCharType="end"/>
      </w:r>
      <w:r w:rsidR="00D4256A" w:rsidRPr="000A38E5">
        <w:rPr>
          <w:lang w:val="ru-RU"/>
        </w:rPr>
        <w:t>.</w:t>
      </w:r>
      <w:r w:rsidR="00D4256A" w:rsidRPr="00E93710">
        <w:rPr>
          <w:lang w:val="ru-RU"/>
        </w:rPr>
        <w:t xml:space="preserve"> </w:t>
      </w:r>
      <w:r w:rsidR="00D4256A" w:rsidRPr="000A38E5">
        <w:rPr>
          <w:lang w:val="uk-UA"/>
        </w:rPr>
        <w:t>Хоча за деяких обставин певні обмеження з боку міліції</w:t>
      </w:r>
      <w:r w:rsidR="00D4256A" w:rsidRPr="000A38E5">
        <w:rPr>
          <w:lang w:val="ru-RU"/>
        </w:rPr>
        <w:t xml:space="preserve"> </w:t>
      </w:r>
      <w:r w:rsidR="00D4256A" w:rsidRPr="000A38E5">
        <w:rPr>
          <w:lang w:val="uk-UA"/>
        </w:rPr>
        <w:t>при забезпеченні порядку на зібраннях</w:t>
      </w:r>
      <w:r w:rsidR="00D4256A" w:rsidRPr="000A38E5">
        <w:rPr>
          <w:lang w:val="ru-RU"/>
        </w:rPr>
        <w:t xml:space="preserve"> </w:t>
      </w:r>
      <w:r w:rsidR="00D4256A" w:rsidRPr="000A38E5">
        <w:rPr>
          <w:lang w:val="uk-UA"/>
        </w:rPr>
        <w:t>можуть бути доречними та навіть необхідними через вимоги Конвенції</w:t>
      </w:r>
      <w:r w:rsidR="00D4256A" w:rsidRPr="000A38E5">
        <w:rPr>
          <w:lang w:val="ru-RU"/>
        </w:rPr>
        <w:t xml:space="preserve">, </w:t>
      </w:r>
      <w:r w:rsidR="00D4256A" w:rsidRPr="000A38E5">
        <w:rPr>
          <w:lang w:val="uk-UA"/>
        </w:rPr>
        <w:t>для політики невтручання у цій справі</w:t>
      </w:r>
      <w:r w:rsidR="00D4256A" w:rsidRPr="000A38E5">
        <w:rPr>
          <w:lang w:val="ru-RU"/>
        </w:rPr>
        <w:t xml:space="preserve"> </w:t>
      </w:r>
      <w:r w:rsidR="00D4256A" w:rsidRPr="000A38E5">
        <w:rPr>
          <w:lang w:val="uk-UA"/>
        </w:rPr>
        <w:t>не були надані</w:t>
      </w:r>
      <w:r w:rsidR="00D4256A" w:rsidRPr="000A38E5">
        <w:rPr>
          <w:lang w:val="ru-RU"/>
        </w:rPr>
        <w:t xml:space="preserve"> </w:t>
      </w:r>
      <w:r w:rsidR="00D4256A" w:rsidRPr="000A38E5">
        <w:rPr>
          <w:lang w:val="uk-UA"/>
        </w:rPr>
        <w:t xml:space="preserve">ніякі конкретні існуючі підстави </w:t>
      </w:r>
      <w:r w:rsidR="00D4256A" w:rsidRPr="000A38E5">
        <w:rPr>
          <w:lang w:val="ru-RU"/>
        </w:rPr>
        <w:t>(</w:t>
      </w:r>
      <w:r w:rsidR="00D4256A" w:rsidRPr="000A38E5">
        <w:rPr>
          <w:lang w:val="uk-UA"/>
        </w:rPr>
        <w:t>порівняйте, з необхідними змінами, з</w:t>
      </w:r>
      <w:r w:rsidR="00D4256A" w:rsidRPr="000A38E5">
        <w:rPr>
          <w:lang w:val="ru-RU"/>
        </w:rPr>
        <w:t xml:space="preserve"> </w:t>
      </w:r>
      <w:r w:rsidR="00D4256A" w:rsidRPr="000A38E5">
        <w:rPr>
          <w:i/>
        </w:rPr>
        <w:t>P</w:t>
      </w:r>
      <w:r w:rsidR="00D4256A" w:rsidRPr="000A38E5">
        <w:rPr>
          <w:i/>
          <w:lang w:val="ru-RU"/>
        </w:rPr>
        <w:t>.</w:t>
      </w:r>
      <w:r w:rsidR="00D4256A" w:rsidRPr="000A38E5">
        <w:rPr>
          <w:i/>
        </w:rPr>
        <w:t>F</w:t>
      </w:r>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E</w:t>
      </w:r>
      <w:r w:rsidR="00D4256A" w:rsidRPr="000A38E5">
        <w:rPr>
          <w:i/>
          <w:lang w:val="ru-RU"/>
        </w:rPr>
        <w:t>.</w:t>
      </w:r>
      <w:r w:rsidR="00D4256A" w:rsidRPr="000A38E5">
        <w:rPr>
          <w:i/>
        </w:rPr>
        <w:t>F</w:t>
      </w:r>
      <w:r w:rsidR="00D4256A" w:rsidRPr="000A38E5">
        <w:rPr>
          <w:i/>
          <w:lang w:val="ru-RU"/>
        </w:rPr>
        <w:t xml:space="preserve">. </w:t>
      </w:r>
      <w:r w:rsidR="00D4256A" w:rsidRPr="000A38E5">
        <w:rPr>
          <w:i/>
        </w:rPr>
        <w:t>v</w:t>
      </w:r>
      <w:r w:rsidR="00D4256A" w:rsidRPr="000A38E5">
        <w:rPr>
          <w:i/>
          <w:lang w:val="ru-RU"/>
        </w:rPr>
        <w:t xml:space="preserve">. </w:t>
      </w:r>
      <w:r w:rsidR="00D4256A" w:rsidRPr="000A38E5">
        <w:rPr>
          <w:i/>
        </w:rPr>
        <w:t>the</w:t>
      </w:r>
      <w:r w:rsidR="00D4256A" w:rsidRPr="000A38E5">
        <w:rPr>
          <w:i/>
          <w:lang w:val="ru-RU"/>
        </w:rPr>
        <w:t xml:space="preserve"> </w:t>
      </w:r>
      <w:r w:rsidR="00D4256A" w:rsidRPr="000A38E5">
        <w:rPr>
          <w:i/>
        </w:rPr>
        <w:t>United</w:t>
      </w:r>
      <w:r w:rsidR="00D4256A" w:rsidRPr="000A38E5">
        <w:rPr>
          <w:i/>
          <w:lang w:val="ru-RU"/>
        </w:rPr>
        <w:t xml:space="preserve"> </w:t>
      </w:r>
      <w:r w:rsidR="00D4256A" w:rsidRPr="000A38E5">
        <w:rPr>
          <w:i/>
        </w:rPr>
        <w:t>Kingdom</w:t>
      </w:r>
      <w:r w:rsidR="00D4256A" w:rsidRPr="000A38E5">
        <w:rPr>
          <w:lang w:val="ru-RU"/>
        </w:rPr>
        <w:t xml:space="preserve"> (</w:t>
      </w:r>
      <w:proofErr w:type="spellStart"/>
      <w:r w:rsidR="00D4256A" w:rsidRPr="000A38E5">
        <w:t>dec</w:t>
      </w:r>
      <w:proofErr w:type="spellEnd"/>
      <w:r w:rsidR="00D4256A" w:rsidRPr="000A38E5">
        <w:rPr>
          <w:lang w:val="ru-RU"/>
        </w:rPr>
        <w:t xml:space="preserve">.), </w:t>
      </w:r>
      <w:r w:rsidR="00D4256A" w:rsidRPr="000A38E5">
        <w:rPr>
          <w:lang w:val="uk-UA"/>
        </w:rPr>
        <w:t>№</w:t>
      </w:r>
      <w:r w:rsidR="00D4256A" w:rsidRPr="000A38E5">
        <w:t> </w:t>
      </w:r>
      <w:r w:rsidR="00D4256A" w:rsidRPr="000A38E5">
        <w:rPr>
          <w:lang w:val="ru-RU"/>
        </w:rPr>
        <w:t>28326/09, §§</w:t>
      </w:r>
      <w:r w:rsidR="00D4256A" w:rsidRPr="000A38E5">
        <w:t> </w:t>
      </w:r>
      <w:r w:rsidR="00D4256A" w:rsidRPr="000A38E5">
        <w:rPr>
          <w:lang w:val="ru-RU"/>
        </w:rPr>
        <w:t>40</w:t>
      </w:r>
      <w:r w:rsidR="00D4256A" w:rsidRPr="000A38E5">
        <w:rPr>
          <w:lang w:val="ru-RU"/>
        </w:rPr>
        <w:noBreakHyphen/>
        <w:t xml:space="preserve">47, 23 </w:t>
      </w:r>
      <w:r w:rsidR="00D4256A" w:rsidRPr="000A38E5">
        <w:rPr>
          <w:lang w:val="uk-UA"/>
        </w:rPr>
        <w:t>листопада</w:t>
      </w:r>
      <w:r w:rsidR="00D4256A" w:rsidRPr="000A38E5">
        <w:rPr>
          <w:lang w:val="ru-RU"/>
        </w:rPr>
        <w:t xml:space="preserve"> 2010, </w:t>
      </w:r>
      <w:r w:rsidR="00D4256A" w:rsidRPr="000A38E5">
        <w:rPr>
          <w:lang w:val="uk-UA"/>
        </w:rPr>
        <w:t>та</w:t>
      </w:r>
      <w:r w:rsidR="00D4256A" w:rsidRPr="000A38E5">
        <w:rPr>
          <w:lang w:val="ru-RU"/>
        </w:rPr>
        <w:t xml:space="preserve"> </w:t>
      </w:r>
      <w:proofErr w:type="spellStart"/>
      <w:r w:rsidR="00D4256A" w:rsidRPr="000A38E5">
        <w:rPr>
          <w:i/>
        </w:rPr>
        <w:t>Kir</w:t>
      </w:r>
      <w:r w:rsidR="00D4256A" w:rsidRPr="000A38E5">
        <w:rPr>
          <w:i/>
          <w:lang w:val="ru-RU"/>
        </w:rPr>
        <w:t>á</w:t>
      </w:r>
      <w:r w:rsidR="00D4256A" w:rsidRPr="000A38E5">
        <w:rPr>
          <w:i/>
        </w:rPr>
        <w:t>ly</w:t>
      </w:r>
      <w:proofErr w:type="spellEnd"/>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D</w:t>
      </w:r>
      <w:proofErr w:type="spellStart"/>
      <w:r w:rsidR="00D4256A" w:rsidRPr="000A38E5">
        <w:rPr>
          <w:i/>
          <w:lang w:val="ru-RU"/>
        </w:rPr>
        <w:t>ö</w:t>
      </w:r>
      <w:proofErr w:type="spellEnd"/>
      <w:r w:rsidR="00D4256A" w:rsidRPr="000A38E5">
        <w:rPr>
          <w:i/>
        </w:rPr>
        <w:t>m</w:t>
      </w:r>
      <w:proofErr w:type="spellStart"/>
      <w:r w:rsidR="00D4256A" w:rsidRPr="000A38E5">
        <w:rPr>
          <w:i/>
          <w:lang w:val="ru-RU"/>
        </w:rPr>
        <w:t>ö</w:t>
      </w:r>
      <w:proofErr w:type="spellEnd"/>
      <w:r w:rsidR="00D4256A" w:rsidRPr="000A38E5">
        <w:rPr>
          <w:i/>
        </w:rPr>
        <w:t>t</w:t>
      </w:r>
      <w:proofErr w:type="spellStart"/>
      <w:r w:rsidR="00D4256A" w:rsidRPr="000A38E5">
        <w:rPr>
          <w:i/>
          <w:lang w:val="ru-RU"/>
        </w:rPr>
        <w:t>ö</w:t>
      </w:r>
      <w:proofErr w:type="spellEnd"/>
      <w:r w:rsidR="00D4256A" w:rsidRPr="000A38E5">
        <w:rPr>
          <w:i/>
        </w:rPr>
        <w:t>r</w:t>
      </w:r>
      <w:r w:rsidR="00D4256A" w:rsidRPr="000A38E5">
        <w:rPr>
          <w:i/>
          <w:lang w:val="ru-RU"/>
        </w:rPr>
        <w:t xml:space="preserve"> </w:t>
      </w:r>
      <w:r w:rsidR="00D4256A" w:rsidRPr="000A38E5">
        <w:rPr>
          <w:i/>
        </w:rPr>
        <w:t>v</w:t>
      </w:r>
      <w:r w:rsidR="00D4256A" w:rsidRPr="000A38E5">
        <w:rPr>
          <w:i/>
          <w:lang w:val="ru-RU"/>
        </w:rPr>
        <w:t>.</w:t>
      </w:r>
      <w:r w:rsidR="00D4256A" w:rsidRPr="000A38E5">
        <w:rPr>
          <w:i/>
        </w:rPr>
        <w:t> Hungary</w:t>
      </w:r>
      <w:r w:rsidR="00D4256A" w:rsidRPr="000A38E5">
        <w:rPr>
          <w:lang w:val="ru-RU"/>
        </w:rPr>
        <w:t xml:space="preserve">, </w:t>
      </w:r>
      <w:r w:rsidR="00D4256A" w:rsidRPr="000A38E5">
        <w:rPr>
          <w:lang w:val="uk-UA"/>
        </w:rPr>
        <w:t>№</w:t>
      </w:r>
      <w:r w:rsidR="00D4256A" w:rsidRPr="000A38E5">
        <w:t> </w:t>
      </w:r>
      <w:r w:rsidR="00D4256A" w:rsidRPr="000A38E5">
        <w:rPr>
          <w:lang w:val="ru-RU"/>
        </w:rPr>
        <w:t xml:space="preserve">10851/13, §§ 63-69, 17 </w:t>
      </w:r>
      <w:r w:rsidR="00D4256A" w:rsidRPr="000A38E5">
        <w:rPr>
          <w:lang w:val="uk-UA"/>
        </w:rPr>
        <w:t>січня</w:t>
      </w:r>
      <w:r w:rsidR="00D4256A" w:rsidRPr="000A38E5">
        <w:rPr>
          <w:lang w:val="ru-RU"/>
        </w:rPr>
        <w:t xml:space="preserve"> 2017). </w:t>
      </w:r>
      <w:r w:rsidR="00D4256A" w:rsidRPr="000A38E5">
        <w:rPr>
          <w:lang w:val="uk-UA"/>
        </w:rPr>
        <w:t>Окрім того, як продемонстровано вище</w:t>
      </w:r>
      <w:r w:rsidR="00D4256A" w:rsidRPr="000A38E5">
        <w:rPr>
          <w:lang w:val="ru-RU"/>
        </w:rPr>
        <w:t xml:space="preserve">, </w:t>
      </w:r>
      <w:r w:rsidR="00D4256A" w:rsidRPr="000A38E5">
        <w:rPr>
          <w:lang w:val="uk-UA"/>
        </w:rPr>
        <w:t>ця політика змусила охоронців розбиратися з протестуючими</w:t>
      </w:r>
      <w:r w:rsidR="00D4256A" w:rsidRPr="000A38E5">
        <w:rPr>
          <w:lang w:val="ru-RU"/>
        </w:rPr>
        <w:t xml:space="preserve"> </w:t>
      </w:r>
      <w:r w:rsidR="00D4256A" w:rsidRPr="000A38E5">
        <w:rPr>
          <w:lang w:val="uk-UA"/>
        </w:rPr>
        <w:t xml:space="preserve">за </w:t>
      </w:r>
      <w:r w:rsidR="00D4256A" w:rsidRPr="000A38E5">
        <w:rPr>
          <w:lang w:val="uk-UA"/>
        </w:rPr>
        <w:lastRenderedPageBreak/>
        <w:t>обставин, які повинні були привести к значному тиску</w:t>
      </w:r>
      <w:r w:rsidR="00D4256A" w:rsidRPr="000A38E5">
        <w:rPr>
          <w:lang w:val="ru-RU"/>
        </w:rPr>
        <w:t xml:space="preserve"> </w:t>
      </w:r>
      <w:r w:rsidR="00D4256A" w:rsidRPr="000A38E5">
        <w:rPr>
          <w:lang w:val="uk-UA"/>
        </w:rPr>
        <w:t>та за відсутності чітких юридичних повноважень</w:t>
      </w:r>
      <w:r w:rsidR="00D4256A" w:rsidRPr="000A38E5">
        <w:rPr>
          <w:lang w:val="ru-RU"/>
        </w:rPr>
        <w:t xml:space="preserve"> </w:t>
      </w:r>
      <w:r w:rsidR="00D4256A" w:rsidRPr="000A38E5">
        <w:rPr>
          <w:lang w:val="uk-UA"/>
        </w:rPr>
        <w:t>щодо самостійного застосування примусу</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278</w:t>
      </w:r>
      <w:r w:rsidRPr="000A38E5">
        <w:fldChar w:fldCharType="end"/>
      </w:r>
      <w:r w:rsidR="00D4256A" w:rsidRPr="000A38E5">
        <w:rPr>
          <w:lang w:val="ru-RU"/>
        </w:rPr>
        <w:t>.</w:t>
      </w:r>
      <w:r w:rsidR="00D4256A" w:rsidRPr="00E93710">
        <w:rPr>
          <w:lang w:val="ru-RU"/>
        </w:rPr>
        <w:t xml:space="preserve"> </w:t>
      </w:r>
      <w:r w:rsidR="00D4256A" w:rsidRPr="000A38E5">
        <w:rPr>
          <w:lang w:val="uk-UA"/>
        </w:rPr>
        <w:t>Крім того, ця відсутність чіткості в статусі та повноваженнях охоронців</w:t>
      </w:r>
      <w:r w:rsidR="00D4256A" w:rsidRPr="000A38E5">
        <w:rPr>
          <w:lang w:val="ru-RU"/>
        </w:rPr>
        <w:t xml:space="preserve"> </w:t>
      </w:r>
      <w:r w:rsidR="00D4256A" w:rsidRPr="000A38E5">
        <w:rPr>
          <w:lang w:val="uk-UA"/>
        </w:rPr>
        <w:t>посилюється твердженням</w:t>
      </w:r>
      <w:r w:rsidR="00D4256A" w:rsidRPr="000A38E5">
        <w:rPr>
          <w:lang w:val="ru-RU"/>
        </w:rPr>
        <w:t xml:space="preserve"> </w:t>
      </w:r>
      <w:r w:rsidR="00D4256A" w:rsidRPr="000A38E5">
        <w:rPr>
          <w:lang w:val="uk-UA"/>
        </w:rPr>
        <w:t>про те, що на місці будівництва були присутні деякі невідомі особи</w:t>
      </w:r>
      <w:r w:rsidR="00D4256A" w:rsidRPr="000A38E5">
        <w:rPr>
          <w:lang w:val="ru-RU"/>
        </w:rPr>
        <w:t xml:space="preserve"> </w:t>
      </w:r>
      <w:r w:rsidR="00D4256A" w:rsidRPr="000A38E5">
        <w:rPr>
          <w:lang w:val="uk-UA"/>
        </w:rPr>
        <w:t>з відзнаками охоронців, які не були охоронцями</w:t>
      </w:r>
      <w:r w:rsidR="00D4256A" w:rsidRPr="000A38E5">
        <w:rPr>
          <w:lang w:val="ru-RU"/>
        </w:rPr>
        <w:t xml:space="preserve"> </w:t>
      </w:r>
      <w:r w:rsidR="00D4256A" w:rsidRPr="000A38E5">
        <w:rPr>
          <w:lang w:val="uk-UA"/>
        </w:rPr>
        <w:t>та не мали належних повноважень</w:t>
      </w:r>
      <w:r w:rsidR="00D4256A" w:rsidRPr="000A38E5">
        <w:rPr>
          <w:lang w:val="ru-RU"/>
        </w:rPr>
        <w:t xml:space="preserve">. </w:t>
      </w:r>
      <w:r w:rsidR="00D4256A" w:rsidRPr="000A38E5">
        <w:rPr>
          <w:lang w:val="uk-UA"/>
        </w:rPr>
        <w:t xml:space="preserve">Це твердження було зроблено директором </w:t>
      </w:r>
      <w:proofErr w:type="spellStart"/>
      <w:r w:rsidR="00D4256A" w:rsidRPr="000A38E5">
        <w:rPr>
          <w:lang w:val="uk-UA"/>
        </w:rPr>
        <w:t>МО</w:t>
      </w:r>
      <w:proofErr w:type="spellEnd"/>
      <w:r w:rsidR="00D4256A" w:rsidRPr="000A38E5">
        <w:rPr>
          <w:lang w:val="uk-UA"/>
        </w:rPr>
        <w:t xml:space="preserve"> у прокуратурі</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MG_director_strangers_on_site \h  \* MERGEFORMAT ">
        <w:r w:rsidR="00D4256A" w:rsidRPr="000A38E5">
          <w:rPr>
            <w:noProof/>
            <w:lang w:val="ru-RU"/>
          </w:rPr>
          <w:t>75</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і не було запереченим або спростованим на національному рівні</w:t>
      </w:r>
      <w:r w:rsidR="00D4256A" w:rsidRPr="000A38E5">
        <w:rPr>
          <w:lang w:val="ru-RU"/>
        </w:rPr>
        <w:t xml:space="preserve">. </w:t>
      </w:r>
      <w:r w:rsidR="00D4256A" w:rsidRPr="000A38E5">
        <w:rPr>
          <w:lang w:val="uk-UA"/>
        </w:rPr>
        <w:t>Тому Суд не може не вважати це твердження достовірним</w:t>
      </w:r>
      <w:r w:rsidR="00D4256A" w:rsidRPr="000A38E5">
        <w:rPr>
          <w:lang w:val="ru-RU"/>
        </w:rPr>
        <w:t xml:space="preserve">. </w:t>
      </w:r>
      <w:r w:rsidR="00D4256A" w:rsidRPr="000A38E5">
        <w:rPr>
          <w:lang w:val="uk-UA"/>
        </w:rPr>
        <w:t>Така ситуація не відповідала передовим практикам,</w:t>
      </w:r>
      <w:r w:rsidR="00D4256A" w:rsidRPr="000A38E5">
        <w:rPr>
          <w:lang w:val="ru-RU"/>
        </w:rPr>
        <w:t xml:space="preserve"> </w:t>
      </w:r>
      <w:r w:rsidR="00D4256A" w:rsidRPr="000A38E5">
        <w:rPr>
          <w:lang w:val="uk-UA"/>
        </w:rPr>
        <w:t>ухваленим охоронною індустрією</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international_code_of_conduct \h  \* MERGEFORMAT ">
        <w:r w:rsidR="00D4256A" w:rsidRPr="000A38E5">
          <w:rPr>
            <w:noProof/>
            <w:lang w:val="ru-RU"/>
          </w:rPr>
          <w:t>116</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і також ставила питання відповідно до національних правил</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Licensing_Rules_guarded_entity \h  \* MERGEFORMAT ">
        <w:r w:rsidR="00D4256A" w:rsidRPr="000A38E5">
          <w:rPr>
            <w:noProof/>
            <w:lang w:val="ru-RU"/>
          </w:rPr>
          <w:t>106</w:t>
        </w:r>
      </w:fldSimple>
      <w:r w:rsidR="00D4256A" w:rsidRPr="000A38E5">
        <w:rPr>
          <w:lang w:val="ru-RU"/>
        </w:rPr>
        <w:t xml:space="preserve"> </w:t>
      </w:r>
      <w:r w:rsidR="00D4256A" w:rsidRPr="000A38E5">
        <w:rPr>
          <w:lang w:val="uk-UA"/>
        </w:rPr>
        <w:t>вище</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279</w:t>
      </w:r>
      <w:r w:rsidRPr="000A38E5">
        <w:fldChar w:fldCharType="end"/>
      </w:r>
      <w:r w:rsidR="00D4256A" w:rsidRPr="000A38E5">
        <w:rPr>
          <w:lang w:val="ru-RU"/>
        </w:rPr>
        <w:t>.</w:t>
      </w:r>
      <w:r w:rsidR="00D4256A" w:rsidRPr="00E93710">
        <w:rPr>
          <w:lang w:val="ru-RU"/>
        </w:rPr>
        <w:t xml:space="preserve"> </w:t>
      </w:r>
      <w:r w:rsidR="00D4256A" w:rsidRPr="000A38E5">
        <w:rPr>
          <w:lang w:val="uk-UA"/>
        </w:rPr>
        <w:t>Однак, видається, що не було ніяких спрямованих зусиль</w:t>
      </w:r>
      <w:r w:rsidR="00D4256A" w:rsidRPr="000A38E5">
        <w:rPr>
          <w:lang w:val="ru-RU"/>
        </w:rPr>
        <w:t xml:space="preserve"> </w:t>
      </w:r>
      <w:r w:rsidR="00D4256A" w:rsidRPr="000A38E5">
        <w:rPr>
          <w:lang w:val="uk-UA"/>
        </w:rPr>
        <w:t>для розслідування цього хвилюючого аспекту ситуації</w:t>
      </w:r>
      <w:r w:rsidR="00D4256A" w:rsidRPr="000A38E5">
        <w:rPr>
          <w:lang w:val="ru-RU"/>
        </w:rPr>
        <w:t xml:space="preserve">. </w:t>
      </w:r>
      <w:r w:rsidR="00D4256A" w:rsidRPr="000A38E5">
        <w:rPr>
          <w:lang w:val="uk-UA"/>
        </w:rPr>
        <w:t>Наприклад, не було зусиль для перевірки, чи це були працівники іншої приватної охоронної компанії</w:t>
      </w:r>
      <w:r w:rsidR="00D4256A" w:rsidRPr="000A38E5">
        <w:rPr>
          <w:lang w:val="ru-RU"/>
        </w:rPr>
        <w:t xml:space="preserve">, </w:t>
      </w:r>
      <w:r w:rsidR="00D4256A" w:rsidRPr="000A38E5">
        <w:rPr>
          <w:lang w:val="uk-UA"/>
        </w:rPr>
        <w:t xml:space="preserve">ПО, які носили відзнаки </w:t>
      </w:r>
      <w:proofErr w:type="spellStart"/>
      <w:r w:rsidR="00D4256A" w:rsidRPr="000A38E5">
        <w:rPr>
          <w:lang w:val="uk-UA"/>
        </w:rPr>
        <w:t>МО</w:t>
      </w:r>
      <w:proofErr w:type="spellEnd"/>
      <w:r w:rsidR="00D4256A" w:rsidRPr="000A38E5">
        <w:rPr>
          <w:lang w:val="ru-RU"/>
        </w:rPr>
        <w:t xml:space="preserve">, </w:t>
      </w:r>
      <w:r w:rsidR="00D4256A" w:rsidRPr="000A38E5">
        <w:rPr>
          <w:lang w:val="uk-UA"/>
        </w:rPr>
        <w:t>що саме по собі було б доказом небезпечної плутанини між ними</w:t>
      </w:r>
      <w:r w:rsidR="00D4256A" w:rsidRPr="000A38E5">
        <w:rPr>
          <w:lang w:val="ru-RU"/>
        </w:rPr>
        <w:t xml:space="preserve"> </w:t>
      </w:r>
      <w:r w:rsidR="00D4256A" w:rsidRPr="000A38E5">
        <w:rPr>
          <w:lang w:val="uk-UA"/>
        </w:rPr>
        <w:t>з точки зору підпорядкування та відповідальності</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280</w:t>
      </w:r>
      <w:r w:rsidRPr="000A38E5">
        <w:fldChar w:fldCharType="end"/>
      </w:r>
      <w:r w:rsidR="00D4256A" w:rsidRPr="000A38E5">
        <w:rPr>
          <w:lang w:val="ru-RU"/>
        </w:rPr>
        <w:t>.</w:t>
      </w:r>
      <w:r w:rsidR="00D4256A" w:rsidRPr="00E93710">
        <w:rPr>
          <w:lang w:val="ru-RU"/>
        </w:rPr>
        <w:t xml:space="preserve"> </w:t>
      </w:r>
      <w:r w:rsidR="00D4256A" w:rsidRPr="000A38E5">
        <w:rPr>
          <w:lang w:val="uk-UA"/>
        </w:rPr>
        <w:t>Суд вже постановив, що нездатність забезпечити механізм для ідентифікації</w:t>
      </w:r>
      <w:r w:rsidR="00D4256A" w:rsidRPr="000A38E5">
        <w:rPr>
          <w:lang w:val="ru-RU"/>
        </w:rPr>
        <w:t xml:space="preserve"> </w:t>
      </w:r>
      <w:r w:rsidR="00D4256A" w:rsidRPr="000A38E5">
        <w:rPr>
          <w:lang w:val="uk-UA"/>
        </w:rPr>
        <w:t>охоронців, залучених до операцій,</w:t>
      </w:r>
      <w:r w:rsidR="00D4256A" w:rsidRPr="000A38E5">
        <w:rPr>
          <w:lang w:val="ru-RU"/>
        </w:rPr>
        <w:t xml:space="preserve"> </w:t>
      </w:r>
      <w:r w:rsidR="00D4256A" w:rsidRPr="000A38E5">
        <w:rPr>
          <w:lang w:val="uk-UA"/>
        </w:rPr>
        <w:t>в яких застосовується сила, може викликати питання відповідно до статті 3 Конвенції</w:t>
      </w:r>
      <w:r w:rsidR="00D4256A" w:rsidRPr="000A38E5">
        <w:rPr>
          <w:lang w:val="ru-RU"/>
        </w:rPr>
        <w:t xml:space="preserve"> (</w:t>
      </w:r>
      <w:r w:rsidR="00D4256A" w:rsidRPr="000A38E5">
        <w:rPr>
          <w:lang w:val="uk-UA"/>
        </w:rPr>
        <w:t>див.</w:t>
      </w:r>
      <w:r w:rsidR="00D4256A" w:rsidRPr="000A38E5">
        <w:rPr>
          <w:lang w:val="ru-RU"/>
        </w:rPr>
        <w:t xml:space="preserve"> </w:t>
      </w:r>
      <w:proofErr w:type="spellStart"/>
      <w:r w:rsidR="00D4256A" w:rsidRPr="000A38E5">
        <w:rPr>
          <w:i/>
          <w:iCs/>
        </w:rPr>
        <w:t>Hristovi</w:t>
      </w:r>
      <w:proofErr w:type="spellEnd"/>
      <w:r w:rsidR="00D4256A" w:rsidRPr="000A38E5">
        <w:rPr>
          <w:i/>
          <w:iCs/>
          <w:lang w:val="ru-RU"/>
        </w:rPr>
        <w:t xml:space="preserve"> </w:t>
      </w:r>
      <w:r w:rsidR="00D4256A" w:rsidRPr="000A38E5">
        <w:rPr>
          <w:i/>
          <w:iCs/>
        </w:rPr>
        <w:t>v</w:t>
      </w:r>
      <w:r w:rsidR="00D4256A" w:rsidRPr="000A38E5">
        <w:rPr>
          <w:i/>
          <w:iCs/>
          <w:lang w:val="ru-RU"/>
        </w:rPr>
        <w:t>.</w:t>
      </w:r>
      <w:r w:rsidR="00D4256A" w:rsidRPr="000A38E5">
        <w:rPr>
          <w:i/>
          <w:iCs/>
        </w:rPr>
        <w:t> Bulgaria</w:t>
      </w:r>
      <w:r w:rsidR="00D4256A" w:rsidRPr="000A38E5">
        <w:rPr>
          <w:lang w:val="ru-RU"/>
        </w:rPr>
        <w:t xml:space="preserve">, </w:t>
      </w:r>
      <w:r w:rsidR="00D4256A" w:rsidRPr="000A38E5">
        <w:rPr>
          <w:lang w:val="uk-UA"/>
        </w:rPr>
        <w:t>№</w:t>
      </w:r>
      <w:r w:rsidR="00D4256A" w:rsidRPr="000A38E5">
        <w:rPr>
          <w:lang w:val="ru-RU"/>
        </w:rPr>
        <w:t xml:space="preserve"> 42697/05, § 92, 11 </w:t>
      </w:r>
      <w:r w:rsidR="00D4256A" w:rsidRPr="000A38E5">
        <w:rPr>
          <w:lang w:val="uk-UA"/>
        </w:rPr>
        <w:t>жовтня</w:t>
      </w:r>
      <w:r w:rsidR="00D4256A" w:rsidRPr="000A38E5">
        <w:rPr>
          <w:lang w:val="ru-RU"/>
        </w:rPr>
        <w:t xml:space="preserve"> 2011</w:t>
      </w:r>
      <w:r w:rsidR="00D4256A" w:rsidRPr="000A38E5">
        <w:rPr>
          <w:lang w:val="uk-UA"/>
        </w:rPr>
        <w:t xml:space="preserve"> р.</w:t>
      </w:r>
      <w:r w:rsidR="00D4256A" w:rsidRPr="000A38E5">
        <w:rPr>
          <w:lang w:val="ru-RU"/>
        </w:rPr>
        <w:t xml:space="preserve">, </w:t>
      </w:r>
      <w:r w:rsidR="00D4256A" w:rsidRPr="000A38E5">
        <w:rPr>
          <w:snapToGrid w:val="0"/>
          <w:lang w:val="uk-UA"/>
        </w:rPr>
        <w:t>стосовно відправлення поліцейських в масках</w:t>
      </w:r>
      <w:r w:rsidR="00D4256A" w:rsidRPr="000A38E5">
        <w:rPr>
          <w:snapToGrid w:val="0"/>
          <w:lang w:val="ru-RU"/>
        </w:rPr>
        <w:t xml:space="preserve"> </w:t>
      </w:r>
      <w:r w:rsidR="00D4256A" w:rsidRPr="000A38E5">
        <w:rPr>
          <w:snapToGrid w:val="0"/>
          <w:lang w:val="uk-UA"/>
        </w:rPr>
        <w:t>без відзнак, які б дозволяли їх ідентифікувати</w:t>
      </w:r>
      <w:r w:rsidR="00D4256A" w:rsidRPr="000A38E5">
        <w:rPr>
          <w:lang w:val="ru-RU"/>
        </w:rPr>
        <w:t xml:space="preserve">). </w:t>
      </w:r>
      <w:r w:rsidR="00D4256A" w:rsidRPr="000A38E5">
        <w:rPr>
          <w:lang w:val="uk-UA"/>
        </w:rPr>
        <w:t xml:space="preserve">Нездатність органів влади розслідувати </w:t>
      </w:r>
      <w:proofErr w:type="spellStart"/>
      <w:r w:rsidR="00D4256A" w:rsidRPr="000A38E5">
        <w:rPr>
          <w:lang w:val="uk-UA"/>
        </w:rPr>
        <w:t>стверджувану</w:t>
      </w:r>
      <w:proofErr w:type="spellEnd"/>
      <w:r w:rsidR="00D4256A" w:rsidRPr="000A38E5">
        <w:rPr>
          <w:lang w:val="uk-UA"/>
        </w:rPr>
        <w:t xml:space="preserve"> присутність на місці протестів</w:t>
      </w:r>
      <w:r w:rsidR="00D4256A" w:rsidRPr="000A38E5">
        <w:rPr>
          <w:lang w:val="ru-RU"/>
        </w:rPr>
        <w:t xml:space="preserve"> </w:t>
      </w:r>
      <w:r w:rsidR="00D4256A" w:rsidRPr="000A38E5">
        <w:rPr>
          <w:lang w:val="uk-UA"/>
        </w:rPr>
        <w:t>невідомих осіб з відзнаками охоронців</w:t>
      </w:r>
      <w:r w:rsidR="00D4256A" w:rsidRPr="000A38E5">
        <w:rPr>
          <w:lang w:val="ru-RU"/>
        </w:rPr>
        <w:t xml:space="preserve"> </w:t>
      </w:r>
      <w:r w:rsidR="00D4256A" w:rsidRPr="000A38E5">
        <w:rPr>
          <w:lang w:val="uk-UA"/>
        </w:rPr>
        <w:t>без належної авторизації є одним з факторів,</w:t>
      </w:r>
      <w:r w:rsidR="00D4256A" w:rsidRPr="000A38E5">
        <w:rPr>
          <w:lang w:val="ru-RU"/>
        </w:rPr>
        <w:t xml:space="preserve"> </w:t>
      </w:r>
      <w:r w:rsidR="00D4256A" w:rsidRPr="000A38E5">
        <w:rPr>
          <w:lang w:val="uk-UA"/>
        </w:rPr>
        <w:t>які привели Суд до визнання порушення статті 3 Конвенції у даній справі</w:t>
      </w:r>
      <w:r w:rsidR="00D4256A" w:rsidRPr="000A38E5">
        <w:rPr>
          <w:lang w:val="ru-RU"/>
        </w:rPr>
        <w:t xml:space="preserve"> (</w:t>
      </w:r>
      <w:r w:rsidR="00D4256A" w:rsidRPr="000A38E5">
        <w:rPr>
          <w:lang w:val="uk-UA"/>
        </w:rPr>
        <w:t>див. пункт</w:t>
      </w:r>
      <w:r w:rsidR="00D4256A" w:rsidRPr="000A38E5">
        <w:rPr>
          <w:lang w:val="ru-RU"/>
        </w:rPr>
        <w:t xml:space="preserve"> </w:t>
      </w:r>
      <w:fldSimple w:instr=" REF no_investigation_unidentified_badges_A3 \h  \* MERGEFORMAT ">
        <w:r w:rsidR="00D4256A" w:rsidRPr="000A38E5">
          <w:rPr>
            <w:noProof/>
            <w:lang w:val="ru-RU"/>
          </w:rPr>
          <w:t>168</w:t>
        </w:r>
      </w:fldSimple>
      <w:r w:rsidR="00D4256A" w:rsidRPr="000A38E5">
        <w:rPr>
          <w:lang w:val="ru-RU"/>
        </w:rPr>
        <w:t xml:space="preserve"> </w:t>
      </w:r>
      <w:r w:rsidR="00D4256A" w:rsidRPr="000A38E5">
        <w:rPr>
          <w:lang w:val="uk-UA"/>
        </w:rPr>
        <w:t>вище</w:t>
      </w:r>
      <w:r w:rsidR="00D4256A" w:rsidRPr="000A38E5">
        <w:rPr>
          <w:lang w:val="ru-RU"/>
        </w:rPr>
        <w:t xml:space="preserve">). </w:t>
      </w:r>
      <w:r w:rsidR="00D4256A" w:rsidRPr="000A38E5">
        <w:rPr>
          <w:lang w:val="uk-UA"/>
        </w:rPr>
        <w:t>Суд вважає, що за конкретних обставин даної справи</w:t>
      </w:r>
      <w:r w:rsidR="00D4256A" w:rsidRPr="000A38E5">
        <w:rPr>
          <w:lang w:val="ru-RU"/>
        </w:rPr>
        <w:t xml:space="preserve"> </w:t>
      </w:r>
      <w:r w:rsidR="00D4256A" w:rsidRPr="000A38E5">
        <w:rPr>
          <w:lang w:val="uk-UA"/>
        </w:rPr>
        <w:t>ці недоліки також позначаються на дотриманні державою-відповідачем її обов’язків відповідно до статті 11 Конвенції</w:t>
      </w:r>
      <w:r w:rsidR="00D4256A" w:rsidRPr="000A38E5">
        <w:rPr>
          <w:lang w:val="ru-RU"/>
        </w:rPr>
        <w:t xml:space="preserve">. </w:t>
      </w:r>
      <w:r w:rsidR="00D4256A" w:rsidRPr="000A38E5">
        <w:rPr>
          <w:lang w:val="uk-UA"/>
        </w:rPr>
        <w:t>Нездатність органів влади зробити помітні кроки</w:t>
      </w:r>
      <w:r w:rsidR="00D4256A" w:rsidRPr="000A38E5">
        <w:rPr>
          <w:lang w:val="ru-RU"/>
        </w:rPr>
        <w:t xml:space="preserve"> </w:t>
      </w:r>
      <w:r w:rsidR="00D4256A" w:rsidRPr="000A38E5">
        <w:rPr>
          <w:lang w:val="uk-UA"/>
        </w:rPr>
        <w:t xml:space="preserve">для розслідування цього </w:t>
      </w:r>
      <w:proofErr w:type="spellStart"/>
      <w:r w:rsidR="00D4256A" w:rsidRPr="000A38E5">
        <w:rPr>
          <w:lang w:val="uk-UA"/>
        </w:rPr>
        <w:t>стверджуваного</w:t>
      </w:r>
      <w:proofErr w:type="spellEnd"/>
      <w:r w:rsidR="00D4256A" w:rsidRPr="000A38E5">
        <w:rPr>
          <w:lang w:val="uk-UA"/>
        </w:rPr>
        <w:t xml:space="preserve"> втручання у місці протестів</w:t>
      </w:r>
      <w:r w:rsidR="00D4256A" w:rsidRPr="000A38E5">
        <w:rPr>
          <w:lang w:val="ru-RU"/>
        </w:rPr>
        <w:t xml:space="preserve"> </w:t>
      </w:r>
      <w:r w:rsidR="00D4256A" w:rsidRPr="000A38E5">
        <w:rPr>
          <w:lang w:val="uk-UA"/>
        </w:rPr>
        <w:t>таких невідомих сторонніх осіб</w:t>
      </w:r>
      <w:r w:rsidR="00D4256A" w:rsidRPr="000A38E5">
        <w:rPr>
          <w:lang w:val="ru-RU"/>
        </w:rPr>
        <w:t xml:space="preserve"> </w:t>
      </w:r>
      <w:proofErr w:type="spellStart"/>
      <w:r w:rsidR="00D4256A" w:rsidRPr="000A38E5">
        <w:rPr>
          <w:lang w:val="ru-RU"/>
        </w:rPr>
        <w:t>утворює</w:t>
      </w:r>
      <w:proofErr w:type="spellEnd"/>
      <w:r w:rsidR="00D4256A" w:rsidRPr="000A38E5">
        <w:rPr>
          <w:lang w:val="ru-RU"/>
        </w:rPr>
        <w:t xml:space="preserve"> </w:t>
      </w:r>
      <w:r w:rsidR="00D4256A" w:rsidRPr="000A38E5">
        <w:rPr>
          <w:lang w:val="uk-UA"/>
        </w:rPr>
        <w:t>частину нездатності держави-відповідача</w:t>
      </w:r>
      <w:r w:rsidR="00D4256A" w:rsidRPr="000A38E5">
        <w:rPr>
          <w:lang w:val="ru-RU"/>
        </w:rPr>
        <w:t xml:space="preserve"> </w:t>
      </w:r>
      <w:r w:rsidR="00D4256A" w:rsidRPr="000A38E5">
        <w:rPr>
          <w:lang w:val="uk-UA"/>
        </w:rPr>
        <w:t>зробити розумні кроки для забезпечення мирного характеру протестів</w:t>
      </w:r>
      <w:r w:rsidR="00D4256A" w:rsidRPr="000A38E5">
        <w:rPr>
          <w:lang w:val="ru-RU"/>
        </w:rPr>
        <w:t xml:space="preserve"> (</w:t>
      </w:r>
      <w:r w:rsidR="00D4256A" w:rsidRPr="000A38E5">
        <w:rPr>
          <w:lang w:val="uk-UA"/>
        </w:rPr>
        <w:t>див., з необхідними змінами</w:t>
      </w:r>
      <w:r w:rsidR="00D4256A" w:rsidRPr="000A38E5">
        <w:rPr>
          <w:lang w:val="ru-RU"/>
        </w:rPr>
        <w:t>,</w:t>
      </w:r>
      <w:r w:rsidR="00D4256A" w:rsidRPr="000A38E5">
        <w:t> </w:t>
      </w:r>
      <w:proofErr w:type="spellStart"/>
      <w:r w:rsidR="00D4256A" w:rsidRPr="000A38E5">
        <w:rPr>
          <w:i/>
        </w:rPr>
        <w:t>Identoba</w:t>
      </w:r>
      <w:proofErr w:type="spellEnd"/>
      <w:r w:rsidR="00D4256A" w:rsidRPr="000A38E5">
        <w:rPr>
          <w:i/>
          <w:lang w:val="ru-RU"/>
        </w:rPr>
        <w:t xml:space="preserve"> </w:t>
      </w:r>
      <w:r w:rsidR="00D4256A" w:rsidRPr="000A38E5">
        <w:rPr>
          <w:i/>
        </w:rPr>
        <w:t>and</w:t>
      </w:r>
      <w:r w:rsidR="00D4256A" w:rsidRPr="000A38E5">
        <w:rPr>
          <w:i/>
          <w:lang w:val="ru-RU"/>
        </w:rPr>
        <w:t xml:space="preserve"> </w:t>
      </w:r>
      <w:r w:rsidR="00D4256A" w:rsidRPr="000A38E5">
        <w:rPr>
          <w:i/>
        </w:rPr>
        <w:t>Others v</w:t>
      </w:r>
      <w:r w:rsidR="00D4256A" w:rsidRPr="000A38E5">
        <w:rPr>
          <w:i/>
          <w:lang w:val="ru-RU"/>
        </w:rPr>
        <w:t>.</w:t>
      </w:r>
      <w:r w:rsidR="00D4256A" w:rsidRPr="000A38E5">
        <w:rPr>
          <w:i/>
        </w:rPr>
        <w:t> Georgia</w:t>
      </w:r>
      <w:r w:rsidR="00D4256A" w:rsidRPr="000A38E5">
        <w:rPr>
          <w:lang w:val="ru-RU"/>
        </w:rPr>
        <w:t xml:space="preserve">, </w:t>
      </w:r>
      <w:r w:rsidR="00D4256A" w:rsidRPr="000A38E5">
        <w:rPr>
          <w:snapToGrid w:val="0"/>
          <w:lang w:val="uk-UA"/>
        </w:rPr>
        <w:t>№</w:t>
      </w:r>
      <w:r w:rsidR="00D4256A" w:rsidRPr="000A38E5">
        <w:rPr>
          <w:snapToGrid w:val="0"/>
        </w:rPr>
        <w:t> </w:t>
      </w:r>
      <w:r w:rsidR="00D4256A" w:rsidRPr="000A38E5">
        <w:rPr>
          <w:lang w:val="ru-RU"/>
        </w:rPr>
        <w:t>73235/12</w:t>
      </w:r>
      <w:r w:rsidR="00D4256A" w:rsidRPr="000A38E5">
        <w:rPr>
          <w:snapToGrid w:val="0"/>
          <w:lang w:val="ru-RU"/>
        </w:rPr>
        <w:t>, §</w:t>
      </w:r>
      <w:r w:rsidR="00D4256A" w:rsidRPr="000A38E5">
        <w:rPr>
          <w:snapToGrid w:val="0"/>
        </w:rPr>
        <w:t> </w:t>
      </w:r>
      <w:r w:rsidR="00D4256A" w:rsidRPr="000A38E5">
        <w:rPr>
          <w:snapToGrid w:val="0"/>
          <w:lang w:val="ru-RU"/>
        </w:rPr>
        <w:t xml:space="preserve">98, 12 </w:t>
      </w:r>
      <w:r w:rsidR="00D4256A" w:rsidRPr="000A38E5">
        <w:rPr>
          <w:snapToGrid w:val="0"/>
          <w:lang w:val="uk-UA"/>
        </w:rPr>
        <w:t>травня</w:t>
      </w:r>
      <w:r w:rsidR="00D4256A" w:rsidRPr="000A38E5">
        <w:rPr>
          <w:snapToGrid w:val="0"/>
          <w:lang w:val="ru-RU"/>
        </w:rPr>
        <w:t xml:space="preserve"> 2015 року,</w:t>
      </w:r>
      <w:r w:rsidR="00D4256A" w:rsidRPr="000A38E5">
        <w:rPr>
          <w:lang w:val="ru-RU"/>
        </w:rPr>
        <w:t xml:space="preserve"> </w:t>
      </w:r>
      <w:r w:rsidR="00D4256A" w:rsidRPr="000A38E5">
        <w:rPr>
          <w:lang w:val="uk-UA"/>
        </w:rPr>
        <w:t>та</w:t>
      </w:r>
      <w:r w:rsidR="00D4256A" w:rsidRPr="000A38E5">
        <w:rPr>
          <w:lang w:val="ru-RU"/>
        </w:rPr>
        <w:t xml:space="preserve"> §</w:t>
      </w:r>
      <w:r w:rsidR="00D4256A" w:rsidRPr="000A38E5">
        <w:t> </w:t>
      </w:r>
      <w:r w:rsidR="00D4256A" w:rsidRPr="000A38E5">
        <w:rPr>
          <w:lang w:val="ru-RU"/>
        </w:rPr>
        <w:t xml:space="preserve">76 </w:t>
      </w:r>
      <w:r w:rsidR="00D4256A" w:rsidRPr="000A38E5">
        <w:rPr>
          <w:lang w:val="uk-UA"/>
        </w:rPr>
        <w:t>звіту Доповіді Спеціального доповідача ООН у пункті</w:t>
      </w:r>
      <w:r w:rsidR="00D4256A" w:rsidRPr="000A38E5">
        <w:t> </w:t>
      </w:r>
      <w:fldSimple w:instr=" REF SR_report \h  \* MERGEFORMAT ">
        <w:r w:rsidR="00D4256A" w:rsidRPr="000A38E5">
          <w:rPr>
            <w:noProof/>
            <w:lang w:val="ru-RU"/>
          </w:rPr>
          <w:t>115</w:t>
        </w:r>
      </w:fldSimple>
      <w:r w:rsidR="00D4256A" w:rsidRPr="000A38E5">
        <w:rPr>
          <w:lang w:val="ru-RU"/>
        </w:rPr>
        <w:t xml:space="preserve"> </w:t>
      </w:r>
      <w:r w:rsidR="00D4256A" w:rsidRPr="000A38E5">
        <w:rPr>
          <w:lang w:val="uk-UA"/>
        </w:rPr>
        <w:t>вище</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281</w:t>
      </w:r>
      <w:r w:rsidRPr="000A38E5">
        <w:fldChar w:fldCharType="end"/>
      </w:r>
      <w:r w:rsidR="00D4256A" w:rsidRPr="000A38E5">
        <w:rPr>
          <w:lang w:val="ru-RU"/>
        </w:rPr>
        <w:t>.</w:t>
      </w:r>
      <w:r w:rsidR="00D4256A" w:rsidRPr="00E93710">
        <w:rPr>
          <w:lang w:val="ru-RU"/>
        </w:rPr>
        <w:t xml:space="preserve"> </w:t>
      </w:r>
      <w:r w:rsidR="00D4256A" w:rsidRPr="000A38E5">
        <w:rPr>
          <w:lang w:val="uk-UA"/>
        </w:rPr>
        <w:t>Суд робить висновок, що через нездатність</w:t>
      </w:r>
      <w:r w:rsidR="00D4256A" w:rsidRPr="000A38E5">
        <w:rPr>
          <w:lang w:val="ru-RU"/>
        </w:rPr>
        <w:t xml:space="preserve"> (</w:t>
      </w:r>
      <w:proofErr w:type="spellStart"/>
      <w:r w:rsidR="00D4256A" w:rsidRPr="000A38E5">
        <w:t>i</w:t>
      </w:r>
      <w:proofErr w:type="spellEnd"/>
      <w:r w:rsidR="00D4256A" w:rsidRPr="000A38E5">
        <w:rPr>
          <w:lang w:val="ru-RU"/>
        </w:rPr>
        <w:t xml:space="preserve">) </w:t>
      </w:r>
      <w:r w:rsidR="00D4256A" w:rsidRPr="000A38E5">
        <w:rPr>
          <w:lang w:val="uk-UA"/>
        </w:rPr>
        <w:t>врегулювати належним чином застосування сили</w:t>
      </w:r>
      <w:r w:rsidR="00D4256A" w:rsidRPr="000A38E5">
        <w:rPr>
          <w:lang w:val="ru-RU"/>
        </w:rPr>
        <w:t xml:space="preserve"> </w:t>
      </w:r>
      <w:r w:rsidR="00D4256A" w:rsidRPr="000A38E5">
        <w:rPr>
          <w:lang w:val="uk-UA"/>
        </w:rPr>
        <w:t>охоронцями</w:t>
      </w:r>
      <w:r w:rsidR="00D4256A" w:rsidRPr="000A38E5">
        <w:rPr>
          <w:lang w:val="ru-RU"/>
        </w:rPr>
        <w:t>, (</w:t>
      </w:r>
      <w:r w:rsidR="00D4256A" w:rsidRPr="000A38E5">
        <w:t>ii</w:t>
      </w:r>
      <w:r w:rsidR="00D4256A" w:rsidRPr="000A38E5">
        <w:rPr>
          <w:lang w:val="ru-RU"/>
        </w:rPr>
        <w:t xml:space="preserve">) </w:t>
      </w:r>
      <w:r w:rsidR="00D4256A" w:rsidRPr="000A38E5">
        <w:rPr>
          <w:lang w:val="uk-UA"/>
        </w:rPr>
        <w:t>належним чином врегулювати поділення відповідальності</w:t>
      </w:r>
      <w:r w:rsidR="00D4256A" w:rsidRPr="000A38E5">
        <w:rPr>
          <w:lang w:val="ru-RU"/>
        </w:rPr>
        <w:t xml:space="preserve"> </w:t>
      </w:r>
      <w:r w:rsidR="00D4256A" w:rsidRPr="000A38E5">
        <w:rPr>
          <w:lang w:val="uk-UA"/>
        </w:rPr>
        <w:t>при підтриманні порядку між охоронцями та міліцією</w:t>
      </w:r>
      <w:r w:rsidR="00D4256A" w:rsidRPr="000A38E5">
        <w:rPr>
          <w:lang w:val="ru-RU"/>
        </w:rPr>
        <w:t xml:space="preserve">, </w:t>
      </w:r>
      <w:r w:rsidR="00D4256A" w:rsidRPr="000A38E5">
        <w:rPr>
          <w:lang w:val="uk-UA"/>
        </w:rPr>
        <w:t>що також дозволило б ідентифікувати присутніх охоронців</w:t>
      </w:r>
      <w:r w:rsidR="00D4256A" w:rsidRPr="000A38E5">
        <w:rPr>
          <w:lang w:val="ru-RU"/>
        </w:rPr>
        <w:t>, (</w:t>
      </w:r>
      <w:r w:rsidR="00D4256A" w:rsidRPr="000A38E5">
        <w:t>iii</w:t>
      </w:r>
      <w:r w:rsidR="00D4256A" w:rsidRPr="000A38E5">
        <w:rPr>
          <w:lang w:val="ru-RU"/>
        </w:rPr>
        <w:t xml:space="preserve">) </w:t>
      </w:r>
      <w:r w:rsidR="00D4256A" w:rsidRPr="000A38E5">
        <w:rPr>
          <w:lang w:val="uk-UA"/>
        </w:rPr>
        <w:t>виконати правила стосовно належної ідентифікації осіб,</w:t>
      </w:r>
      <w:r w:rsidR="00D4256A" w:rsidRPr="000A38E5">
        <w:rPr>
          <w:lang w:val="ru-RU"/>
        </w:rPr>
        <w:t xml:space="preserve"> </w:t>
      </w:r>
      <w:r w:rsidR="00D4256A" w:rsidRPr="000A38E5">
        <w:rPr>
          <w:lang w:val="uk-UA"/>
        </w:rPr>
        <w:t>уповноважених застосовувати силу</w:t>
      </w:r>
      <w:r w:rsidR="00D4256A" w:rsidRPr="000A38E5">
        <w:rPr>
          <w:lang w:val="ru-RU"/>
        </w:rPr>
        <w:t xml:space="preserve">, </w:t>
      </w:r>
      <w:r w:rsidR="00D4256A" w:rsidRPr="000A38E5">
        <w:rPr>
          <w:lang w:val="uk-UA"/>
        </w:rPr>
        <w:t>та</w:t>
      </w:r>
      <w:r w:rsidR="00D4256A" w:rsidRPr="000A38E5">
        <w:rPr>
          <w:lang w:val="ru-RU"/>
        </w:rPr>
        <w:t xml:space="preserve"> (</w:t>
      </w:r>
      <w:r w:rsidR="00D4256A" w:rsidRPr="000A38E5">
        <w:t>iv</w:t>
      </w:r>
      <w:r w:rsidR="00D4256A" w:rsidRPr="000A38E5">
        <w:rPr>
          <w:lang w:val="ru-RU"/>
        </w:rPr>
        <w:t xml:space="preserve">) </w:t>
      </w:r>
      <w:r w:rsidR="00D4256A" w:rsidRPr="000A38E5">
        <w:rPr>
          <w:lang w:val="uk-UA"/>
        </w:rPr>
        <w:t>пояснити рішення міліції про відмову здійснити</w:t>
      </w:r>
      <w:r w:rsidR="00D4256A" w:rsidRPr="000A38E5">
        <w:rPr>
          <w:lang w:val="ru-RU"/>
        </w:rPr>
        <w:t xml:space="preserve"> 27 </w:t>
      </w:r>
      <w:r w:rsidR="00D4256A" w:rsidRPr="000A38E5">
        <w:rPr>
          <w:lang w:val="uk-UA"/>
        </w:rPr>
        <w:t>та 31 травня</w:t>
      </w:r>
      <w:r w:rsidR="00D4256A" w:rsidRPr="000A38E5">
        <w:rPr>
          <w:lang w:val="ru-RU"/>
        </w:rPr>
        <w:t xml:space="preserve"> 2010 </w:t>
      </w:r>
      <w:r w:rsidR="00D4256A" w:rsidRPr="000A38E5">
        <w:rPr>
          <w:lang w:val="uk-UA"/>
        </w:rPr>
        <w:t>року будь-яке значне втручання, здатне запобігти</w:t>
      </w:r>
      <w:r w:rsidR="00D4256A" w:rsidRPr="000A38E5">
        <w:rPr>
          <w:lang w:val="ru-RU"/>
        </w:rPr>
        <w:t xml:space="preserve"> </w:t>
      </w:r>
      <w:r w:rsidR="00D4256A" w:rsidRPr="000A38E5">
        <w:rPr>
          <w:lang w:val="uk-UA"/>
        </w:rPr>
        <w:t>або ефективно контролювати сутички</w:t>
      </w:r>
      <w:r w:rsidR="00D4256A" w:rsidRPr="000A38E5">
        <w:rPr>
          <w:lang w:val="ru-RU"/>
        </w:rPr>
        <w:t xml:space="preserve">, </w:t>
      </w:r>
      <w:r w:rsidR="00D4256A" w:rsidRPr="000A38E5">
        <w:rPr>
          <w:lang w:val="uk-UA"/>
        </w:rPr>
        <w:t>держава-відповідач не виконала свої обов’язки</w:t>
      </w:r>
      <w:r w:rsidR="00D4256A" w:rsidRPr="000A38E5">
        <w:rPr>
          <w:lang w:val="ru-RU"/>
        </w:rPr>
        <w:t xml:space="preserve"> </w:t>
      </w:r>
      <w:r w:rsidR="00D4256A" w:rsidRPr="000A38E5">
        <w:rPr>
          <w:lang w:val="uk-UA"/>
        </w:rPr>
        <w:t>щодо забезпечення мирного характеру протестів у ці дні</w:t>
      </w:r>
      <w:r w:rsidR="00D4256A" w:rsidRPr="000A38E5">
        <w:rPr>
          <w:lang w:val="ru-RU"/>
        </w:rPr>
        <w:t>.</w:t>
      </w:r>
    </w:p>
    <w:p w:rsidR="00D4256A" w:rsidRPr="000A38E5" w:rsidRDefault="004E7608" w:rsidP="00D4256A">
      <w:pPr>
        <w:pStyle w:val="ECHRPara"/>
        <w:rPr>
          <w:lang w:val="ru-RU"/>
        </w:rPr>
      </w:pPr>
      <w:r w:rsidRPr="000A38E5">
        <w:fldChar w:fldCharType="begin"/>
      </w:r>
      <w:r w:rsidR="00D4256A" w:rsidRPr="000A38E5">
        <w:rPr>
          <w:lang w:val="ru-RU"/>
        </w:rPr>
        <w:instrText xml:space="preserve"> </w:instrText>
      </w:r>
      <w:r w:rsidR="00D4256A" w:rsidRPr="000A38E5">
        <w:instrText>SEQ</w:instrText>
      </w:r>
      <w:r w:rsidR="00D4256A" w:rsidRPr="000A38E5">
        <w:rPr>
          <w:lang w:val="ru-RU"/>
        </w:rPr>
        <w:instrText xml:space="preserve"> </w:instrText>
      </w:r>
      <w:r w:rsidR="00D4256A" w:rsidRPr="000A38E5">
        <w:instrText>level</w:instrText>
      </w:r>
      <w:r w:rsidR="00D4256A" w:rsidRPr="000A38E5">
        <w:rPr>
          <w:lang w:val="ru-RU"/>
        </w:rPr>
        <w:instrText>0 \*</w:instrText>
      </w:r>
      <w:r w:rsidR="00D4256A" w:rsidRPr="000A38E5">
        <w:instrText>arabic</w:instrText>
      </w:r>
      <w:r w:rsidR="00D4256A" w:rsidRPr="000A38E5">
        <w:rPr>
          <w:lang w:val="ru-RU"/>
        </w:rPr>
        <w:instrText xml:space="preserve"> </w:instrText>
      </w:r>
      <w:r w:rsidRPr="000A38E5">
        <w:fldChar w:fldCharType="separate"/>
      </w:r>
      <w:r w:rsidR="00D4256A" w:rsidRPr="000A38E5">
        <w:rPr>
          <w:noProof/>
          <w:lang w:val="ru-RU"/>
        </w:rPr>
        <w:t>282</w:t>
      </w:r>
      <w:r w:rsidRPr="000A38E5">
        <w:fldChar w:fldCharType="end"/>
      </w:r>
      <w:r w:rsidR="00D4256A" w:rsidRPr="000A38E5">
        <w:rPr>
          <w:lang w:val="ru-RU"/>
        </w:rPr>
        <w:t>.</w:t>
      </w:r>
      <w:r w:rsidR="00D4256A" w:rsidRPr="00E93710">
        <w:rPr>
          <w:lang w:val="ru-RU"/>
        </w:rPr>
        <w:t xml:space="preserve"> </w:t>
      </w:r>
      <w:r w:rsidR="00D4256A" w:rsidRPr="000A38E5">
        <w:rPr>
          <w:lang w:val="uk-UA"/>
        </w:rPr>
        <w:t>Відповідно, мало місце порушення статті 11 Конвенції</w:t>
      </w:r>
      <w:r w:rsidR="00D4256A" w:rsidRPr="000A38E5">
        <w:rPr>
          <w:lang w:val="ru-RU"/>
        </w:rPr>
        <w:t xml:space="preserve"> </w:t>
      </w:r>
      <w:r w:rsidR="00D4256A" w:rsidRPr="000A38E5">
        <w:rPr>
          <w:lang w:val="uk-UA"/>
        </w:rPr>
        <w:t>по відношенню до сьомого та дев’ятого заявників</w:t>
      </w:r>
      <w:r w:rsidR="00D4256A" w:rsidRPr="000A38E5">
        <w:rPr>
          <w:lang w:val="ru-RU"/>
        </w:rPr>
        <w:t xml:space="preserve"> </w:t>
      </w:r>
      <w:r w:rsidR="00D4256A" w:rsidRPr="000A38E5">
        <w:rPr>
          <w:lang w:val="uk-UA"/>
        </w:rPr>
        <w:t>стосовно подій 31 та 27 травня</w:t>
      </w:r>
      <w:r w:rsidR="00D4256A" w:rsidRPr="000A38E5">
        <w:rPr>
          <w:lang w:val="ru-RU"/>
        </w:rPr>
        <w:t xml:space="preserve"> 2010 </w:t>
      </w:r>
      <w:r w:rsidR="00D4256A" w:rsidRPr="000A38E5">
        <w:rPr>
          <w:lang w:val="uk-UA"/>
        </w:rPr>
        <w:t>року, відповідно</w:t>
      </w:r>
      <w:r w:rsidR="00D4256A" w:rsidRPr="000A38E5">
        <w:rPr>
          <w:lang w:val="ru-RU"/>
        </w:rPr>
        <w:t>.</w:t>
      </w:r>
    </w:p>
    <w:p w:rsidR="00D91006" w:rsidRPr="000A38E5" w:rsidRDefault="00D91006" w:rsidP="00E93710">
      <w:pPr>
        <w:pStyle w:val="ECHRPara"/>
        <w:rPr>
          <w:lang w:val="uk-UA"/>
        </w:rPr>
      </w:pPr>
    </w:p>
    <w:p w:rsidR="00D83351" w:rsidRPr="000A38E5" w:rsidRDefault="00D83351" w:rsidP="00852217">
      <w:pPr>
        <w:pStyle w:val="ECHRHeading1"/>
        <w:rPr>
          <w:lang w:val="uk-UA"/>
        </w:rPr>
      </w:pPr>
      <w:bookmarkStart w:id="85" w:name="HIT29"/>
      <w:bookmarkEnd w:id="85"/>
      <w:r w:rsidRPr="00E93710">
        <w:rPr>
          <w:lang w:val="uk-UA"/>
        </w:rPr>
        <w:t>V.</w:t>
      </w:r>
      <w:r w:rsidR="000E4935" w:rsidRPr="00E93710">
        <w:rPr>
          <w:lang w:val="uk-UA"/>
        </w:rPr>
        <w:t> СТВЕРДЖУВАНЕ</w:t>
      </w:r>
      <w:r w:rsidR="002A0DFF" w:rsidRPr="000A38E5">
        <w:rPr>
          <w:lang w:val="uk-UA"/>
        </w:rPr>
        <w:t xml:space="preserve"> ПОРУШЕННЯ СТАТТІ 13 КОНВЕНЦІЇ В ПОЄДНАННІ ЗІ СТАТТЕЮ 11 КОНВЕНЦІЇ</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283</w:t>
      </w:r>
      <w:r w:rsidRPr="00E93710">
        <w:rPr>
          <w:noProof/>
          <w:lang w:val="uk-UA"/>
        </w:rPr>
        <w:fldChar w:fldCharType="end"/>
      </w:r>
      <w:r w:rsidR="00D83351" w:rsidRPr="00E93710">
        <w:rPr>
          <w:lang w:val="uk-UA"/>
        </w:rPr>
        <w:t>.</w:t>
      </w:r>
      <w:r w:rsidR="00334477" w:rsidRPr="000A38E5">
        <w:rPr>
          <w:lang w:val="uk-UA"/>
        </w:rPr>
        <w:t xml:space="preserve"> </w:t>
      </w:r>
      <w:r w:rsidR="00E971B7" w:rsidRPr="000A38E5">
        <w:rPr>
          <w:lang w:val="uk-UA"/>
        </w:rPr>
        <w:t>Заявники стверджували, що якщо б мав місце судовий наказ про заборону їх зібрання</w:t>
      </w:r>
      <w:r w:rsidR="00D83351" w:rsidRPr="00E93710">
        <w:rPr>
          <w:lang w:val="uk-UA"/>
        </w:rPr>
        <w:t xml:space="preserve">, </w:t>
      </w:r>
      <w:r w:rsidR="00E971B7" w:rsidRPr="000A38E5">
        <w:rPr>
          <w:lang w:val="uk-UA"/>
        </w:rPr>
        <w:t>апеляція до вищого суду проти такого наказу була б ефективним засобом правового захисту</w:t>
      </w:r>
      <w:r w:rsidR="00D83351" w:rsidRPr="00E93710">
        <w:rPr>
          <w:lang w:val="uk-UA"/>
        </w:rPr>
        <w:t xml:space="preserve"> </w:t>
      </w:r>
      <w:r w:rsidR="00E971B7" w:rsidRPr="000A38E5">
        <w:rPr>
          <w:lang w:val="uk-UA"/>
        </w:rPr>
        <w:t xml:space="preserve">стосовно </w:t>
      </w:r>
      <w:proofErr w:type="spellStart"/>
      <w:r w:rsidR="00E971B7" w:rsidRPr="000A38E5">
        <w:rPr>
          <w:lang w:val="uk-UA"/>
        </w:rPr>
        <w:t>стверджуваного</w:t>
      </w:r>
      <w:proofErr w:type="spellEnd"/>
      <w:r w:rsidR="00E971B7" w:rsidRPr="000A38E5">
        <w:rPr>
          <w:lang w:val="uk-UA"/>
        </w:rPr>
        <w:t xml:space="preserve"> порушення їх права на свободу зібрання</w:t>
      </w:r>
      <w:r w:rsidR="00D83351" w:rsidRPr="00E93710">
        <w:rPr>
          <w:lang w:val="uk-UA"/>
        </w:rPr>
        <w:t xml:space="preserve">. </w:t>
      </w:r>
      <w:r w:rsidR="00E971B7" w:rsidRPr="000A38E5">
        <w:rPr>
          <w:lang w:val="uk-UA"/>
        </w:rPr>
        <w:t>Що стосується переслідувань, апеляції до вищих судів були ефективним засобом правового захисту,</w:t>
      </w:r>
      <w:r w:rsidR="00D83351" w:rsidRPr="00E93710">
        <w:rPr>
          <w:lang w:val="uk-UA"/>
        </w:rPr>
        <w:t xml:space="preserve"> </w:t>
      </w:r>
      <w:r w:rsidR="00E971B7" w:rsidRPr="000A38E5">
        <w:rPr>
          <w:lang w:val="uk-UA"/>
        </w:rPr>
        <w:t>який заявники вичерпали</w:t>
      </w:r>
      <w:r w:rsidR="00D83351" w:rsidRPr="00E93710">
        <w:rPr>
          <w:lang w:val="uk-UA"/>
        </w:rPr>
        <w:t xml:space="preserve">. </w:t>
      </w:r>
      <w:r w:rsidR="00E971B7" w:rsidRPr="000A38E5">
        <w:rPr>
          <w:lang w:val="uk-UA"/>
        </w:rPr>
        <w:t>Однак, їх не переслідували за статтею</w:t>
      </w:r>
      <w:r w:rsidR="00D83351" w:rsidRPr="00E93710">
        <w:rPr>
          <w:lang w:val="uk-UA"/>
        </w:rPr>
        <w:t xml:space="preserve"> 185-1 </w:t>
      </w:r>
      <w:r w:rsidR="00E971B7" w:rsidRPr="000A38E5">
        <w:rPr>
          <w:lang w:val="uk-UA"/>
        </w:rPr>
        <w:t>Кодексу адміністративних правопорушень</w:t>
      </w:r>
      <w:r w:rsidR="00D83351" w:rsidRPr="00E93710">
        <w:rPr>
          <w:lang w:val="uk-UA"/>
        </w:rPr>
        <w:t xml:space="preserve">, </w:t>
      </w:r>
      <w:r w:rsidR="00E971B7" w:rsidRPr="000A38E5">
        <w:rPr>
          <w:lang w:val="uk-UA"/>
        </w:rPr>
        <w:t>позбавивши їх ефективного засобу правового захисту стосовно цієї скарги</w:t>
      </w:r>
      <w:r w:rsidR="00D83351" w:rsidRPr="00E93710">
        <w:rPr>
          <w:lang w:val="uk-UA"/>
        </w:rPr>
        <w:t xml:space="preserve">. </w:t>
      </w:r>
      <w:r w:rsidR="00E971B7" w:rsidRPr="000A38E5">
        <w:rPr>
          <w:lang w:val="uk-UA"/>
        </w:rPr>
        <w:t>З</w:t>
      </w:r>
      <w:r w:rsidR="00D4256A" w:rsidRPr="000A38E5">
        <w:rPr>
          <w:lang w:val="uk-UA"/>
        </w:rPr>
        <w:t xml:space="preserve"> їхнього</w:t>
      </w:r>
      <w:r w:rsidR="00E971B7" w:rsidRPr="000A38E5">
        <w:rPr>
          <w:lang w:val="uk-UA"/>
        </w:rPr>
        <w:t xml:space="preserve"> </w:t>
      </w:r>
      <w:r w:rsidR="00D4256A" w:rsidRPr="000A38E5">
        <w:rPr>
          <w:lang w:val="uk-UA"/>
        </w:rPr>
        <w:t xml:space="preserve">погляду </w:t>
      </w:r>
      <w:r w:rsidR="00E971B7" w:rsidRPr="000A38E5">
        <w:rPr>
          <w:lang w:val="uk-UA"/>
        </w:rPr>
        <w:t>це становило порушення статті 13 Конвенції, яка передбачає</w:t>
      </w:r>
      <w:r w:rsidR="00D83351" w:rsidRPr="00E93710">
        <w:rPr>
          <w:lang w:val="uk-UA"/>
        </w:rPr>
        <w:t>:</w:t>
      </w:r>
    </w:p>
    <w:p w:rsidR="00D83351" w:rsidRPr="00E93710" w:rsidRDefault="00D83351" w:rsidP="00852217">
      <w:pPr>
        <w:pStyle w:val="ECHRParaQuote"/>
        <w:rPr>
          <w:lang w:val="uk-UA"/>
        </w:rPr>
      </w:pPr>
      <w:r w:rsidRPr="00E93710">
        <w:rPr>
          <w:lang w:val="uk-UA"/>
        </w:rPr>
        <w:lastRenderedPageBreak/>
        <w:t>“</w:t>
      </w:r>
      <w:r w:rsidR="00872E50" w:rsidRPr="00E93710">
        <w:rPr>
          <w:color w:val="000000"/>
          <w:sz w:val="18"/>
          <w:szCs w:val="18"/>
          <w:shd w:val="clear" w:color="auto" w:fill="FFFFFF"/>
          <w:lang w:val="uk-UA"/>
        </w:rPr>
        <w:t xml:space="preserve"> </w:t>
      </w:r>
      <w:r w:rsidR="00872E50" w:rsidRPr="000A38E5">
        <w:rPr>
          <w:lang w:val="uk-UA"/>
        </w:rPr>
        <w:t xml:space="preserve">Кожен, чиї права та свободи, визнані в цій Конвенції,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w:t>
      </w:r>
      <w:proofErr w:type="spellStart"/>
      <w:r w:rsidR="00872E50" w:rsidRPr="000A38E5">
        <w:rPr>
          <w:lang w:val="uk-UA"/>
        </w:rPr>
        <w:t>повноваження</w:t>
      </w:r>
      <w:r w:rsidRPr="00E93710">
        <w:rPr>
          <w:lang w:val="uk-UA"/>
        </w:rPr>
        <w:t>.”</w:t>
      </w:r>
      <w:proofErr w:type="spellEnd"/>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284</w:t>
      </w:r>
      <w:r w:rsidRPr="00E93710">
        <w:rPr>
          <w:noProof/>
          <w:lang w:val="uk-UA"/>
        </w:rPr>
        <w:fldChar w:fldCharType="end"/>
      </w:r>
      <w:r w:rsidR="00D83351" w:rsidRPr="00E93710">
        <w:rPr>
          <w:lang w:val="uk-UA"/>
        </w:rPr>
        <w:t>.</w:t>
      </w:r>
      <w:r w:rsidR="00334477" w:rsidRPr="000A38E5">
        <w:rPr>
          <w:lang w:val="uk-UA"/>
        </w:rPr>
        <w:t xml:space="preserve"> </w:t>
      </w:r>
      <w:r w:rsidR="00A76A07" w:rsidRPr="000A38E5">
        <w:rPr>
          <w:lang w:val="uk-UA"/>
        </w:rPr>
        <w:t>Уряд не прокоментував цей аспект справи</w:t>
      </w:r>
      <w:r w:rsidR="00D83351" w:rsidRPr="00E93710">
        <w:rPr>
          <w:lang w:val="uk-UA"/>
        </w:rPr>
        <w:t>.</w:t>
      </w:r>
    </w:p>
    <w:bookmarkStart w:id="86" w:name="conclusion_A13_complaint"/>
    <w:p w:rsidR="00D83351" w:rsidRPr="000A38E5" w:rsidRDefault="004E7608" w:rsidP="00852217">
      <w:pPr>
        <w:pStyle w:val="ECHRPara"/>
        <w:rPr>
          <w:lang w:val="uk-UA"/>
        </w:rPr>
      </w:pPr>
      <w:r w:rsidRPr="00E93710">
        <w:rPr>
          <w:lang w:val="uk-UA"/>
        </w:rPr>
        <w:fldChar w:fldCharType="begin"/>
      </w:r>
      <w:r w:rsidR="00D83351" w:rsidRPr="00E93710">
        <w:rPr>
          <w:lang w:val="uk-UA"/>
        </w:rPr>
        <w:instrText xml:space="preserve"> SEQ level0 \*arabic </w:instrText>
      </w:r>
      <w:r w:rsidRPr="00E93710">
        <w:rPr>
          <w:lang w:val="uk-UA"/>
        </w:rPr>
        <w:fldChar w:fldCharType="separate"/>
      </w:r>
      <w:r w:rsidR="0075299E" w:rsidRPr="00E93710">
        <w:rPr>
          <w:noProof/>
          <w:lang w:val="uk-UA"/>
        </w:rPr>
        <w:t>285</w:t>
      </w:r>
      <w:r w:rsidRPr="00E93710">
        <w:rPr>
          <w:lang w:val="uk-UA"/>
        </w:rPr>
        <w:fldChar w:fldCharType="end"/>
      </w:r>
      <w:bookmarkEnd w:id="86"/>
      <w:r w:rsidR="00D83351" w:rsidRPr="00E93710">
        <w:rPr>
          <w:lang w:val="uk-UA"/>
        </w:rPr>
        <w:t>.</w:t>
      </w:r>
      <w:r w:rsidR="00334477" w:rsidRPr="000A38E5">
        <w:rPr>
          <w:lang w:val="uk-UA"/>
        </w:rPr>
        <w:t xml:space="preserve"> </w:t>
      </w:r>
      <w:r w:rsidR="00A76A07" w:rsidRPr="000A38E5">
        <w:rPr>
          <w:lang w:val="uk-UA"/>
        </w:rPr>
        <w:t>Суд вважає, що ця скарга є повторенням аргументів заявників,</w:t>
      </w:r>
      <w:r w:rsidR="00D83351" w:rsidRPr="00E93710">
        <w:rPr>
          <w:lang w:val="uk-UA"/>
        </w:rPr>
        <w:t xml:space="preserve"> </w:t>
      </w:r>
      <w:r w:rsidR="00A76A07" w:rsidRPr="000A38E5">
        <w:rPr>
          <w:lang w:val="uk-UA"/>
        </w:rPr>
        <w:t>які він вже розглянув вище</w:t>
      </w:r>
      <w:r w:rsidR="00D83351" w:rsidRPr="00E93710">
        <w:rPr>
          <w:lang w:val="uk-UA"/>
        </w:rPr>
        <w:t xml:space="preserve"> (</w:t>
      </w:r>
      <w:r w:rsidR="00A76A07" w:rsidRPr="000A38E5">
        <w:rPr>
          <w:lang w:val="uk-UA"/>
        </w:rPr>
        <w:t>див. пункти</w:t>
      </w:r>
      <w:r w:rsidR="00D83351" w:rsidRPr="00E93710">
        <w:rPr>
          <w:lang w:val="uk-UA"/>
        </w:rPr>
        <w:t xml:space="preserve"> </w:t>
      </w:r>
      <w:fldSimple w:instr=" REF apps_court_order_argument_start \h  \* MERGEFORMAT ">
        <w:r w:rsidR="0075299E" w:rsidRPr="00E93710">
          <w:rPr>
            <w:noProof/>
            <w:lang w:val="uk-UA" w:bidi="en-US"/>
          </w:rPr>
          <w:t>233</w:t>
        </w:r>
      </w:fldSimple>
      <w:r w:rsidR="00494439" w:rsidRPr="000A38E5">
        <w:rPr>
          <w:lang w:val="uk-UA"/>
        </w:rPr>
        <w:t xml:space="preserve"> – </w:t>
      </w:r>
      <w:fldSimple w:instr=" REF apps_court_order_argument_end \h  \* MERGEFORMAT ">
        <w:r w:rsidR="0075299E" w:rsidRPr="00E93710">
          <w:rPr>
            <w:noProof/>
            <w:lang w:val="uk-UA" w:bidi="en-US"/>
          </w:rPr>
          <w:t>241</w:t>
        </w:r>
      </w:fldSimple>
      <w:r w:rsidR="00D83351" w:rsidRPr="00E93710">
        <w:rPr>
          <w:lang w:val="uk-UA"/>
        </w:rPr>
        <w:t xml:space="preserve"> </w:t>
      </w:r>
      <w:r w:rsidR="00A76A07" w:rsidRPr="000A38E5">
        <w:rPr>
          <w:lang w:val="uk-UA"/>
        </w:rPr>
        <w:t>вище</w:t>
      </w:r>
      <w:r w:rsidR="00D83351" w:rsidRPr="00E93710">
        <w:rPr>
          <w:lang w:val="uk-UA"/>
        </w:rPr>
        <w:t xml:space="preserve">) </w:t>
      </w:r>
      <w:r w:rsidR="00A76A07" w:rsidRPr="000A38E5">
        <w:rPr>
          <w:lang w:val="uk-UA"/>
        </w:rPr>
        <w:t>у контексті скарги за статтею 11 Конвенції</w:t>
      </w:r>
      <w:r w:rsidR="00D83351" w:rsidRPr="000A38E5">
        <w:rPr>
          <w:lang w:val="uk-UA"/>
        </w:rPr>
        <w:t xml:space="preserve">. </w:t>
      </w:r>
      <w:r w:rsidR="00A76A07" w:rsidRPr="000A38E5">
        <w:rPr>
          <w:lang w:val="uk-UA"/>
        </w:rPr>
        <w:t>Приймаючи до уваги порушення, визнане вище, Суд не вважає необхідним</w:t>
      </w:r>
      <w:r w:rsidR="00D83351" w:rsidRPr="000A38E5">
        <w:rPr>
          <w:lang w:val="uk-UA"/>
        </w:rPr>
        <w:t xml:space="preserve"> </w:t>
      </w:r>
      <w:r w:rsidR="00A76A07" w:rsidRPr="000A38E5">
        <w:rPr>
          <w:lang w:val="uk-UA"/>
        </w:rPr>
        <w:t>видавати окрему постанову щодо прийнятності або суті скарги</w:t>
      </w:r>
      <w:r w:rsidR="00D83351" w:rsidRPr="000A38E5">
        <w:rPr>
          <w:lang w:val="uk-UA"/>
        </w:rPr>
        <w:t xml:space="preserve"> </w:t>
      </w:r>
      <w:r w:rsidR="00A76A07" w:rsidRPr="000A38E5">
        <w:rPr>
          <w:lang w:val="uk-UA"/>
        </w:rPr>
        <w:t>за статтею 13 Конвенції в поєднанні зі статтею 11 Конвенції</w:t>
      </w:r>
      <w:r w:rsidR="00D83351" w:rsidRPr="000A38E5">
        <w:rPr>
          <w:lang w:val="uk-UA"/>
        </w:rPr>
        <w:t>.</w:t>
      </w:r>
    </w:p>
    <w:p w:rsidR="00D83351" w:rsidRPr="000A38E5" w:rsidRDefault="00D83351" w:rsidP="00852217">
      <w:pPr>
        <w:pStyle w:val="ECHRHeading1"/>
        <w:rPr>
          <w:lang w:val="uk-UA"/>
        </w:rPr>
      </w:pPr>
      <w:r w:rsidRPr="00E93710">
        <w:rPr>
          <w:lang w:val="uk-UA"/>
        </w:rPr>
        <w:t>VI.</w:t>
      </w:r>
      <w:r w:rsidR="00334477" w:rsidRPr="000A38E5">
        <w:rPr>
          <w:lang w:val="uk-UA"/>
        </w:rPr>
        <w:t xml:space="preserve"> </w:t>
      </w:r>
      <w:r w:rsidR="008229CF" w:rsidRPr="000A38E5">
        <w:rPr>
          <w:lang w:val="uk-UA"/>
        </w:rPr>
        <w:t>ЗАСТОСУВАННЯ СТАТТІ 41 КОНВЕНЦІЇ</w:t>
      </w:r>
    </w:p>
    <w:p w:rsidR="00D83351" w:rsidRPr="000A38E5" w:rsidRDefault="004E7608" w:rsidP="00852217">
      <w:pPr>
        <w:pStyle w:val="ECHRPara"/>
        <w:keepNext/>
        <w:keepLines/>
        <w:rPr>
          <w:lang w:val="uk-UA"/>
        </w:rPr>
      </w:pPr>
      <w:r w:rsidRPr="00E93710">
        <w:rPr>
          <w:lang w:val="uk-UA"/>
        </w:rPr>
        <w:fldChar w:fldCharType="begin"/>
      </w:r>
      <w:r w:rsidR="007C6EE5" w:rsidRPr="000A38E5">
        <w:rPr>
          <w:lang w:val="uk-UA"/>
        </w:rPr>
        <w:instrText xml:space="preserve"> </w:instrText>
      </w:r>
      <w:r w:rsidR="007C6EE5" w:rsidRPr="00E93710">
        <w:rPr>
          <w:lang w:val="uk-UA"/>
        </w:rPr>
        <w:instrText>SEQ</w:instrText>
      </w:r>
      <w:r w:rsidR="007C6EE5" w:rsidRPr="000A38E5">
        <w:rPr>
          <w:lang w:val="uk-UA"/>
        </w:rPr>
        <w:instrText xml:space="preserve"> </w:instrText>
      </w:r>
      <w:r w:rsidR="007C6EE5" w:rsidRPr="00E93710">
        <w:rPr>
          <w:lang w:val="uk-UA"/>
        </w:rPr>
        <w:instrText>level</w:instrText>
      </w:r>
      <w:r w:rsidR="007C6EE5" w:rsidRPr="000A38E5">
        <w:rPr>
          <w:lang w:val="uk-UA"/>
        </w:rPr>
        <w:instrText>0 \*</w:instrText>
      </w:r>
      <w:r w:rsidR="007C6EE5" w:rsidRPr="00E93710">
        <w:rPr>
          <w:lang w:val="uk-UA"/>
        </w:rPr>
        <w:instrText>arabic</w:instrText>
      </w:r>
      <w:r w:rsidR="007C6EE5" w:rsidRPr="000A38E5">
        <w:rPr>
          <w:lang w:val="uk-UA"/>
        </w:rPr>
        <w:instrText xml:space="preserve"> </w:instrText>
      </w:r>
      <w:r w:rsidRPr="00E93710">
        <w:rPr>
          <w:lang w:val="uk-UA"/>
        </w:rPr>
        <w:fldChar w:fldCharType="separate"/>
      </w:r>
      <w:r w:rsidR="0075299E" w:rsidRPr="00E93710">
        <w:rPr>
          <w:noProof/>
          <w:lang w:val="uk-UA"/>
        </w:rPr>
        <w:t>286</w:t>
      </w:r>
      <w:r w:rsidRPr="00E93710">
        <w:rPr>
          <w:noProof/>
          <w:lang w:val="uk-UA"/>
        </w:rPr>
        <w:fldChar w:fldCharType="end"/>
      </w:r>
      <w:r w:rsidR="00D83351" w:rsidRPr="000A38E5">
        <w:rPr>
          <w:lang w:val="uk-UA"/>
        </w:rPr>
        <w:t>.</w:t>
      </w:r>
      <w:r w:rsidR="00334477" w:rsidRPr="000A38E5">
        <w:rPr>
          <w:lang w:val="uk-UA"/>
        </w:rPr>
        <w:t xml:space="preserve"> </w:t>
      </w:r>
      <w:r w:rsidR="008229CF" w:rsidRPr="000A38E5">
        <w:rPr>
          <w:lang w:val="uk-UA"/>
        </w:rPr>
        <w:t>Стаття 41 Конвенції передбачає</w:t>
      </w:r>
      <w:r w:rsidR="00D83351" w:rsidRPr="000A38E5">
        <w:rPr>
          <w:lang w:val="uk-UA"/>
        </w:rPr>
        <w:t>:</w:t>
      </w:r>
    </w:p>
    <w:p w:rsidR="00D83351" w:rsidRPr="000A38E5" w:rsidRDefault="00D83351" w:rsidP="00852217">
      <w:pPr>
        <w:pStyle w:val="ECHRParaQuote"/>
        <w:keepNext/>
        <w:keepLines/>
        <w:rPr>
          <w:lang w:val="uk-UA"/>
        </w:rPr>
      </w:pPr>
      <w:proofErr w:type="spellStart"/>
      <w:r w:rsidRPr="000A38E5">
        <w:rPr>
          <w:lang w:val="uk-UA"/>
        </w:rPr>
        <w:t>“</w:t>
      </w:r>
      <w:r w:rsidR="008229CF" w:rsidRPr="000A38E5">
        <w:rPr>
          <w:lang w:val="uk-UA"/>
        </w:rPr>
        <w:t>Якщо</w:t>
      </w:r>
      <w:proofErr w:type="spellEnd"/>
      <w:r w:rsidR="008229CF" w:rsidRPr="000A38E5">
        <w:rPr>
          <w:lang w:val="uk-UA"/>
        </w:rPr>
        <w:t xml:space="preserve"> Суд визнає факт порушення Конвенції або протоколів до неї і якщо внутрішнє право відповідної Високої Договірної Сторони передбачає лише часткове відшкодування, Суд, у разі необхідності, надає потерпілій стороні справедливу </w:t>
      </w:r>
      <w:proofErr w:type="spellStart"/>
      <w:r w:rsidR="008229CF" w:rsidRPr="000A38E5">
        <w:rPr>
          <w:lang w:val="uk-UA"/>
        </w:rPr>
        <w:t>сатисфакцію</w:t>
      </w:r>
      <w:r w:rsidRPr="000A38E5">
        <w:rPr>
          <w:lang w:val="uk-UA"/>
        </w:rPr>
        <w:t>.”</w:t>
      </w:r>
      <w:proofErr w:type="spellEnd"/>
    </w:p>
    <w:p w:rsidR="00D83351" w:rsidRPr="000A38E5" w:rsidRDefault="00D83351" w:rsidP="00852217">
      <w:pPr>
        <w:pStyle w:val="ECHRHeading2"/>
        <w:rPr>
          <w:lang w:val="uk-UA"/>
        </w:rPr>
      </w:pPr>
      <w:r w:rsidRPr="00E93710">
        <w:rPr>
          <w:lang w:val="uk-UA"/>
        </w:rPr>
        <w:t>A.</w:t>
      </w:r>
      <w:r w:rsidR="00334477" w:rsidRPr="000A38E5">
        <w:rPr>
          <w:lang w:val="uk-UA"/>
        </w:rPr>
        <w:t xml:space="preserve"> </w:t>
      </w:r>
      <w:r w:rsidR="008229CF" w:rsidRPr="000A38E5">
        <w:rPr>
          <w:lang w:val="uk-UA"/>
        </w:rPr>
        <w:t>Компенсація шкоди</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287</w:t>
      </w:r>
      <w:r w:rsidRPr="00E93710">
        <w:rPr>
          <w:noProof/>
          <w:lang w:val="uk-UA"/>
        </w:rPr>
        <w:fldChar w:fldCharType="end"/>
      </w:r>
      <w:r w:rsidR="00D83351" w:rsidRPr="00E93710">
        <w:rPr>
          <w:lang w:val="uk-UA"/>
        </w:rPr>
        <w:t>.</w:t>
      </w:r>
      <w:r w:rsidR="00334477" w:rsidRPr="000A38E5">
        <w:rPr>
          <w:lang w:val="uk-UA"/>
        </w:rPr>
        <w:t xml:space="preserve"> </w:t>
      </w:r>
      <w:r w:rsidR="00393A65" w:rsidRPr="000A38E5">
        <w:rPr>
          <w:lang w:val="uk-UA"/>
        </w:rPr>
        <w:t>Заявники вимагали сплатити їм наступні суми в якості компенсації моральної шкоди</w:t>
      </w:r>
      <w:r w:rsidR="00D83351" w:rsidRPr="00E93710">
        <w:rPr>
          <w:lang w:val="uk-UA"/>
        </w:rPr>
        <w:t>:</w:t>
      </w:r>
    </w:p>
    <w:p w:rsidR="00D83351" w:rsidRPr="00E93710" w:rsidRDefault="00BF2D3C" w:rsidP="00852217">
      <w:pPr>
        <w:pStyle w:val="ECHRPara"/>
        <w:rPr>
          <w:lang w:val="uk-UA"/>
        </w:rPr>
      </w:pPr>
      <w:r w:rsidRPr="00E93710">
        <w:rPr>
          <w:lang w:val="uk-UA"/>
        </w:rPr>
        <w:t>(i)</w:t>
      </w:r>
      <w:r w:rsidR="00334477" w:rsidRPr="000A38E5">
        <w:rPr>
          <w:lang w:val="uk-UA"/>
        </w:rPr>
        <w:t xml:space="preserve"> </w:t>
      </w:r>
      <w:r w:rsidR="00393A65" w:rsidRPr="000A38E5">
        <w:rPr>
          <w:lang w:val="uk-UA"/>
        </w:rPr>
        <w:t>перший та другий заявники</w:t>
      </w:r>
      <w:r w:rsidR="00494439" w:rsidRPr="000A38E5">
        <w:rPr>
          <w:lang w:val="uk-UA"/>
        </w:rPr>
        <w:t xml:space="preserve"> – </w:t>
      </w:r>
      <w:r w:rsidR="00D83351" w:rsidRPr="00E93710">
        <w:rPr>
          <w:lang w:val="uk-UA"/>
        </w:rPr>
        <w:t xml:space="preserve">15,000 </w:t>
      </w:r>
      <w:r w:rsidR="00393A65" w:rsidRPr="000A38E5">
        <w:rPr>
          <w:lang w:val="uk-UA"/>
        </w:rPr>
        <w:t>євро</w:t>
      </w:r>
      <w:r w:rsidR="00D83351" w:rsidRPr="00E93710">
        <w:rPr>
          <w:lang w:val="uk-UA"/>
        </w:rPr>
        <w:t xml:space="preserve"> (EUR) </w:t>
      </w:r>
      <w:r w:rsidR="00393A65" w:rsidRPr="000A38E5">
        <w:rPr>
          <w:lang w:val="uk-UA"/>
        </w:rPr>
        <w:t>кожному</w:t>
      </w:r>
      <w:r w:rsidR="00D83351" w:rsidRPr="00E93710">
        <w:rPr>
          <w:lang w:val="uk-UA"/>
        </w:rPr>
        <w:t>;</w:t>
      </w:r>
    </w:p>
    <w:p w:rsidR="00D83351" w:rsidRPr="00E93710" w:rsidRDefault="00BF2D3C" w:rsidP="00852217">
      <w:pPr>
        <w:pStyle w:val="ECHRPara"/>
        <w:rPr>
          <w:lang w:val="uk-UA"/>
        </w:rPr>
      </w:pPr>
      <w:r w:rsidRPr="00E93710">
        <w:rPr>
          <w:lang w:val="uk-UA"/>
        </w:rPr>
        <w:t>(</w:t>
      </w:r>
      <w:proofErr w:type="spellStart"/>
      <w:r w:rsidRPr="00E93710">
        <w:rPr>
          <w:lang w:val="uk-UA"/>
        </w:rPr>
        <w:t>ii</w:t>
      </w:r>
      <w:proofErr w:type="spellEnd"/>
      <w:r w:rsidRPr="00E93710">
        <w:rPr>
          <w:lang w:val="uk-UA"/>
        </w:rPr>
        <w:t>)</w:t>
      </w:r>
      <w:r w:rsidR="00334477" w:rsidRPr="000A38E5">
        <w:rPr>
          <w:lang w:val="uk-UA"/>
        </w:rPr>
        <w:t xml:space="preserve"> </w:t>
      </w:r>
      <w:r w:rsidR="00393A65" w:rsidRPr="000A38E5">
        <w:rPr>
          <w:lang w:val="uk-UA"/>
        </w:rPr>
        <w:t>шостий заявник</w:t>
      </w:r>
      <w:r w:rsidR="00494439" w:rsidRPr="000A38E5">
        <w:rPr>
          <w:lang w:val="uk-UA"/>
        </w:rPr>
        <w:t xml:space="preserve"> – </w:t>
      </w:r>
      <w:r w:rsidR="00D83351" w:rsidRPr="00E93710">
        <w:rPr>
          <w:lang w:val="uk-UA"/>
        </w:rPr>
        <w:t>10,000</w:t>
      </w:r>
      <w:r w:rsidR="00393A65" w:rsidRPr="000A38E5">
        <w:rPr>
          <w:lang w:val="uk-UA"/>
        </w:rPr>
        <w:t xml:space="preserve"> євро</w:t>
      </w:r>
      <w:r w:rsidR="00D83351" w:rsidRPr="00E93710">
        <w:rPr>
          <w:lang w:val="uk-UA"/>
        </w:rPr>
        <w:t>;</w:t>
      </w:r>
    </w:p>
    <w:p w:rsidR="00D83351" w:rsidRPr="00E93710" w:rsidRDefault="00D83351" w:rsidP="00852217">
      <w:pPr>
        <w:pStyle w:val="ECHRPara"/>
        <w:rPr>
          <w:lang w:val="uk-UA"/>
        </w:rPr>
      </w:pPr>
      <w:r w:rsidRPr="00E93710">
        <w:rPr>
          <w:lang w:val="uk-UA"/>
        </w:rPr>
        <w:t>(</w:t>
      </w:r>
      <w:proofErr w:type="spellStart"/>
      <w:r w:rsidRPr="00E93710">
        <w:rPr>
          <w:lang w:val="uk-UA"/>
        </w:rPr>
        <w:t>iii</w:t>
      </w:r>
      <w:proofErr w:type="spellEnd"/>
      <w:r w:rsidR="00BF2D3C" w:rsidRPr="00E93710">
        <w:rPr>
          <w:lang w:val="uk-UA"/>
        </w:rPr>
        <w:t>)</w:t>
      </w:r>
      <w:r w:rsidR="00334477" w:rsidRPr="000A38E5">
        <w:rPr>
          <w:lang w:val="uk-UA"/>
        </w:rPr>
        <w:t xml:space="preserve"> </w:t>
      </w:r>
      <w:r w:rsidR="00BA35DC" w:rsidRPr="000A38E5">
        <w:rPr>
          <w:lang w:val="uk-UA"/>
        </w:rPr>
        <w:t>сьомий та дев’ятий заявники</w:t>
      </w:r>
      <w:r w:rsidR="00494439" w:rsidRPr="000A38E5">
        <w:rPr>
          <w:lang w:val="uk-UA"/>
        </w:rPr>
        <w:t xml:space="preserve"> – </w:t>
      </w:r>
      <w:r w:rsidRPr="00E93710">
        <w:rPr>
          <w:lang w:val="uk-UA"/>
        </w:rPr>
        <w:t xml:space="preserve">17,000 </w:t>
      </w:r>
      <w:r w:rsidR="00BA35DC" w:rsidRPr="000A38E5">
        <w:rPr>
          <w:lang w:val="uk-UA"/>
        </w:rPr>
        <w:t>кожному</w:t>
      </w:r>
      <w:r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288</w:t>
      </w:r>
      <w:r w:rsidRPr="00E93710">
        <w:rPr>
          <w:noProof/>
          <w:lang w:val="uk-UA"/>
        </w:rPr>
        <w:fldChar w:fldCharType="end"/>
      </w:r>
      <w:r w:rsidR="00D83351" w:rsidRPr="00E93710">
        <w:rPr>
          <w:lang w:val="uk-UA"/>
        </w:rPr>
        <w:t>.</w:t>
      </w:r>
      <w:r w:rsidR="00334477" w:rsidRPr="000A38E5">
        <w:rPr>
          <w:lang w:val="uk-UA"/>
        </w:rPr>
        <w:t xml:space="preserve"> </w:t>
      </w:r>
      <w:r w:rsidR="005A2720" w:rsidRPr="000A38E5">
        <w:rPr>
          <w:lang w:val="uk-UA"/>
        </w:rPr>
        <w:t>Перший та другий заявники також попросили Суд вказати в оперативній частині рішення,</w:t>
      </w:r>
      <w:r w:rsidR="00D83351" w:rsidRPr="00E93710">
        <w:rPr>
          <w:lang w:val="uk-UA"/>
        </w:rPr>
        <w:t xml:space="preserve"> </w:t>
      </w:r>
      <w:r w:rsidR="005A2720" w:rsidRPr="000A38E5">
        <w:rPr>
          <w:lang w:val="uk-UA"/>
        </w:rPr>
        <w:t>що в їх справі повинно відбутися повторне судове слухання</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289</w:t>
      </w:r>
      <w:r w:rsidRPr="00E93710">
        <w:rPr>
          <w:noProof/>
          <w:lang w:val="uk-UA"/>
        </w:rPr>
        <w:fldChar w:fldCharType="end"/>
      </w:r>
      <w:r w:rsidR="00D83351" w:rsidRPr="00E93710">
        <w:rPr>
          <w:lang w:val="uk-UA"/>
        </w:rPr>
        <w:t>.</w:t>
      </w:r>
      <w:r w:rsidR="00334477" w:rsidRPr="000A38E5">
        <w:rPr>
          <w:lang w:val="uk-UA"/>
        </w:rPr>
        <w:t xml:space="preserve"> </w:t>
      </w:r>
      <w:r w:rsidR="005A2720" w:rsidRPr="000A38E5">
        <w:rPr>
          <w:lang w:val="uk-UA"/>
        </w:rPr>
        <w:t>Уряд вважав ці вимоги надмірними та закликав Суд відхилити їх</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290</w:t>
      </w:r>
      <w:r w:rsidRPr="00E93710">
        <w:rPr>
          <w:noProof/>
          <w:lang w:val="uk-UA"/>
        </w:rPr>
        <w:fldChar w:fldCharType="end"/>
      </w:r>
      <w:r w:rsidR="00D83351" w:rsidRPr="00E93710">
        <w:rPr>
          <w:lang w:val="uk-UA"/>
        </w:rPr>
        <w:t>.</w:t>
      </w:r>
      <w:r w:rsidR="00334477" w:rsidRPr="000A38E5">
        <w:rPr>
          <w:lang w:val="uk-UA"/>
        </w:rPr>
        <w:t xml:space="preserve"> </w:t>
      </w:r>
      <w:r w:rsidR="005A2720" w:rsidRPr="000A38E5">
        <w:rPr>
          <w:lang w:val="uk-UA"/>
        </w:rPr>
        <w:t>Приймаючи рішення на справедливій основі, Суд присуджує кожному з першого, другого, сьомого та дев’ятого заявників</w:t>
      </w:r>
      <w:r w:rsidR="00D83351" w:rsidRPr="00E93710">
        <w:rPr>
          <w:lang w:val="uk-UA"/>
        </w:rPr>
        <w:t xml:space="preserve"> 6,000 </w:t>
      </w:r>
      <w:r w:rsidR="00D4256A" w:rsidRPr="000A38E5">
        <w:rPr>
          <w:lang w:val="uk-UA"/>
        </w:rPr>
        <w:t xml:space="preserve">євро </w:t>
      </w:r>
      <w:r w:rsidR="005A2720" w:rsidRPr="000A38E5">
        <w:rPr>
          <w:lang w:val="uk-UA"/>
        </w:rPr>
        <w:t>в якості компенсації моральної шкоди</w:t>
      </w:r>
      <w:r w:rsidR="00D83351" w:rsidRPr="00E93710">
        <w:rPr>
          <w:lang w:val="uk-UA"/>
        </w:rPr>
        <w:t>.</w:t>
      </w:r>
    </w:p>
    <w:p w:rsidR="00D83351" w:rsidRPr="00E93710" w:rsidRDefault="004E7608" w:rsidP="00852217">
      <w:pPr>
        <w:pStyle w:val="ECHRPara"/>
        <w:rPr>
          <w:i/>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291</w:t>
      </w:r>
      <w:r w:rsidRPr="00E93710">
        <w:rPr>
          <w:noProof/>
          <w:lang w:val="uk-UA"/>
        </w:rPr>
        <w:fldChar w:fldCharType="end"/>
      </w:r>
      <w:r w:rsidR="00D83351" w:rsidRPr="00E93710">
        <w:rPr>
          <w:lang w:val="uk-UA"/>
        </w:rPr>
        <w:t>.</w:t>
      </w:r>
      <w:r w:rsidR="00334477" w:rsidRPr="000A38E5">
        <w:rPr>
          <w:lang w:val="uk-UA"/>
        </w:rPr>
        <w:t xml:space="preserve"> </w:t>
      </w:r>
      <w:r w:rsidR="00E0345D" w:rsidRPr="000A38E5">
        <w:rPr>
          <w:lang w:val="uk-UA"/>
        </w:rPr>
        <w:t>Суд також зазначає, що в даній справі він визнав порушення гарантії справедливого судового процесу</w:t>
      </w:r>
      <w:r w:rsidR="00D83351" w:rsidRPr="00E93710">
        <w:rPr>
          <w:lang w:val="uk-UA"/>
        </w:rPr>
        <w:t xml:space="preserve"> </w:t>
      </w:r>
      <w:r w:rsidR="00E0345D" w:rsidRPr="000A38E5">
        <w:rPr>
          <w:lang w:val="uk-UA"/>
        </w:rPr>
        <w:t>по відношенню до першого та другого заявників,</w:t>
      </w:r>
      <w:r w:rsidR="00D83351" w:rsidRPr="00E93710">
        <w:rPr>
          <w:lang w:val="uk-UA"/>
        </w:rPr>
        <w:t xml:space="preserve"> </w:t>
      </w:r>
      <w:r w:rsidR="00E0345D" w:rsidRPr="000A38E5">
        <w:rPr>
          <w:lang w:val="uk-UA"/>
        </w:rPr>
        <w:t>і що національне законодавство передбачає можливість повторного відкриття</w:t>
      </w:r>
      <w:r w:rsidR="00D83351" w:rsidRPr="00E93710">
        <w:rPr>
          <w:lang w:val="uk-UA"/>
        </w:rPr>
        <w:t xml:space="preserve"> </w:t>
      </w:r>
      <w:r w:rsidR="00E0345D" w:rsidRPr="000A38E5">
        <w:rPr>
          <w:lang w:val="uk-UA"/>
        </w:rPr>
        <w:t>проваджень</w:t>
      </w:r>
      <w:r w:rsidR="00D83351" w:rsidRPr="00E93710">
        <w:rPr>
          <w:lang w:val="uk-UA"/>
        </w:rPr>
        <w:t xml:space="preserve"> (</w:t>
      </w:r>
      <w:r w:rsidR="00E0345D" w:rsidRPr="000A38E5">
        <w:rPr>
          <w:lang w:val="uk-UA"/>
        </w:rPr>
        <w:t>див. пункт</w:t>
      </w:r>
      <w:r w:rsidR="00D83351" w:rsidRPr="00E93710">
        <w:rPr>
          <w:lang w:val="uk-UA"/>
        </w:rPr>
        <w:t xml:space="preserve"> </w:t>
      </w:r>
      <w:fldSimple w:instr=" REF COA_reopening_ECHR \h  \* MERGEFORMAT ">
        <w:r w:rsidR="0075299E" w:rsidRPr="00E93710">
          <w:rPr>
            <w:noProof/>
            <w:lang w:val="uk-UA"/>
          </w:rPr>
          <w:t>99</w:t>
        </w:r>
      </w:fldSimple>
      <w:r w:rsidR="00D83351" w:rsidRPr="00E93710">
        <w:rPr>
          <w:lang w:val="uk-UA"/>
        </w:rPr>
        <w:t xml:space="preserve"> </w:t>
      </w:r>
      <w:r w:rsidR="00E0345D" w:rsidRPr="000A38E5">
        <w:rPr>
          <w:lang w:val="uk-UA"/>
        </w:rPr>
        <w:t>вище</w:t>
      </w:r>
      <w:r w:rsidR="00D83351" w:rsidRPr="00E93710">
        <w:rPr>
          <w:lang w:val="uk-UA"/>
        </w:rPr>
        <w:t xml:space="preserve">). </w:t>
      </w:r>
      <w:r w:rsidR="00A43916" w:rsidRPr="000A38E5">
        <w:rPr>
          <w:lang w:val="uk-UA"/>
        </w:rPr>
        <w:t>Суд вважає, що незважаючи на суму, яку він присудив відповідно до статті 41 Конвенції</w:t>
      </w:r>
      <w:r w:rsidR="00D83351" w:rsidRPr="00E93710">
        <w:rPr>
          <w:lang w:val="uk-UA"/>
        </w:rPr>
        <w:t xml:space="preserve">, </w:t>
      </w:r>
      <w:r w:rsidR="00A43916" w:rsidRPr="000A38E5">
        <w:rPr>
          <w:lang w:val="uk-UA"/>
        </w:rPr>
        <w:t>належною формою компенсації у їх справах буде повторне відкриття</w:t>
      </w:r>
      <w:r w:rsidR="00D83351" w:rsidRPr="00E93710">
        <w:rPr>
          <w:lang w:val="uk-UA"/>
        </w:rPr>
        <w:t xml:space="preserve"> </w:t>
      </w:r>
      <w:r w:rsidR="00A43916" w:rsidRPr="000A38E5">
        <w:rPr>
          <w:lang w:val="uk-UA"/>
        </w:rPr>
        <w:t>проваджень</w:t>
      </w:r>
      <w:r w:rsidR="00D83351" w:rsidRPr="00E93710">
        <w:rPr>
          <w:lang w:val="uk-UA"/>
        </w:rPr>
        <w:t xml:space="preserve">, </w:t>
      </w:r>
      <w:r w:rsidR="00A43916" w:rsidRPr="000A38E5">
        <w:rPr>
          <w:lang w:val="uk-UA"/>
        </w:rPr>
        <w:t>за вимогою</w:t>
      </w:r>
      <w:r w:rsidR="00D83351" w:rsidRPr="00E93710">
        <w:rPr>
          <w:lang w:val="uk-UA"/>
        </w:rPr>
        <w:t xml:space="preserve"> (</w:t>
      </w:r>
      <w:r w:rsidR="00317FDB" w:rsidRPr="000A38E5">
        <w:rPr>
          <w:lang w:val="uk-UA"/>
        </w:rPr>
        <w:t>див., наприклад</w:t>
      </w:r>
      <w:r w:rsidR="00D83351" w:rsidRPr="00E93710">
        <w:rPr>
          <w:lang w:val="uk-UA"/>
        </w:rPr>
        <w:t xml:space="preserve">, </w:t>
      </w:r>
      <w:proofErr w:type="spellStart"/>
      <w:r w:rsidR="00D83351" w:rsidRPr="00E93710">
        <w:rPr>
          <w:i/>
          <w:lang w:val="uk-UA"/>
        </w:rPr>
        <w:t>Yaroslav</w:t>
      </w:r>
      <w:proofErr w:type="spellEnd"/>
      <w:r w:rsidR="00D83351" w:rsidRPr="00E93710">
        <w:rPr>
          <w:i/>
          <w:lang w:val="uk-UA"/>
        </w:rPr>
        <w:t xml:space="preserve"> </w:t>
      </w:r>
      <w:proofErr w:type="spellStart"/>
      <w:r w:rsidR="00D83351" w:rsidRPr="00E93710">
        <w:rPr>
          <w:i/>
          <w:lang w:val="uk-UA"/>
        </w:rPr>
        <w:t>Belousov</w:t>
      </w:r>
      <w:proofErr w:type="spellEnd"/>
      <w:r w:rsidR="00D83351" w:rsidRPr="00E93710">
        <w:rPr>
          <w:lang w:val="uk-UA"/>
        </w:rPr>
        <w:t xml:space="preserve"> </w:t>
      </w:r>
      <w:r w:rsidR="00D83351" w:rsidRPr="00E93710">
        <w:rPr>
          <w:i/>
          <w:lang w:val="uk-UA"/>
        </w:rPr>
        <w:t xml:space="preserve">v. </w:t>
      </w:r>
      <w:proofErr w:type="spellStart"/>
      <w:r w:rsidR="00D83351" w:rsidRPr="00E93710">
        <w:rPr>
          <w:i/>
          <w:lang w:val="uk-UA"/>
        </w:rPr>
        <w:t>Russia</w:t>
      </w:r>
      <w:proofErr w:type="spellEnd"/>
      <w:r w:rsidR="00D83351" w:rsidRPr="00E93710">
        <w:rPr>
          <w:lang w:val="uk-UA"/>
        </w:rPr>
        <w:t xml:space="preserve">, </w:t>
      </w:r>
      <w:r w:rsidR="00317FDB" w:rsidRPr="000A38E5">
        <w:rPr>
          <w:lang w:val="uk-UA"/>
        </w:rPr>
        <w:t>№№</w:t>
      </w:r>
      <w:r w:rsidR="00D83351" w:rsidRPr="00E93710">
        <w:rPr>
          <w:lang w:val="uk-UA"/>
        </w:rPr>
        <w:t xml:space="preserve"> 2653/13 </w:t>
      </w:r>
      <w:r w:rsidR="00317FDB" w:rsidRPr="000A38E5">
        <w:rPr>
          <w:lang w:val="uk-UA"/>
        </w:rPr>
        <w:t>та</w:t>
      </w:r>
      <w:r w:rsidR="00D83351" w:rsidRPr="00E93710">
        <w:rPr>
          <w:lang w:val="uk-UA"/>
        </w:rPr>
        <w:t xml:space="preserve"> 60980/14, § 193, 4 </w:t>
      </w:r>
      <w:r w:rsidR="00317FDB" w:rsidRPr="000A38E5">
        <w:rPr>
          <w:lang w:val="uk-UA"/>
        </w:rPr>
        <w:t>жовтня</w:t>
      </w:r>
      <w:r w:rsidR="00D83351" w:rsidRPr="00E93710">
        <w:rPr>
          <w:lang w:val="uk-UA"/>
        </w:rPr>
        <w:t xml:space="preserve"> 2016, </w:t>
      </w:r>
      <w:proofErr w:type="spellStart"/>
      <w:r w:rsidR="00D83351" w:rsidRPr="00E93710">
        <w:rPr>
          <w:i/>
          <w:iCs/>
          <w:lang w:val="uk-UA"/>
        </w:rPr>
        <w:t>Igranov</w:t>
      </w:r>
      <w:proofErr w:type="spellEnd"/>
      <w:r w:rsidR="00D83351" w:rsidRPr="00E93710">
        <w:rPr>
          <w:i/>
          <w:iCs/>
          <w:lang w:val="uk-UA"/>
        </w:rPr>
        <w:t xml:space="preserve"> </w:t>
      </w:r>
      <w:proofErr w:type="spellStart"/>
      <w:r w:rsidR="00D83351" w:rsidRPr="00E93710">
        <w:rPr>
          <w:i/>
          <w:iCs/>
          <w:lang w:val="uk-UA"/>
        </w:rPr>
        <w:t>and</w:t>
      </w:r>
      <w:proofErr w:type="spellEnd"/>
      <w:r w:rsidR="00D83351" w:rsidRPr="00E93710">
        <w:rPr>
          <w:i/>
          <w:iCs/>
          <w:lang w:val="uk-UA"/>
        </w:rPr>
        <w:t xml:space="preserve"> </w:t>
      </w:r>
      <w:proofErr w:type="spellStart"/>
      <w:r w:rsidR="00D83351" w:rsidRPr="00E93710">
        <w:rPr>
          <w:i/>
          <w:iCs/>
          <w:lang w:val="uk-UA"/>
        </w:rPr>
        <w:t>Others</w:t>
      </w:r>
      <w:proofErr w:type="spellEnd"/>
      <w:r w:rsidR="00D83351" w:rsidRPr="00E93710">
        <w:rPr>
          <w:i/>
          <w:iCs/>
          <w:lang w:val="uk-UA"/>
        </w:rPr>
        <w:t xml:space="preserve"> v.</w:t>
      </w:r>
      <w:r w:rsidR="00BF2D3C" w:rsidRPr="00E93710">
        <w:rPr>
          <w:lang w:val="uk-UA"/>
        </w:rPr>
        <w:t> </w:t>
      </w:r>
      <w:proofErr w:type="spellStart"/>
      <w:r w:rsidR="00D83351" w:rsidRPr="00E93710">
        <w:rPr>
          <w:i/>
          <w:iCs/>
          <w:lang w:val="uk-UA"/>
        </w:rPr>
        <w:t>Russia</w:t>
      </w:r>
      <w:proofErr w:type="spellEnd"/>
      <w:r w:rsidR="00D83351" w:rsidRPr="00E93710">
        <w:rPr>
          <w:lang w:val="uk-UA" w:eastAsia="en-GB"/>
        </w:rPr>
        <w:t xml:space="preserve">, </w:t>
      </w:r>
      <w:r w:rsidR="00317FDB" w:rsidRPr="000A38E5">
        <w:rPr>
          <w:lang w:val="uk-UA"/>
        </w:rPr>
        <w:t>№</w:t>
      </w:r>
      <w:r w:rsidR="00D83351" w:rsidRPr="00E93710">
        <w:rPr>
          <w:lang w:val="uk-UA"/>
        </w:rPr>
        <w:t xml:space="preserve"> 42399/13 </w:t>
      </w:r>
      <w:r w:rsidR="00317FDB" w:rsidRPr="000A38E5">
        <w:rPr>
          <w:lang w:val="uk-UA"/>
        </w:rPr>
        <w:t>та 8 інших</w:t>
      </w:r>
      <w:r w:rsidR="00D83351" w:rsidRPr="00E93710">
        <w:rPr>
          <w:lang w:val="uk-UA" w:eastAsia="en-GB"/>
        </w:rPr>
        <w:t xml:space="preserve">, </w:t>
      </w:r>
      <w:r w:rsidR="00D83351" w:rsidRPr="00E93710">
        <w:rPr>
          <w:lang w:val="uk-UA"/>
        </w:rPr>
        <w:t xml:space="preserve">§ 39, 20 </w:t>
      </w:r>
      <w:r w:rsidR="00317FDB" w:rsidRPr="000A38E5">
        <w:rPr>
          <w:lang w:val="uk-UA"/>
        </w:rPr>
        <w:t>березня</w:t>
      </w:r>
      <w:r w:rsidR="00D83351" w:rsidRPr="00E93710">
        <w:rPr>
          <w:lang w:val="uk-UA"/>
        </w:rPr>
        <w:t xml:space="preserve"> 2018, </w:t>
      </w:r>
      <w:r w:rsidR="00317FDB" w:rsidRPr="000A38E5">
        <w:rPr>
          <w:lang w:val="uk-UA"/>
        </w:rPr>
        <w:t>та</w:t>
      </w:r>
      <w:r w:rsidR="00D83351" w:rsidRPr="00E93710">
        <w:rPr>
          <w:lang w:val="uk-UA"/>
        </w:rPr>
        <w:t xml:space="preserve"> </w:t>
      </w:r>
      <w:proofErr w:type="spellStart"/>
      <w:r w:rsidR="00D83351" w:rsidRPr="00E93710">
        <w:rPr>
          <w:i/>
          <w:iCs/>
          <w:lang w:val="uk-UA"/>
        </w:rPr>
        <w:t>Topi</w:t>
      </w:r>
      <w:proofErr w:type="spellEnd"/>
      <w:r w:rsidR="00D83351" w:rsidRPr="00E93710">
        <w:rPr>
          <w:i/>
          <w:iCs/>
          <w:lang w:val="uk-UA"/>
        </w:rPr>
        <w:t xml:space="preserve"> v.</w:t>
      </w:r>
      <w:r w:rsidR="00BF2D3C" w:rsidRPr="00E93710">
        <w:rPr>
          <w:i/>
          <w:iCs/>
          <w:lang w:val="uk-UA"/>
        </w:rPr>
        <w:t> </w:t>
      </w:r>
      <w:proofErr w:type="spellStart"/>
      <w:r w:rsidR="00D83351" w:rsidRPr="00E93710">
        <w:rPr>
          <w:i/>
          <w:iCs/>
          <w:lang w:val="uk-UA"/>
        </w:rPr>
        <w:t>Albania</w:t>
      </w:r>
      <w:proofErr w:type="spellEnd"/>
      <w:r w:rsidR="00D83351" w:rsidRPr="00E93710">
        <w:rPr>
          <w:lang w:val="uk-UA"/>
        </w:rPr>
        <w:t xml:space="preserve">, </w:t>
      </w:r>
      <w:r w:rsidR="00FC58BC" w:rsidRPr="000A38E5">
        <w:rPr>
          <w:snapToGrid w:val="0"/>
          <w:lang w:val="uk-UA" w:eastAsia="en-GB"/>
        </w:rPr>
        <w:t>№</w:t>
      </w:r>
      <w:r w:rsidR="00D83351" w:rsidRPr="00E93710">
        <w:rPr>
          <w:snapToGrid w:val="0"/>
          <w:lang w:val="uk-UA" w:eastAsia="en-GB"/>
        </w:rPr>
        <w:t> </w:t>
      </w:r>
      <w:r w:rsidR="00D83351" w:rsidRPr="00E93710">
        <w:rPr>
          <w:lang w:val="uk-UA"/>
        </w:rPr>
        <w:t xml:space="preserve">14816/08, </w:t>
      </w:r>
      <w:r w:rsidR="00D83351" w:rsidRPr="00E93710">
        <w:rPr>
          <w:snapToGrid w:val="0"/>
          <w:lang w:val="uk-UA"/>
        </w:rPr>
        <w:t xml:space="preserve">§ 65, 22 </w:t>
      </w:r>
      <w:r w:rsidR="00FC58BC" w:rsidRPr="000A38E5">
        <w:rPr>
          <w:snapToGrid w:val="0"/>
          <w:lang w:val="uk-UA"/>
        </w:rPr>
        <w:t>травня</w:t>
      </w:r>
      <w:r w:rsidR="00D83351" w:rsidRPr="00E93710">
        <w:rPr>
          <w:snapToGrid w:val="0"/>
          <w:lang w:val="uk-UA"/>
        </w:rPr>
        <w:t xml:space="preserve"> 2018</w:t>
      </w:r>
      <w:r w:rsidR="00D83351" w:rsidRPr="00E93710">
        <w:rPr>
          <w:lang w:val="uk-UA"/>
        </w:rPr>
        <w:t>).</w:t>
      </w:r>
    </w:p>
    <w:p w:rsidR="00D83351" w:rsidRPr="000A38E5" w:rsidRDefault="00D83351" w:rsidP="00852217">
      <w:pPr>
        <w:pStyle w:val="ECHRHeading2"/>
        <w:rPr>
          <w:lang w:val="uk-UA"/>
        </w:rPr>
      </w:pPr>
      <w:r w:rsidRPr="00E93710">
        <w:rPr>
          <w:lang w:val="uk-UA"/>
        </w:rPr>
        <w:t>B.</w:t>
      </w:r>
      <w:r w:rsidR="002F642F" w:rsidRPr="00E93710">
        <w:rPr>
          <w:lang w:val="uk-UA"/>
        </w:rPr>
        <w:t> Компенсація</w:t>
      </w:r>
      <w:r w:rsidR="00FC58BC" w:rsidRPr="000A38E5">
        <w:rPr>
          <w:lang w:val="uk-UA"/>
        </w:rPr>
        <w:t xml:space="preserve"> судових витрат</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292</w:t>
      </w:r>
      <w:r w:rsidRPr="00E93710">
        <w:rPr>
          <w:noProof/>
          <w:lang w:val="uk-UA"/>
        </w:rPr>
        <w:fldChar w:fldCharType="end"/>
      </w:r>
      <w:r w:rsidR="00D83351" w:rsidRPr="00E93710">
        <w:rPr>
          <w:lang w:val="uk-UA"/>
        </w:rPr>
        <w:t>.</w:t>
      </w:r>
      <w:r w:rsidR="00334477" w:rsidRPr="000A38E5">
        <w:rPr>
          <w:lang w:val="uk-UA"/>
        </w:rPr>
        <w:t xml:space="preserve"> </w:t>
      </w:r>
      <w:r w:rsidR="00E4676F" w:rsidRPr="000A38E5">
        <w:rPr>
          <w:lang w:val="uk-UA"/>
        </w:rPr>
        <w:t>Заявники також вимагали сплатити їм</w:t>
      </w:r>
      <w:r w:rsidR="00D83351" w:rsidRPr="00E93710">
        <w:rPr>
          <w:lang w:val="uk-UA"/>
        </w:rPr>
        <w:t xml:space="preserve"> 13,608 </w:t>
      </w:r>
      <w:r w:rsidR="00E4676F" w:rsidRPr="000A38E5">
        <w:rPr>
          <w:lang w:val="uk-UA"/>
        </w:rPr>
        <w:t>євро в якості компенсації судових витрат, понесених у національних судах, та</w:t>
      </w:r>
      <w:r w:rsidR="00D83351" w:rsidRPr="00E93710">
        <w:rPr>
          <w:lang w:val="uk-UA"/>
        </w:rPr>
        <w:t xml:space="preserve"> 9,912 </w:t>
      </w:r>
      <w:r w:rsidR="00E4676F" w:rsidRPr="000A38E5">
        <w:rPr>
          <w:lang w:val="uk-UA"/>
        </w:rPr>
        <w:t>євро в якості компенсації судових витрат, понесених у Суді</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293</w:t>
      </w:r>
      <w:r w:rsidRPr="00E93710">
        <w:rPr>
          <w:noProof/>
          <w:lang w:val="uk-UA"/>
        </w:rPr>
        <w:fldChar w:fldCharType="end"/>
      </w:r>
      <w:r w:rsidR="00D83351" w:rsidRPr="00E93710">
        <w:rPr>
          <w:lang w:val="uk-UA"/>
        </w:rPr>
        <w:t>.</w:t>
      </w:r>
      <w:r w:rsidR="00334477" w:rsidRPr="000A38E5">
        <w:rPr>
          <w:lang w:val="uk-UA"/>
        </w:rPr>
        <w:t xml:space="preserve"> </w:t>
      </w:r>
      <w:r w:rsidR="00E4676F" w:rsidRPr="000A38E5">
        <w:rPr>
          <w:lang w:val="uk-UA"/>
        </w:rPr>
        <w:t>Уряд заперечував проти цих вимог</w:t>
      </w:r>
      <w:r w:rsidR="00D83351" w:rsidRPr="00E93710">
        <w:rPr>
          <w:lang w:val="uk-UA"/>
        </w:rPr>
        <w:t xml:space="preserve">. </w:t>
      </w:r>
      <w:r w:rsidR="008B49DA" w:rsidRPr="000A38E5">
        <w:rPr>
          <w:lang w:val="uk-UA"/>
        </w:rPr>
        <w:t>Уряд зазначив, що заявлена сума компенсації</w:t>
      </w:r>
      <w:r w:rsidR="00D83351" w:rsidRPr="00E93710">
        <w:rPr>
          <w:lang w:val="uk-UA"/>
        </w:rPr>
        <w:t xml:space="preserve"> </w:t>
      </w:r>
      <w:r w:rsidR="008B49DA" w:rsidRPr="000A38E5">
        <w:rPr>
          <w:lang w:val="uk-UA"/>
        </w:rPr>
        <w:t>за провадження в національних судах стосувалася чотирнадцяти клієнтів</w:t>
      </w:r>
      <w:r w:rsidR="00D83351" w:rsidRPr="00E93710">
        <w:rPr>
          <w:lang w:val="uk-UA"/>
        </w:rPr>
        <w:t xml:space="preserve"> </w:t>
      </w:r>
      <w:r w:rsidR="008B49DA" w:rsidRPr="000A38E5">
        <w:rPr>
          <w:lang w:val="uk-UA"/>
        </w:rPr>
        <w:t>у національних провадженнях</w:t>
      </w:r>
      <w:r w:rsidR="00D83351" w:rsidRPr="00E93710">
        <w:rPr>
          <w:lang w:val="uk-UA"/>
        </w:rPr>
        <w:t xml:space="preserve">, </w:t>
      </w:r>
      <w:r w:rsidR="008B49DA" w:rsidRPr="000A38E5">
        <w:rPr>
          <w:lang w:val="uk-UA"/>
        </w:rPr>
        <w:t>тільки одинадцять з яких були заявниками</w:t>
      </w:r>
      <w:r w:rsidR="00D83351" w:rsidRPr="00E93710">
        <w:rPr>
          <w:lang w:val="uk-UA"/>
        </w:rPr>
        <w:t xml:space="preserve">. </w:t>
      </w:r>
      <w:r w:rsidR="008B49DA" w:rsidRPr="000A38E5">
        <w:rPr>
          <w:lang w:val="uk-UA"/>
        </w:rPr>
        <w:t>Вимоги стосовно адміністративних та поштових витрат не підтримувалися</w:t>
      </w:r>
      <w:r w:rsidR="00D83351" w:rsidRPr="00E93710">
        <w:rPr>
          <w:lang w:val="uk-UA"/>
        </w:rPr>
        <w:t xml:space="preserve"> </w:t>
      </w:r>
      <w:r w:rsidR="008B49DA" w:rsidRPr="000A38E5">
        <w:rPr>
          <w:lang w:val="uk-UA"/>
        </w:rPr>
        <w:t>належною документацією, а загальна заявлена сума</w:t>
      </w:r>
      <w:r w:rsidR="00D83351" w:rsidRPr="00E93710">
        <w:rPr>
          <w:lang w:val="uk-UA"/>
        </w:rPr>
        <w:t>, 20,328</w:t>
      </w:r>
      <w:r w:rsidR="008B49DA" w:rsidRPr="00E93710">
        <w:rPr>
          <w:lang w:val="uk-UA"/>
        </w:rPr>
        <w:t xml:space="preserve"> євро</w:t>
      </w:r>
      <w:r w:rsidR="00D83351" w:rsidRPr="00E93710">
        <w:rPr>
          <w:lang w:val="uk-UA"/>
        </w:rPr>
        <w:t xml:space="preserve">, </w:t>
      </w:r>
      <w:r w:rsidR="008B49DA" w:rsidRPr="000A38E5">
        <w:rPr>
          <w:lang w:val="uk-UA"/>
        </w:rPr>
        <w:t>не могла вважатися тою, що дійсно мала місце</w:t>
      </w:r>
      <w:r w:rsidR="00D83351" w:rsidRPr="00E93710">
        <w:rPr>
          <w:lang w:val="uk-UA"/>
        </w:rPr>
        <w:t>.</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294</w:t>
      </w:r>
      <w:r w:rsidRPr="00E93710">
        <w:rPr>
          <w:noProof/>
          <w:lang w:val="uk-UA"/>
        </w:rPr>
        <w:fldChar w:fldCharType="end"/>
      </w:r>
      <w:r w:rsidR="00D83351" w:rsidRPr="00E93710">
        <w:rPr>
          <w:lang w:val="uk-UA"/>
        </w:rPr>
        <w:t>.</w:t>
      </w:r>
      <w:r w:rsidR="00334477" w:rsidRPr="000A38E5">
        <w:rPr>
          <w:lang w:val="uk-UA"/>
        </w:rPr>
        <w:t xml:space="preserve"> </w:t>
      </w:r>
      <w:r w:rsidR="008B49DA" w:rsidRPr="000A38E5">
        <w:rPr>
          <w:lang w:val="uk-UA"/>
        </w:rPr>
        <w:t xml:space="preserve">Відповідно до </w:t>
      </w:r>
      <w:proofErr w:type="spellStart"/>
      <w:r w:rsidR="008B49DA" w:rsidRPr="000A38E5">
        <w:rPr>
          <w:lang w:val="uk-UA"/>
        </w:rPr>
        <w:t>прецедентного</w:t>
      </w:r>
      <w:proofErr w:type="spellEnd"/>
      <w:r w:rsidR="008B49DA" w:rsidRPr="000A38E5">
        <w:rPr>
          <w:lang w:val="uk-UA"/>
        </w:rPr>
        <w:t xml:space="preserve"> права Суду, заявник має право на компенсацію судових витрат</w:t>
      </w:r>
      <w:r w:rsidR="00D83351" w:rsidRPr="00E93710">
        <w:rPr>
          <w:lang w:val="uk-UA"/>
        </w:rPr>
        <w:t xml:space="preserve"> </w:t>
      </w:r>
      <w:r w:rsidR="008B49DA" w:rsidRPr="000A38E5">
        <w:rPr>
          <w:lang w:val="uk-UA"/>
        </w:rPr>
        <w:t>тільки в той мірі, в якій було доведено, що вони дійсно відбулися, були необхідними та розумними за обсягом</w:t>
      </w:r>
      <w:r w:rsidR="00D83351" w:rsidRPr="00E93710">
        <w:rPr>
          <w:lang w:val="uk-UA"/>
        </w:rPr>
        <w:t xml:space="preserve">. </w:t>
      </w:r>
      <w:r w:rsidR="008B49DA" w:rsidRPr="000A38E5">
        <w:rPr>
          <w:lang w:val="uk-UA"/>
        </w:rPr>
        <w:t>У даній справі, беручи до уваги документи у своєму розпорядженні</w:t>
      </w:r>
      <w:r w:rsidR="00D83351" w:rsidRPr="00E93710">
        <w:rPr>
          <w:lang w:val="uk-UA"/>
        </w:rPr>
        <w:t xml:space="preserve"> </w:t>
      </w:r>
      <w:r w:rsidR="008B49DA" w:rsidRPr="000A38E5">
        <w:rPr>
          <w:lang w:val="uk-UA"/>
        </w:rPr>
        <w:t>та наведені вище критерії, зокрема – складність справи</w:t>
      </w:r>
      <w:r w:rsidR="00D83351" w:rsidRPr="00E93710">
        <w:rPr>
          <w:lang w:val="uk-UA"/>
        </w:rPr>
        <w:t xml:space="preserve">, </w:t>
      </w:r>
      <w:r w:rsidR="008B49DA" w:rsidRPr="000A38E5">
        <w:rPr>
          <w:lang w:val="uk-UA"/>
        </w:rPr>
        <w:t xml:space="preserve">Суд вважає розумним присудити першому, </w:t>
      </w:r>
      <w:r w:rsidR="008B49DA" w:rsidRPr="000A38E5">
        <w:rPr>
          <w:lang w:val="uk-UA"/>
        </w:rPr>
        <w:lastRenderedPageBreak/>
        <w:t>другому</w:t>
      </w:r>
      <w:r w:rsidR="00D83351" w:rsidRPr="00E93710">
        <w:rPr>
          <w:lang w:val="uk-UA"/>
        </w:rPr>
        <w:t xml:space="preserve">, </w:t>
      </w:r>
      <w:r w:rsidR="008B49DA" w:rsidRPr="000A38E5">
        <w:rPr>
          <w:lang w:val="uk-UA"/>
        </w:rPr>
        <w:t>шостому, сьомому та дев’ятому заявникам</w:t>
      </w:r>
      <w:r w:rsidR="00D83351" w:rsidRPr="00E93710">
        <w:rPr>
          <w:lang w:val="uk-UA"/>
        </w:rPr>
        <w:t xml:space="preserve"> </w:t>
      </w:r>
      <w:r w:rsidR="008B49DA" w:rsidRPr="000A38E5">
        <w:rPr>
          <w:lang w:val="uk-UA"/>
        </w:rPr>
        <w:t>спільно суму</w:t>
      </w:r>
      <w:r w:rsidR="00D83351" w:rsidRPr="00E93710">
        <w:rPr>
          <w:lang w:val="uk-UA"/>
        </w:rPr>
        <w:t xml:space="preserve"> </w:t>
      </w:r>
      <w:r w:rsidR="00D83351" w:rsidRPr="00E93710">
        <w:rPr>
          <w:bCs/>
          <w:lang w:val="uk-UA"/>
        </w:rPr>
        <w:t>16,600</w:t>
      </w:r>
      <w:r w:rsidR="00D83351" w:rsidRPr="00E93710">
        <w:rPr>
          <w:lang w:val="uk-UA"/>
        </w:rPr>
        <w:t xml:space="preserve"> </w:t>
      </w:r>
      <w:r w:rsidR="003A399B" w:rsidRPr="000A38E5">
        <w:rPr>
          <w:lang w:val="uk-UA"/>
        </w:rPr>
        <w:t>євро стосовно усіх стат</w:t>
      </w:r>
      <w:r w:rsidR="008B49DA" w:rsidRPr="000A38E5">
        <w:rPr>
          <w:lang w:val="uk-UA"/>
        </w:rPr>
        <w:t>ей</w:t>
      </w:r>
      <w:r w:rsidR="00D83351" w:rsidRPr="00E93710">
        <w:rPr>
          <w:lang w:val="uk-UA"/>
        </w:rPr>
        <w:t>.</w:t>
      </w:r>
    </w:p>
    <w:p w:rsidR="00D83351" w:rsidRPr="000A38E5" w:rsidRDefault="00D83351" w:rsidP="00852217">
      <w:pPr>
        <w:pStyle w:val="ECHRHeading2"/>
        <w:rPr>
          <w:lang w:val="uk-UA"/>
        </w:rPr>
      </w:pPr>
      <w:r w:rsidRPr="00E93710">
        <w:rPr>
          <w:lang w:val="uk-UA"/>
        </w:rPr>
        <w:t>C.</w:t>
      </w:r>
      <w:r w:rsidR="00334477" w:rsidRPr="000A38E5">
        <w:rPr>
          <w:lang w:val="uk-UA"/>
        </w:rPr>
        <w:t xml:space="preserve"> </w:t>
      </w:r>
      <w:r w:rsidR="003A399B" w:rsidRPr="000A38E5">
        <w:rPr>
          <w:lang w:val="uk-UA"/>
        </w:rPr>
        <w:t>Пеня</w:t>
      </w:r>
    </w:p>
    <w:p w:rsidR="00D83351" w:rsidRPr="00E93710" w:rsidRDefault="004E7608" w:rsidP="00852217">
      <w:pPr>
        <w:pStyle w:val="ECHRPara"/>
        <w:rPr>
          <w:lang w:val="uk-UA"/>
        </w:rPr>
      </w:pPr>
      <w:r w:rsidRPr="00E93710">
        <w:rPr>
          <w:lang w:val="uk-UA"/>
        </w:rPr>
        <w:fldChar w:fldCharType="begin"/>
      </w:r>
      <w:r w:rsidR="007C6EE5" w:rsidRPr="00E93710">
        <w:rPr>
          <w:lang w:val="uk-UA"/>
        </w:rPr>
        <w:instrText xml:space="preserve"> SEQ level0 \*arabic </w:instrText>
      </w:r>
      <w:r w:rsidRPr="00E93710">
        <w:rPr>
          <w:lang w:val="uk-UA"/>
        </w:rPr>
        <w:fldChar w:fldCharType="separate"/>
      </w:r>
      <w:r w:rsidR="0075299E" w:rsidRPr="00E93710">
        <w:rPr>
          <w:noProof/>
          <w:lang w:val="uk-UA"/>
        </w:rPr>
        <w:t>295</w:t>
      </w:r>
      <w:r w:rsidRPr="00E93710">
        <w:rPr>
          <w:noProof/>
          <w:lang w:val="uk-UA"/>
        </w:rPr>
        <w:fldChar w:fldCharType="end"/>
      </w:r>
      <w:r w:rsidR="00D83351" w:rsidRPr="00E93710">
        <w:rPr>
          <w:lang w:val="uk-UA"/>
        </w:rPr>
        <w:t>.</w:t>
      </w:r>
      <w:r w:rsidR="00334477" w:rsidRPr="000A38E5">
        <w:rPr>
          <w:lang w:val="uk-UA"/>
        </w:rPr>
        <w:t xml:space="preserve"> </w:t>
      </w:r>
      <w:r w:rsidR="003A399B" w:rsidRPr="000A38E5">
        <w:rPr>
          <w:lang w:val="uk-UA"/>
        </w:rPr>
        <w:t xml:space="preserve">Суд вважає розумним, що пеня повинна бути встановлена у розмірі </w:t>
      </w:r>
      <w:r w:rsidR="003A399B" w:rsidRPr="000A38E5">
        <w:rPr>
          <w:rStyle w:val="hps"/>
          <w:lang w:val="uk-UA"/>
        </w:rPr>
        <w:t>граничної</w:t>
      </w:r>
      <w:r w:rsidR="003A399B" w:rsidRPr="000A38E5">
        <w:rPr>
          <w:lang w:val="uk-UA"/>
        </w:rPr>
        <w:t xml:space="preserve"> </w:t>
      </w:r>
      <w:r w:rsidR="003A399B" w:rsidRPr="000A38E5">
        <w:rPr>
          <w:rStyle w:val="hps"/>
          <w:lang w:val="uk-UA"/>
        </w:rPr>
        <w:t>відсоткової</w:t>
      </w:r>
      <w:r w:rsidR="003A399B" w:rsidRPr="000A38E5">
        <w:rPr>
          <w:lang w:val="uk-UA"/>
        </w:rPr>
        <w:t xml:space="preserve"> </w:t>
      </w:r>
      <w:r w:rsidR="003A399B" w:rsidRPr="000A38E5">
        <w:rPr>
          <w:rStyle w:val="hps"/>
          <w:lang w:val="uk-UA"/>
        </w:rPr>
        <w:t>ставки Європейського</w:t>
      </w:r>
      <w:r w:rsidR="003A399B" w:rsidRPr="000A38E5">
        <w:rPr>
          <w:lang w:val="uk-UA"/>
        </w:rPr>
        <w:t xml:space="preserve"> </w:t>
      </w:r>
      <w:r w:rsidR="003A399B" w:rsidRPr="000A38E5">
        <w:rPr>
          <w:rStyle w:val="hps"/>
          <w:lang w:val="uk-UA"/>
        </w:rPr>
        <w:t>центрального банку,</w:t>
      </w:r>
      <w:r w:rsidR="003A399B" w:rsidRPr="000A38E5">
        <w:rPr>
          <w:lang w:val="uk-UA"/>
        </w:rPr>
        <w:t xml:space="preserve"> </w:t>
      </w:r>
      <w:r w:rsidR="003A399B" w:rsidRPr="000A38E5">
        <w:rPr>
          <w:rStyle w:val="hps"/>
          <w:lang w:val="uk-UA"/>
        </w:rPr>
        <w:t>до якої слід</w:t>
      </w:r>
      <w:r w:rsidR="003A399B" w:rsidRPr="000A38E5">
        <w:rPr>
          <w:lang w:val="uk-UA"/>
        </w:rPr>
        <w:t xml:space="preserve"> </w:t>
      </w:r>
      <w:r w:rsidR="003A399B" w:rsidRPr="000A38E5">
        <w:rPr>
          <w:rStyle w:val="hps"/>
          <w:lang w:val="uk-UA"/>
        </w:rPr>
        <w:t>додати</w:t>
      </w:r>
      <w:r w:rsidR="003A399B" w:rsidRPr="000A38E5">
        <w:rPr>
          <w:lang w:val="uk-UA"/>
        </w:rPr>
        <w:t xml:space="preserve"> </w:t>
      </w:r>
      <w:r w:rsidR="003A399B" w:rsidRPr="000A38E5">
        <w:rPr>
          <w:rStyle w:val="hps"/>
          <w:lang w:val="uk-UA"/>
        </w:rPr>
        <w:t>три відсоткових пункти</w:t>
      </w:r>
      <w:r w:rsidR="00D83351" w:rsidRPr="00E93710">
        <w:rPr>
          <w:lang w:val="uk-UA"/>
        </w:rPr>
        <w:t>.</w:t>
      </w:r>
    </w:p>
    <w:p w:rsidR="00D83351" w:rsidRPr="00E93710" w:rsidRDefault="003A399B" w:rsidP="00852217">
      <w:pPr>
        <w:pStyle w:val="ECHRTitle1"/>
        <w:rPr>
          <w:lang w:val="uk-UA"/>
        </w:rPr>
      </w:pPr>
      <w:r w:rsidRPr="000A38E5">
        <w:rPr>
          <w:lang w:val="uk-UA"/>
        </w:rPr>
        <w:t>ЗА ЦИХ ПІДСТАВ СУД</w:t>
      </w:r>
      <w:r w:rsidR="00D83351" w:rsidRPr="00E93710">
        <w:rPr>
          <w:lang w:val="uk-UA"/>
        </w:rPr>
        <w:t>,</w:t>
      </w:r>
    </w:p>
    <w:p w:rsidR="00D83351" w:rsidRPr="00E93710" w:rsidRDefault="00D83351" w:rsidP="00852217">
      <w:pPr>
        <w:pStyle w:val="JuList"/>
        <w:rPr>
          <w:lang w:val="uk-UA"/>
        </w:rPr>
      </w:pPr>
      <w:r w:rsidRPr="00E93710">
        <w:rPr>
          <w:lang w:val="uk-UA"/>
        </w:rPr>
        <w:t>1.</w:t>
      </w:r>
      <w:r w:rsidR="00334477" w:rsidRPr="000A38E5">
        <w:rPr>
          <w:lang w:val="uk-UA"/>
        </w:rPr>
        <w:t xml:space="preserve"> </w:t>
      </w:r>
      <w:r w:rsidR="00885E0C" w:rsidRPr="000A38E5">
        <w:rPr>
          <w:i/>
          <w:lang w:val="uk-UA"/>
        </w:rPr>
        <w:t>Оголошує</w:t>
      </w:r>
      <w:r w:rsidRPr="00E93710">
        <w:rPr>
          <w:lang w:val="uk-UA"/>
        </w:rPr>
        <w:t xml:space="preserve">, </w:t>
      </w:r>
      <w:r w:rsidR="00885E0C" w:rsidRPr="000A38E5">
        <w:rPr>
          <w:lang w:val="uk-UA"/>
        </w:rPr>
        <w:t>одноголосно, наступні скарги прийнятними</w:t>
      </w:r>
      <w:r w:rsidRPr="00E93710">
        <w:rPr>
          <w:lang w:val="uk-UA"/>
        </w:rPr>
        <w:t>:</w:t>
      </w:r>
    </w:p>
    <w:p w:rsidR="00D83351" w:rsidRPr="00E93710" w:rsidRDefault="00D83351" w:rsidP="00852217">
      <w:pPr>
        <w:pStyle w:val="JuLista"/>
        <w:rPr>
          <w:lang w:val="uk-UA"/>
        </w:rPr>
      </w:pPr>
      <w:r w:rsidRPr="00E93710">
        <w:rPr>
          <w:lang w:val="uk-UA"/>
        </w:rPr>
        <w:t>(a)</w:t>
      </w:r>
      <w:r w:rsidR="00334477" w:rsidRPr="000A38E5">
        <w:rPr>
          <w:lang w:val="uk-UA"/>
        </w:rPr>
        <w:t xml:space="preserve"> </w:t>
      </w:r>
      <w:r w:rsidR="00885E0C" w:rsidRPr="000A38E5">
        <w:rPr>
          <w:lang w:val="uk-UA"/>
        </w:rPr>
        <w:t>скарги сьомого та дев’ятого заявників за статтею 3 Конвенції</w:t>
      </w:r>
      <w:r w:rsidRPr="00E93710">
        <w:rPr>
          <w:lang w:val="uk-UA"/>
        </w:rPr>
        <w:t>,</w:t>
      </w:r>
    </w:p>
    <w:p w:rsidR="00D83351" w:rsidRPr="00E93710" w:rsidRDefault="00D83351" w:rsidP="00852217">
      <w:pPr>
        <w:pStyle w:val="JuLista"/>
        <w:rPr>
          <w:lang w:val="uk-UA"/>
        </w:rPr>
      </w:pPr>
      <w:r w:rsidRPr="00E93710">
        <w:rPr>
          <w:lang w:val="uk-UA"/>
        </w:rPr>
        <w:t>(b)</w:t>
      </w:r>
      <w:r w:rsidR="00334477" w:rsidRPr="000A38E5">
        <w:rPr>
          <w:lang w:val="uk-UA"/>
        </w:rPr>
        <w:t xml:space="preserve"> </w:t>
      </w:r>
      <w:r w:rsidR="00885E0C" w:rsidRPr="000A38E5">
        <w:rPr>
          <w:lang w:val="uk-UA"/>
        </w:rPr>
        <w:t>скарги першого та другого заявників за статтею</w:t>
      </w:r>
      <w:r w:rsidRPr="00E93710">
        <w:rPr>
          <w:lang w:val="uk-UA"/>
        </w:rPr>
        <w:t xml:space="preserve"> 6 § 1 </w:t>
      </w:r>
      <w:r w:rsidR="00885E0C" w:rsidRPr="000A38E5">
        <w:rPr>
          <w:lang w:val="uk-UA"/>
        </w:rPr>
        <w:t>Конвенції</w:t>
      </w:r>
      <w:r w:rsidRPr="00E93710">
        <w:rPr>
          <w:lang w:val="uk-UA"/>
        </w:rPr>
        <w:t>,</w:t>
      </w:r>
    </w:p>
    <w:p w:rsidR="00D83351" w:rsidRPr="000A38E5" w:rsidRDefault="00D83351" w:rsidP="00852217">
      <w:pPr>
        <w:pStyle w:val="JuLista"/>
        <w:rPr>
          <w:lang w:val="uk-UA"/>
        </w:rPr>
      </w:pPr>
      <w:r w:rsidRPr="00E93710">
        <w:rPr>
          <w:lang w:val="uk-UA"/>
        </w:rPr>
        <w:t>(c)</w:t>
      </w:r>
      <w:r w:rsidR="00334477" w:rsidRPr="000A38E5">
        <w:rPr>
          <w:lang w:val="uk-UA"/>
        </w:rPr>
        <w:t xml:space="preserve"> </w:t>
      </w:r>
      <w:r w:rsidR="00885E0C" w:rsidRPr="000A38E5">
        <w:rPr>
          <w:lang w:val="uk-UA"/>
        </w:rPr>
        <w:t>Скарги з першого до шостого заявників за статтею</w:t>
      </w:r>
      <w:r w:rsidRPr="00E93710">
        <w:rPr>
          <w:lang w:val="uk-UA"/>
        </w:rPr>
        <w:t xml:space="preserve"> 11 </w:t>
      </w:r>
      <w:r w:rsidR="00885E0C" w:rsidRPr="000A38E5">
        <w:rPr>
          <w:lang w:val="uk-UA"/>
        </w:rPr>
        <w:t>Конвенції стосовно їх арешту та засудження, а також</w:t>
      </w:r>
    </w:p>
    <w:p w:rsidR="00D83351" w:rsidRPr="00E93710" w:rsidRDefault="00D83351" w:rsidP="00852217">
      <w:pPr>
        <w:pStyle w:val="JuLista"/>
        <w:rPr>
          <w:lang w:val="uk-UA"/>
        </w:rPr>
      </w:pPr>
      <w:r w:rsidRPr="00E93710">
        <w:rPr>
          <w:lang w:val="uk-UA"/>
        </w:rPr>
        <w:t>(d)</w:t>
      </w:r>
      <w:r w:rsidR="00334477" w:rsidRPr="000A38E5">
        <w:rPr>
          <w:lang w:val="uk-UA"/>
        </w:rPr>
        <w:t xml:space="preserve"> </w:t>
      </w:r>
      <w:r w:rsidR="00435D84" w:rsidRPr="000A38E5">
        <w:rPr>
          <w:lang w:val="uk-UA"/>
        </w:rPr>
        <w:t>скарги сьомого та дев’ятого заявників за статтею</w:t>
      </w:r>
      <w:r w:rsidRPr="00E93710">
        <w:rPr>
          <w:lang w:val="uk-UA"/>
        </w:rPr>
        <w:t xml:space="preserve"> 11 </w:t>
      </w:r>
      <w:r w:rsidR="00435D84" w:rsidRPr="000A38E5">
        <w:rPr>
          <w:lang w:val="uk-UA"/>
        </w:rPr>
        <w:t>Конвенції стосовно фізичного насилля проти них, відповідно</w:t>
      </w:r>
      <w:r w:rsidRPr="00E93710">
        <w:rPr>
          <w:lang w:val="uk-UA"/>
        </w:rPr>
        <w:t xml:space="preserve">, 31 </w:t>
      </w:r>
      <w:r w:rsidR="00435D84" w:rsidRPr="000A38E5">
        <w:rPr>
          <w:lang w:val="uk-UA"/>
        </w:rPr>
        <w:t>та</w:t>
      </w:r>
      <w:r w:rsidRPr="00E93710">
        <w:rPr>
          <w:lang w:val="uk-UA"/>
        </w:rPr>
        <w:t xml:space="preserve"> 27 </w:t>
      </w:r>
      <w:r w:rsidR="00435D84" w:rsidRPr="000A38E5">
        <w:rPr>
          <w:lang w:val="uk-UA"/>
        </w:rPr>
        <w:t>травня</w:t>
      </w:r>
      <w:r w:rsidRPr="00E93710">
        <w:rPr>
          <w:lang w:val="uk-UA"/>
        </w:rPr>
        <w:t xml:space="preserve"> 2010</w:t>
      </w:r>
      <w:r w:rsidR="00435D84" w:rsidRPr="00E93710">
        <w:rPr>
          <w:lang w:val="uk-UA"/>
        </w:rPr>
        <w:t xml:space="preserve"> р</w:t>
      </w:r>
      <w:r w:rsidRPr="00E93710">
        <w:rPr>
          <w:lang w:val="uk-UA"/>
        </w:rPr>
        <w:t>;</w:t>
      </w:r>
    </w:p>
    <w:p w:rsidR="00D83351" w:rsidRPr="00E93710" w:rsidRDefault="00D83351" w:rsidP="00852217">
      <w:pPr>
        <w:pStyle w:val="JuList"/>
        <w:ind w:left="0" w:firstLine="0"/>
        <w:rPr>
          <w:lang w:val="uk-UA"/>
        </w:rPr>
      </w:pPr>
    </w:p>
    <w:p w:rsidR="00D83351" w:rsidRPr="00E93710" w:rsidRDefault="00D83351" w:rsidP="00852217">
      <w:pPr>
        <w:pStyle w:val="JuList"/>
        <w:rPr>
          <w:b/>
          <w:lang w:val="uk-UA"/>
        </w:rPr>
      </w:pPr>
      <w:r w:rsidRPr="00E93710">
        <w:rPr>
          <w:lang w:val="uk-UA"/>
        </w:rPr>
        <w:t>2.</w:t>
      </w:r>
      <w:r w:rsidR="00334477" w:rsidRPr="000A38E5">
        <w:rPr>
          <w:lang w:val="uk-UA"/>
        </w:rPr>
        <w:t xml:space="preserve"> </w:t>
      </w:r>
      <w:r w:rsidR="00435D84" w:rsidRPr="000A38E5">
        <w:rPr>
          <w:i/>
          <w:lang w:val="uk-UA"/>
        </w:rPr>
        <w:t>Оголошує</w:t>
      </w:r>
      <w:r w:rsidRPr="00E93710">
        <w:rPr>
          <w:lang w:val="uk-UA"/>
        </w:rPr>
        <w:t xml:space="preserve">, </w:t>
      </w:r>
      <w:r w:rsidR="00435D84" w:rsidRPr="000A38E5">
        <w:rPr>
          <w:lang w:val="uk-UA"/>
        </w:rPr>
        <w:t>шістьма голосами проти одного</w:t>
      </w:r>
      <w:r w:rsidRPr="00E93710">
        <w:rPr>
          <w:lang w:val="uk-UA"/>
        </w:rPr>
        <w:t xml:space="preserve">, </w:t>
      </w:r>
      <w:r w:rsidR="00435D84" w:rsidRPr="000A38E5">
        <w:rPr>
          <w:lang w:val="uk-UA"/>
        </w:rPr>
        <w:t>решту заяви неприйнятною</w:t>
      </w:r>
      <w:r w:rsidRPr="00E93710">
        <w:rPr>
          <w:lang w:val="uk-UA"/>
        </w:rPr>
        <w:t>;</w:t>
      </w:r>
    </w:p>
    <w:p w:rsidR="00D83351" w:rsidRPr="00E93710" w:rsidRDefault="00D83351" w:rsidP="00852217">
      <w:pPr>
        <w:pStyle w:val="JuList"/>
        <w:ind w:left="0" w:firstLine="0"/>
        <w:rPr>
          <w:lang w:val="uk-UA"/>
        </w:rPr>
      </w:pPr>
    </w:p>
    <w:p w:rsidR="00D83351" w:rsidRPr="00E93710" w:rsidRDefault="00D83351" w:rsidP="00852217">
      <w:pPr>
        <w:pStyle w:val="JuList"/>
        <w:rPr>
          <w:lang w:val="uk-UA"/>
        </w:rPr>
      </w:pPr>
      <w:r w:rsidRPr="00E93710">
        <w:rPr>
          <w:lang w:val="uk-UA"/>
        </w:rPr>
        <w:t>3.</w:t>
      </w:r>
      <w:r w:rsidR="00334477" w:rsidRPr="000A38E5">
        <w:rPr>
          <w:lang w:val="uk-UA"/>
        </w:rPr>
        <w:t xml:space="preserve"> </w:t>
      </w:r>
      <w:r w:rsidR="00435D84" w:rsidRPr="000A38E5">
        <w:rPr>
          <w:i/>
          <w:lang w:val="uk-UA"/>
        </w:rPr>
        <w:t>Постановляє</w:t>
      </w:r>
      <w:r w:rsidRPr="00E93710">
        <w:rPr>
          <w:lang w:val="uk-UA"/>
        </w:rPr>
        <w:t xml:space="preserve">, </w:t>
      </w:r>
      <w:r w:rsidR="00D63748" w:rsidRPr="000A38E5">
        <w:rPr>
          <w:lang w:val="uk-UA"/>
        </w:rPr>
        <w:t>шістьма голосами проти одного</w:t>
      </w:r>
      <w:r w:rsidRPr="00E93710">
        <w:rPr>
          <w:lang w:val="uk-UA"/>
        </w:rPr>
        <w:t>,</w:t>
      </w:r>
      <w:r w:rsidRPr="00E93710">
        <w:rPr>
          <w:color w:val="000000"/>
          <w:lang w:val="uk-UA"/>
        </w:rPr>
        <w:t xml:space="preserve"> </w:t>
      </w:r>
      <w:r w:rsidR="00D63748" w:rsidRPr="000A38E5">
        <w:rPr>
          <w:lang w:val="uk-UA"/>
        </w:rPr>
        <w:t>що не було порушення статті 3 Конвенції</w:t>
      </w:r>
      <w:r w:rsidRPr="00E93710">
        <w:rPr>
          <w:lang w:val="uk-UA"/>
        </w:rPr>
        <w:t xml:space="preserve"> </w:t>
      </w:r>
      <w:r w:rsidR="00D63748" w:rsidRPr="000A38E5">
        <w:rPr>
          <w:lang w:val="uk-UA"/>
        </w:rPr>
        <w:t>у її матеріальному аспекті стосовно сьомого та дев’ятого заявників</w:t>
      </w:r>
      <w:r w:rsidRPr="00E93710">
        <w:rPr>
          <w:lang w:val="uk-UA"/>
        </w:rPr>
        <w:t>;</w:t>
      </w:r>
    </w:p>
    <w:p w:rsidR="00D83351" w:rsidRPr="00E93710" w:rsidRDefault="00D83351" w:rsidP="00852217">
      <w:pPr>
        <w:pStyle w:val="JuList"/>
        <w:rPr>
          <w:lang w:val="uk-UA"/>
        </w:rPr>
      </w:pPr>
    </w:p>
    <w:p w:rsidR="00D83351" w:rsidRPr="00E93710" w:rsidRDefault="00D83351" w:rsidP="00852217">
      <w:pPr>
        <w:pStyle w:val="JuList"/>
        <w:rPr>
          <w:lang w:val="uk-UA"/>
        </w:rPr>
      </w:pPr>
      <w:r w:rsidRPr="00E93710">
        <w:rPr>
          <w:lang w:val="uk-UA"/>
        </w:rPr>
        <w:t>4.</w:t>
      </w:r>
      <w:r w:rsidR="00334477" w:rsidRPr="000A38E5">
        <w:rPr>
          <w:lang w:val="uk-UA"/>
        </w:rPr>
        <w:t xml:space="preserve"> </w:t>
      </w:r>
      <w:r w:rsidR="00D63748" w:rsidRPr="000A38E5">
        <w:rPr>
          <w:i/>
          <w:lang w:val="uk-UA"/>
        </w:rPr>
        <w:t>Постановляє</w:t>
      </w:r>
      <w:r w:rsidRPr="00E93710">
        <w:rPr>
          <w:lang w:val="uk-UA"/>
        </w:rPr>
        <w:t xml:space="preserve">, </w:t>
      </w:r>
      <w:r w:rsidR="00D63748" w:rsidRPr="000A38E5">
        <w:rPr>
          <w:lang w:val="uk-UA"/>
        </w:rPr>
        <w:t>одноголосно, що мало місце порушення статті</w:t>
      </w:r>
      <w:r w:rsidRPr="00E93710">
        <w:rPr>
          <w:lang w:val="uk-UA"/>
        </w:rPr>
        <w:t xml:space="preserve"> 3 </w:t>
      </w:r>
      <w:r w:rsidR="00D63748" w:rsidRPr="000A38E5">
        <w:rPr>
          <w:lang w:val="uk-UA"/>
        </w:rPr>
        <w:t>Конвенції у її процесуальному аспекті</w:t>
      </w:r>
      <w:r w:rsidRPr="00E93710">
        <w:rPr>
          <w:lang w:val="uk-UA"/>
        </w:rPr>
        <w:t xml:space="preserve"> </w:t>
      </w:r>
      <w:r w:rsidR="00707954" w:rsidRPr="000A38E5">
        <w:rPr>
          <w:lang w:val="uk-UA"/>
        </w:rPr>
        <w:t>стосовно сьомого та дев’ятого заявників</w:t>
      </w:r>
      <w:r w:rsidRPr="00E93710">
        <w:rPr>
          <w:lang w:val="uk-UA"/>
        </w:rPr>
        <w:t>;</w:t>
      </w:r>
    </w:p>
    <w:p w:rsidR="00D83351" w:rsidRPr="00E93710" w:rsidRDefault="00D83351" w:rsidP="00852217">
      <w:pPr>
        <w:pStyle w:val="JuList"/>
        <w:rPr>
          <w:lang w:val="uk-UA"/>
        </w:rPr>
      </w:pPr>
    </w:p>
    <w:p w:rsidR="00D83351" w:rsidRPr="00E93710" w:rsidRDefault="00D83351" w:rsidP="00852217">
      <w:pPr>
        <w:pStyle w:val="JuList"/>
        <w:rPr>
          <w:lang w:val="uk-UA"/>
        </w:rPr>
      </w:pPr>
      <w:r w:rsidRPr="00E93710">
        <w:rPr>
          <w:lang w:val="uk-UA"/>
        </w:rPr>
        <w:t>5.</w:t>
      </w:r>
      <w:r w:rsidR="00334477" w:rsidRPr="000A38E5">
        <w:rPr>
          <w:lang w:val="uk-UA"/>
        </w:rPr>
        <w:t xml:space="preserve"> </w:t>
      </w:r>
      <w:r w:rsidR="00707954" w:rsidRPr="000A38E5">
        <w:rPr>
          <w:i/>
          <w:lang w:val="uk-UA"/>
        </w:rPr>
        <w:t>Постановляє</w:t>
      </w:r>
      <w:r w:rsidRPr="00E93710">
        <w:rPr>
          <w:lang w:val="uk-UA"/>
        </w:rPr>
        <w:t xml:space="preserve">, </w:t>
      </w:r>
      <w:r w:rsidR="00707954" w:rsidRPr="000A38E5">
        <w:rPr>
          <w:lang w:val="uk-UA"/>
        </w:rPr>
        <w:t>одноголосно, що мало місце порушення статті</w:t>
      </w:r>
      <w:r w:rsidRPr="00E93710">
        <w:rPr>
          <w:lang w:val="uk-UA"/>
        </w:rPr>
        <w:t xml:space="preserve"> 6 § 1 </w:t>
      </w:r>
      <w:r w:rsidR="00707954" w:rsidRPr="000A38E5">
        <w:rPr>
          <w:lang w:val="uk-UA"/>
        </w:rPr>
        <w:t>Конвенції стосовно першого та другого заявників</w:t>
      </w:r>
      <w:r w:rsidRPr="00E93710">
        <w:rPr>
          <w:lang w:val="uk-UA"/>
        </w:rPr>
        <w:t>;</w:t>
      </w:r>
    </w:p>
    <w:p w:rsidR="00D83351" w:rsidRPr="00E93710" w:rsidRDefault="00D83351" w:rsidP="00852217">
      <w:pPr>
        <w:pStyle w:val="JuList"/>
        <w:rPr>
          <w:lang w:val="uk-UA"/>
        </w:rPr>
      </w:pPr>
    </w:p>
    <w:p w:rsidR="00D83351" w:rsidRPr="00E93710" w:rsidRDefault="00D83351" w:rsidP="00852217">
      <w:pPr>
        <w:pStyle w:val="JuList"/>
        <w:rPr>
          <w:lang w:val="uk-UA"/>
        </w:rPr>
      </w:pPr>
      <w:r w:rsidRPr="00E93710">
        <w:rPr>
          <w:lang w:val="uk-UA"/>
        </w:rPr>
        <w:t>6.</w:t>
      </w:r>
      <w:r w:rsidR="00334477" w:rsidRPr="000A38E5">
        <w:rPr>
          <w:lang w:val="uk-UA"/>
        </w:rPr>
        <w:t xml:space="preserve"> </w:t>
      </w:r>
      <w:r w:rsidR="00707954" w:rsidRPr="000A38E5">
        <w:rPr>
          <w:i/>
          <w:lang w:val="uk-UA"/>
        </w:rPr>
        <w:t>Постановляє</w:t>
      </w:r>
      <w:r w:rsidRPr="00E93710">
        <w:rPr>
          <w:lang w:val="uk-UA"/>
        </w:rPr>
        <w:t xml:space="preserve">, </w:t>
      </w:r>
      <w:r w:rsidR="00707954" w:rsidRPr="000A38E5">
        <w:rPr>
          <w:lang w:val="uk-UA"/>
        </w:rPr>
        <w:t>одноголосно, що мало місце порушення статті</w:t>
      </w:r>
      <w:r w:rsidRPr="00E93710">
        <w:rPr>
          <w:lang w:val="uk-UA"/>
        </w:rPr>
        <w:t xml:space="preserve"> 11 </w:t>
      </w:r>
      <w:r w:rsidR="00707954" w:rsidRPr="000A38E5">
        <w:rPr>
          <w:lang w:val="uk-UA"/>
        </w:rPr>
        <w:t>Конвенції стосовно першого та другого заявників</w:t>
      </w:r>
      <w:r w:rsidRPr="00E93710">
        <w:rPr>
          <w:lang w:val="uk-UA"/>
        </w:rPr>
        <w:t xml:space="preserve"> </w:t>
      </w:r>
      <w:r w:rsidR="00707954" w:rsidRPr="000A38E5">
        <w:rPr>
          <w:lang w:val="uk-UA"/>
        </w:rPr>
        <w:t>у зв’язку з їх арештом та засудженням</w:t>
      </w:r>
      <w:r w:rsidRPr="00E93710">
        <w:rPr>
          <w:lang w:val="uk-UA"/>
        </w:rPr>
        <w:t>;</w:t>
      </w:r>
    </w:p>
    <w:p w:rsidR="00D83351" w:rsidRPr="00E93710" w:rsidRDefault="00D83351" w:rsidP="00852217">
      <w:pPr>
        <w:pStyle w:val="JuList"/>
        <w:rPr>
          <w:lang w:val="uk-UA"/>
        </w:rPr>
      </w:pPr>
    </w:p>
    <w:p w:rsidR="00D83351" w:rsidRPr="00E93710" w:rsidRDefault="00D83351" w:rsidP="00852217">
      <w:pPr>
        <w:pStyle w:val="JuList"/>
        <w:rPr>
          <w:lang w:val="uk-UA"/>
        </w:rPr>
      </w:pPr>
      <w:r w:rsidRPr="00E93710">
        <w:rPr>
          <w:lang w:val="uk-UA"/>
        </w:rPr>
        <w:t>7.</w:t>
      </w:r>
      <w:r w:rsidR="00334477" w:rsidRPr="000A38E5">
        <w:rPr>
          <w:lang w:val="uk-UA"/>
        </w:rPr>
        <w:t xml:space="preserve"> </w:t>
      </w:r>
      <w:r w:rsidR="00707954" w:rsidRPr="000A38E5">
        <w:rPr>
          <w:i/>
          <w:lang w:val="uk-UA"/>
        </w:rPr>
        <w:t>Постановляє</w:t>
      </w:r>
      <w:r w:rsidRPr="00E93710">
        <w:rPr>
          <w:lang w:val="uk-UA"/>
        </w:rPr>
        <w:t xml:space="preserve">, </w:t>
      </w:r>
      <w:r w:rsidR="00707954" w:rsidRPr="000A38E5">
        <w:rPr>
          <w:lang w:val="uk-UA"/>
        </w:rPr>
        <w:t>шістьма голосами проти одного</w:t>
      </w:r>
      <w:r w:rsidRPr="00E93710">
        <w:rPr>
          <w:lang w:val="uk-UA"/>
        </w:rPr>
        <w:t xml:space="preserve">, </w:t>
      </w:r>
      <w:r w:rsidR="00707954" w:rsidRPr="000A38E5">
        <w:rPr>
          <w:lang w:val="uk-UA"/>
        </w:rPr>
        <w:t>що не мало місце порушення статті 11 Конвенції</w:t>
      </w:r>
      <w:r w:rsidRPr="00E93710">
        <w:rPr>
          <w:lang w:val="uk-UA"/>
        </w:rPr>
        <w:t xml:space="preserve"> </w:t>
      </w:r>
      <w:r w:rsidR="00234848" w:rsidRPr="000A38E5">
        <w:rPr>
          <w:lang w:val="uk-UA"/>
        </w:rPr>
        <w:t>по відношенню до третього, четвертого та п’ятого заявників у зв’язку з їх арештом та засудженням</w:t>
      </w:r>
      <w:r w:rsidRPr="00E93710">
        <w:rPr>
          <w:lang w:val="uk-UA"/>
        </w:rPr>
        <w:t>;</w:t>
      </w:r>
    </w:p>
    <w:p w:rsidR="00D83351" w:rsidRPr="00E93710" w:rsidRDefault="00D83351" w:rsidP="00852217">
      <w:pPr>
        <w:pStyle w:val="JuList"/>
        <w:rPr>
          <w:lang w:val="uk-UA"/>
        </w:rPr>
      </w:pPr>
    </w:p>
    <w:p w:rsidR="00D83351" w:rsidRPr="00E93710" w:rsidRDefault="00D83351" w:rsidP="00852217">
      <w:pPr>
        <w:pStyle w:val="JuList"/>
        <w:rPr>
          <w:lang w:val="uk-UA"/>
        </w:rPr>
      </w:pPr>
      <w:r w:rsidRPr="00E93710">
        <w:rPr>
          <w:lang w:val="uk-UA"/>
        </w:rPr>
        <w:t>8.</w:t>
      </w:r>
      <w:r w:rsidR="00334477" w:rsidRPr="000A38E5">
        <w:rPr>
          <w:lang w:val="uk-UA"/>
        </w:rPr>
        <w:t xml:space="preserve"> </w:t>
      </w:r>
      <w:r w:rsidR="005D3E74" w:rsidRPr="000A38E5">
        <w:rPr>
          <w:i/>
          <w:lang w:val="uk-UA"/>
        </w:rPr>
        <w:t>Постановляє</w:t>
      </w:r>
      <w:r w:rsidRPr="00E93710">
        <w:rPr>
          <w:lang w:val="uk-UA"/>
        </w:rPr>
        <w:t xml:space="preserve">, </w:t>
      </w:r>
      <w:r w:rsidR="005D3E74" w:rsidRPr="000A38E5">
        <w:rPr>
          <w:lang w:val="uk-UA"/>
        </w:rPr>
        <w:t>шістьма голосами проти одного</w:t>
      </w:r>
      <w:r w:rsidRPr="00E93710">
        <w:rPr>
          <w:lang w:val="uk-UA"/>
        </w:rPr>
        <w:t xml:space="preserve">, </w:t>
      </w:r>
      <w:r w:rsidR="005D3E74" w:rsidRPr="000A38E5">
        <w:rPr>
          <w:lang w:val="uk-UA"/>
        </w:rPr>
        <w:t xml:space="preserve">що не мало місце </w:t>
      </w:r>
      <w:r w:rsidR="002F642F" w:rsidRPr="000A38E5">
        <w:rPr>
          <w:lang w:val="uk-UA"/>
        </w:rPr>
        <w:t xml:space="preserve">порушення </w:t>
      </w:r>
      <w:r w:rsidR="005D3E74" w:rsidRPr="000A38E5">
        <w:rPr>
          <w:lang w:val="uk-UA"/>
        </w:rPr>
        <w:t>статті 11 Конвенції</w:t>
      </w:r>
      <w:r w:rsidRPr="00E93710">
        <w:rPr>
          <w:lang w:val="uk-UA"/>
        </w:rPr>
        <w:t xml:space="preserve"> </w:t>
      </w:r>
      <w:r w:rsidR="005D3E74" w:rsidRPr="000A38E5">
        <w:rPr>
          <w:lang w:val="uk-UA"/>
        </w:rPr>
        <w:t>по відношенню до шостого заявника у зв’язку з його арештом та засудженням</w:t>
      </w:r>
      <w:r w:rsidRPr="00E93710">
        <w:rPr>
          <w:lang w:val="uk-UA"/>
        </w:rPr>
        <w:t>;</w:t>
      </w:r>
    </w:p>
    <w:p w:rsidR="00D83351" w:rsidRPr="00E93710" w:rsidRDefault="00D83351" w:rsidP="00852217">
      <w:pPr>
        <w:pStyle w:val="JuList"/>
        <w:rPr>
          <w:lang w:val="uk-UA"/>
        </w:rPr>
      </w:pPr>
    </w:p>
    <w:p w:rsidR="00D83351" w:rsidRPr="00E93710" w:rsidRDefault="00D83351" w:rsidP="00852217">
      <w:pPr>
        <w:pStyle w:val="JuList"/>
        <w:rPr>
          <w:lang w:val="uk-UA"/>
        </w:rPr>
      </w:pPr>
      <w:r w:rsidRPr="00E93710">
        <w:rPr>
          <w:lang w:val="uk-UA"/>
        </w:rPr>
        <w:t>9.</w:t>
      </w:r>
      <w:r w:rsidR="00334477" w:rsidRPr="000A38E5">
        <w:rPr>
          <w:lang w:val="uk-UA"/>
        </w:rPr>
        <w:t xml:space="preserve"> </w:t>
      </w:r>
      <w:r w:rsidR="005D3E74" w:rsidRPr="000A38E5">
        <w:rPr>
          <w:i/>
          <w:lang w:val="uk-UA"/>
        </w:rPr>
        <w:t>Постановляє</w:t>
      </w:r>
      <w:r w:rsidRPr="00E93710">
        <w:rPr>
          <w:lang w:val="uk-UA"/>
        </w:rPr>
        <w:t xml:space="preserve">, </w:t>
      </w:r>
      <w:r w:rsidR="00EE6020" w:rsidRPr="000A38E5">
        <w:rPr>
          <w:lang w:val="uk-UA"/>
        </w:rPr>
        <w:t>одноголосно, що мало місце порушення статті 11 Конвенції</w:t>
      </w:r>
      <w:r w:rsidRPr="00E93710">
        <w:rPr>
          <w:lang w:val="uk-UA"/>
        </w:rPr>
        <w:t xml:space="preserve"> </w:t>
      </w:r>
      <w:r w:rsidR="00EE6020" w:rsidRPr="000A38E5">
        <w:rPr>
          <w:lang w:val="uk-UA"/>
        </w:rPr>
        <w:t>стосовно сьомого та дев’ятого заявників у зв’язку з подіями</w:t>
      </w:r>
      <w:r w:rsidRPr="00E93710">
        <w:rPr>
          <w:lang w:val="uk-UA"/>
        </w:rPr>
        <w:t xml:space="preserve"> 31 </w:t>
      </w:r>
      <w:r w:rsidR="00EE6020" w:rsidRPr="000A38E5">
        <w:rPr>
          <w:lang w:val="uk-UA"/>
        </w:rPr>
        <w:t>та 27 травня</w:t>
      </w:r>
      <w:r w:rsidRPr="00E93710">
        <w:rPr>
          <w:lang w:val="uk-UA"/>
        </w:rPr>
        <w:t xml:space="preserve"> 2010 </w:t>
      </w:r>
      <w:r w:rsidR="00EE6020" w:rsidRPr="000A38E5">
        <w:rPr>
          <w:lang w:val="uk-UA"/>
        </w:rPr>
        <w:t>р., відповідно</w:t>
      </w:r>
      <w:r w:rsidRPr="00E93710">
        <w:rPr>
          <w:lang w:val="uk-UA"/>
        </w:rPr>
        <w:t>;</w:t>
      </w:r>
    </w:p>
    <w:p w:rsidR="00D83351" w:rsidRPr="00E93710" w:rsidRDefault="00D83351" w:rsidP="00852217">
      <w:pPr>
        <w:pStyle w:val="JuList"/>
        <w:rPr>
          <w:lang w:val="uk-UA"/>
        </w:rPr>
      </w:pPr>
    </w:p>
    <w:p w:rsidR="00D83351" w:rsidRPr="00E93710" w:rsidRDefault="00D83351" w:rsidP="00852217">
      <w:pPr>
        <w:pStyle w:val="JuList"/>
        <w:rPr>
          <w:lang w:val="uk-UA"/>
        </w:rPr>
      </w:pPr>
      <w:r w:rsidRPr="00E93710">
        <w:rPr>
          <w:lang w:val="uk-UA"/>
        </w:rPr>
        <w:t>10.</w:t>
      </w:r>
      <w:r w:rsidR="00334477" w:rsidRPr="000A38E5">
        <w:rPr>
          <w:lang w:val="uk-UA"/>
        </w:rPr>
        <w:t xml:space="preserve"> </w:t>
      </w:r>
      <w:r w:rsidR="00EE6020" w:rsidRPr="000A38E5">
        <w:rPr>
          <w:i/>
          <w:lang w:val="uk-UA"/>
        </w:rPr>
        <w:t>Постановляє</w:t>
      </w:r>
      <w:r w:rsidRPr="00E93710">
        <w:rPr>
          <w:lang w:val="uk-UA"/>
        </w:rPr>
        <w:t xml:space="preserve">, </w:t>
      </w:r>
      <w:r w:rsidR="00EE6020" w:rsidRPr="000A38E5">
        <w:rPr>
          <w:lang w:val="uk-UA"/>
        </w:rPr>
        <w:t>одноголосно, що немає потреби розглядати прийнятність</w:t>
      </w:r>
      <w:r w:rsidRPr="00E93710">
        <w:rPr>
          <w:lang w:val="uk-UA"/>
        </w:rPr>
        <w:t xml:space="preserve"> </w:t>
      </w:r>
      <w:r w:rsidR="00EE6020" w:rsidRPr="000A38E5">
        <w:rPr>
          <w:lang w:val="uk-UA"/>
        </w:rPr>
        <w:t>або суть скарги відповідно до статті</w:t>
      </w:r>
      <w:r w:rsidRPr="00E93710">
        <w:rPr>
          <w:lang w:val="uk-UA"/>
        </w:rPr>
        <w:t xml:space="preserve"> 13 </w:t>
      </w:r>
      <w:r w:rsidR="00EE6020" w:rsidRPr="000A38E5">
        <w:rPr>
          <w:lang w:val="uk-UA"/>
        </w:rPr>
        <w:t>Конвенції спільно зі статтею 11 Конвенції</w:t>
      </w:r>
      <w:r w:rsidRPr="00E93710">
        <w:rPr>
          <w:lang w:val="uk-UA"/>
        </w:rPr>
        <w:t>;</w:t>
      </w:r>
    </w:p>
    <w:p w:rsidR="00D83351" w:rsidRPr="00E93710" w:rsidRDefault="00D83351" w:rsidP="00852217">
      <w:pPr>
        <w:pStyle w:val="JuList"/>
        <w:rPr>
          <w:lang w:val="uk-UA"/>
        </w:rPr>
      </w:pPr>
    </w:p>
    <w:p w:rsidR="00D83351" w:rsidRPr="000A38E5" w:rsidRDefault="00D83351" w:rsidP="00852217">
      <w:pPr>
        <w:pStyle w:val="JuList"/>
        <w:rPr>
          <w:lang w:val="uk-UA"/>
        </w:rPr>
      </w:pPr>
      <w:r w:rsidRPr="00E93710">
        <w:rPr>
          <w:lang w:val="uk-UA"/>
        </w:rPr>
        <w:t>11.</w:t>
      </w:r>
      <w:r w:rsidR="00334477" w:rsidRPr="000A38E5">
        <w:rPr>
          <w:lang w:val="uk-UA"/>
        </w:rPr>
        <w:t xml:space="preserve"> </w:t>
      </w:r>
      <w:r w:rsidR="00E40603" w:rsidRPr="000A38E5">
        <w:rPr>
          <w:i/>
          <w:lang w:val="uk-UA"/>
        </w:rPr>
        <w:t>Постановляє</w:t>
      </w:r>
      <w:r w:rsidRPr="00E93710">
        <w:rPr>
          <w:lang w:val="uk-UA"/>
        </w:rPr>
        <w:t xml:space="preserve">, </w:t>
      </w:r>
      <w:r w:rsidR="00E40603" w:rsidRPr="000A38E5">
        <w:rPr>
          <w:lang w:val="uk-UA"/>
        </w:rPr>
        <w:t>одноголосно</w:t>
      </w:r>
      <w:r w:rsidR="00CF1ADF" w:rsidRPr="000A38E5">
        <w:rPr>
          <w:lang w:val="uk-UA"/>
        </w:rPr>
        <w:t>, що:</w:t>
      </w:r>
    </w:p>
    <w:p w:rsidR="00D83351" w:rsidRPr="000A38E5" w:rsidRDefault="00D83351" w:rsidP="00852217">
      <w:pPr>
        <w:pStyle w:val="JuLista"/>
        <w:rPr>
          <w:lang w:val="uk-UA"/>
        </w:rPr>
      </w:pPr>
      <w:r w:rsidRPr="000A38E5">
        <w:rPr>
          <w:lang w:val="uk-UA"/>
        </w:rPr>
        <w:lastRenderedPageBreak/>
        <w:t>(</w:t>
      </w:r>
      <w:r w:rsidRPr="00E93710">
        <w:rPr>
          <w:lang w:val="uk-UA"/>
        </w:rPr>
        <w:t>a</w:t>
      </w:r>
      <w:r w:rsidRPr="000A38E5">
        <w:rPr>
          <w:lang w:val="uk-UA"/>
        </w:rPr>
        <w:t>)</w:t>
      </w:r>
      <w:r w:rsidR="00334477" w:rsidRPr="000A38E5">
        <w:rPr>
          <w:lang w:val="uk-UA"/>
        </w:rPr>
        <w:t xml:space="preserve"> </w:t>
      </w:r>
      <w:r w:rsidR="00CF1ADF" w:rsidRPr="000A38E5">
        <w:rPr>
          <w:lang w:val="uk-UA"/>
        </w:rPr>
        <w:t>держава-відповідач повинна сплатити заявникам</w:t>
      </w:r>
      <w:r w:rsidRPr="000A38E5">
        <w:rPr>
          <w:lang w:val="uk-UA"/>
        </w:rPr>
        <w:t xml:space="preserve">, </w:t>
      </w:r>
      <w:r w:rsidR="00CF1ADF" w:rsidRPr="000A38E5">
        <w:rPr>
          <w:lang w:val="uk-UA"/>
        </w:rPr>
        <w:t>протягом трьох місяців з дати, коли рішення стане остаточним</w:t>
      </w:r>
      <w:r w:rsidRPr="000A38E5">
        <w:rPr>
          <w:lang w:val="uk-UA"/>
        </w:rPr>
        <w:t xml:space="preserve"> </w:t>
      </w:r>
      <w:r w:rsidR="00CF1ADF" w:rsidRPr="000A38E5">
        <w:rPr>
          <w:lang w:val="uk-UA"/>
        </w:rPr>
        <w:t>відповідно до статті</w:t>
      </w:r>
      <w:r w:rsidRPr="00E93710">
        <w:rPr>
          <w:lang w:val="uk-UA"/>
        </w:rPr>
        <w:t> </w:t>
      </w:r>
      <w:r w:rsidRPr="000A38E5">
        <w:rPr>
          <w:lang w:val="uk-UA"/>
        </w:rPr>
        <w:t>44</w:t>
      </w:r>
      <w:r w:rsidRPr="00E93710">
        <w:rPr>
          <w:lang w:val="uk-UA"/>
        </w:rPr>
        <w:t> </w:t>
      </w:r>
      <w:r w:rsidRPr="000A38E5">
        <w:rPr>
          <w:lang w:val="uk-UA"/>
        </w:rPr>
        <w:t>§</w:t>
      </w:r>
      <w:r w:rsidRPr="00E93710">
        <w:rPr>
          <w:lang w:val="uk-UA"/>
        </w:rPr>
        <w:t> </w:t>
      </w:r>
      <w:r w:rsidRPr="000A38E5">
        <w:rPr>
          <w:lang w:val="uk-UA"/>
        </w:rPr>
        <w:t xml:space="preserve">2 </w:t>
      </w:r>
      <w:r w:rsidR="00CF1ADF" w:rsidRPr="000A38E5">
        <w:rPr>
          <w:lang w:val="uk-UA"/>
        </w:rPr>
        <w:t>Конвенції</w:t>
      </w:r>
      <w:r w:rsidRPr="000A38E5">
        <w:rPr>
          <w:lang w:val="uk-UA"/>
        </w:rPr>
        <w:t xml:space="preserve">, </w:t>
      </w:r>
      <w:r w:rsidR="00CF1ADF" w:rsidRPr="000A38E5">
        <w:rPr>
          <w:lang w:val="uk-UA"/>
        </w:rPr>
        <w:t>наступні суми, конвертовані у валюту держави-відповідача за курсом, застосовним на дату виплати</w:t>
      </w:r>
      <w:r w:rsidRPr="000A38E5">
        <w:rPr>
          <w:lang w:val="uk-UA"/>
        </w:rPr>
        <w:t>:</w:t>
      </w:r>
    </w:p>
    <w:p w:rsidR="00D83351" w:rsidRPr="000A38E5" w:rsidRDefault="00D83351" w:rsidP="00852217">
      <w:pPr>
        <w:pStyle w:val="JuListi"/>
        <w:rPr>
          <w:lang w:val="uk-UA"/>
        </w:rPr>
      </w:pPr>
      <w:r w:rsidRPr="000A38E5">
        <w:rPr>
          <w:lang w:val="uk-UA"/>
        </w:rPr>
        <w:t>(</w:t>
      </w:r>
      <w:r w:rsidRPr="00E93710">
        <w:rPr>
          <w:lang w:val="uk-UA"/>
        </w:rPr>
        <w:t>i</w:t>
      </w:r>
      <w:r w:rsidRPr="000A38E5">
        <w:rPr>
          <w:lang w:val="uk-UA"/>
        </w:rPr>
        <w:t>)</w:t>
      </w:r>
      <w:r w:rsidR="00B17A3B" w:rsidRPr="000A38E5">
        <w:rPr>
          <w:lang w:val="uk-UA"/>
        </w:rPr>
        <w:t xml:space="preserve"> по </w:t>
      </w:r>
      <w:r w:rsidRPr="00E93710">
        <w:rPr>
          <w:lang w:val="uk-UA"/>
        </w:rPr>
        <w:t>EUR</w:t>
      </w:r>
      <w:r w:rsidRPr="000A38E5">
        <w:rPr>
          <w:lang w:val="uk-UA"/>
        </w:rPr>
        <w:t xml:space="preserve"> 6,000 (</w:t>
      </w:r>
      <w:r w:rsidR="00CF1ADF" w:rsidRPr="000A38E5">
        <w:rPr>
          <w:lang w:val="uk-UA"/>
        </w:rPr>
        <w:t>шість тисяч євро</w:t>
      </w:r>
      <w:r w:rsidRPr="000A38E5">
        <w:rPr>
          <w:lang w:val="uk-UA"/>
        </w:rPr>
        <w:t xml:space="preserve">) </w:t>
      </w:r>
      <w:r w:rsidR="00CF1ADF" w:rsidRPr="000A38E5">
        <w:rPr>
          <w:lang w:val="uk-UA"/>
        </w:rPr>
        <w:t>першо</w:t>
      </w:r>
      <w:r w:rsidR="00B17A3B" w:rsidRPr="000A38E5">
        <w:rPr>
          <w:lang w:val="uk-UA"/>
        </w:rPr>
        <w:t>му</w:t>
      </w:r>
      <w:r w:rsidR="00CF1ADF" w:rsidRPr="000A38E5">
        <w:rPr>
          <w:lang w:val="uk-UA"/>
        </w:rPr>
        <w:t>, друго</w:t>
      </w:r>
      <w:r w:rsidR="00B17A3B" w:rsidRPr="000A38E5">
        <w:rPr>
          <w:lang w:val="uk-UA"/>
        </w:rPr>
        <w:t>му</w:t>
      </w:r>
      <w:r w:rsidR="00CF1ADF" w:rsidRPr="000A38E5">
        <w:rPr>
          <w:lang w:val="uk-UA"/>
        </w:rPr>
        <w:t>, сьомо</w:t>
      </w:r>
      <w:r w:rsidR="00B17A3B" w:rsidRPr="000A38E5">
        <w:rPr>
          <w:lang w:val="uk-UA"/>
        </w:rPr>
        <w:t>му</w:t>
      </w:r>
      <w:r w:rsidR="00CF1ADF" w:rsidRPr="000A38E5">
        <w:rPr>
          <w:lang w:val="uk-UA"/>
        </w:rPr>
        <w:t xml:space="preserve"> та дев’ято</w:t>
      </w:r>
      <w:r w:rsidR="00B17A3B" w:rsidRPr="000A38E5">
        <w:rPr>
          <w:lang w:val="uk-UA"/>
        </w:rPr>
        <w:t>му</w:t>
      </w:r>
      <w:r w:rsidR="00CF1ADF" w:rsidRPr="000A38E5">
        <w:rPr>
          <w:lang w:val="uk-UA"/>
        </w:rPr>
        <w:t xml:space="preserve"> заявник</w:t>
      </w:r>
      <w:r w:rsidR="00B17A3B" w:rsidRPr="000A38E5">
        <w:rPr>
          <w:lang w:val="uk-UA"/>
        </w:rPr>
        <w:t>ам</w:t>
      </w:r>
      <w:r w:rsidRPr="000A38E5">
        <w:rPr>
          <w:lang w:val="uk-UA"/>
        </w:rPr>
        <w:t xml:space="preserve">, </w:t>
      </w:r>
      <w:r w:rsidR="00CF1ADF" w:rsidRPr="000A38E5">
        <w:rPr>
          <w:lang w:val="uk-UA"/>
        </w:rPr>
        <w:t>плюс будь-який податок, який може бути стягнутий</w:t>
      </w:r>
      <w:r w:rsidRPr="000A38E5">
        <w:rPr>
          <w:lang w:val="uk-UA"/>
        </w:rPr>
        <w:t xml:space="preserve">, </w:t>
      </w:r>
      <w:r w:rsidR="00CF1ADF" w:rsidRPr="000A38E5">
        <w:rPr>
          <w:lang w:val="uk-UA"/>
        </w:rPr>
        <w:t>в якості компенсації моральної шкоди</w:t>
      </w:r>
      <w:r w:rsidRPr="000A38E5">
        <w:rPr>
          <w:lang w:val="uk-UA"/>
        </w:rPr>
        <w:t>;</w:t>
      </w:r>
    </w:p>
    <w:p w:rsidR="00D83351" w:rsidRPr="000A38E5" w:rsidRDefault="00D83351" w:rsidP="00852217">
      <w:pPr>
        <w:pStyle w:val="JuListi"/>
        <w:rPr>
          <w:lang w:val="uk-UA"/>
        </w:rPr>
      </w:pPr>
      <w:r w:rsidRPr="000A38E5">
        <w:rPr>
          <w:lang w:val="uk-UA"/>
        </w:rPr>
        <w:t>(</w:t>
      </w:r>
      <w:proofErr w:type="spellStart"/>
      <w:r w:rsidRPr="00E93710">
        <w:rPr>
          <w:lang w:val="uk-UA"/>
        </w:rPr>
        <w:t>ii</w:t>
      </w:r>
      <w:proofErr w:type="spellEnd"/>
      <w:r w:rsidRPr="000A38E5">
        <w:rPr>
          <w:lang w:val="uk-UA"/>
        </w:rPr>
        <w:t>)</w:t>
      </w:r>
      <w:r w:rsidR="00334477" w:rsidRPr="000A38E5">
        <w:rPr>
          <w:lang w:val="uk-UA"/>
        </w:rPr>
        <w:t xml:space="preserve"> </w:t>
      </w:r>
      <w:r w:rsidRPr="00E93710">
        <w:rPr>
          <w:lang w:val="uk-UA"/>
        </w:rPr>
        <w:t>EUR</w:t>
      </w:r>
      <w:r w:rsidRPr="000A38E5">
        <w:rPr>
          <w:lang w:val="uk-UA"/>
        </w:rPr>
        <w:t xml:space="preserve"> 16,600 (</w:t>
      </w:r>
      <w:r w:rsidR="001B689B" w:rsidRPr="000A38E5">
        <w:rPr>
          <w:lang w:val="uk-UA"/>
        </w:rPr>
        <w:t>шістнадцять тисяч шістсот євро</w:t>
      </w:r>
      <w:r w:rsidRPr="000A38E5">
        <w:rPr>
          <w:lang w:val="uk-UA"/>
        </w:rPr>
        <w:t xml:space="preserve">), </w:t>
      </w:r>
      <w:r w:rsidR="001B689B" w:rsidRPr="000A38E5">
        <w:rPr>
          <w:lang w:val="uk-UA"/>
        </w:rPr>
        <w:t>плюс будь-який податок, який може бути стягнутий з першого, другого, сьомого та дев’ятого заявника разом</w:t>
      </w:r>
      <w:r w:rsidRPr="000A38E5">
        <w:rPr>
          <w:lang w:val="uk-UA"/>
        </w:rPr>
        <w:t xml:space="preserve">, </w:t>
      </w:r>
      <w:r w:rsidR="001B689B" w:rsidRPr="000A38E5">
        <w:rPr>
          <w:lang w:val="uk-UA"/>
        </w:rPr>
        <w:t>в якості компенсації судових витрат</w:t>
      </w:r>
      <w:r w:rsidRPr="000A38E5">
        <w:rPr>
          <w:lang w:val="uk-UA"/>
        </w:rPr>
        <w:t>;</w:t>
      </w:r>
    </w:p>
    <w:p w:rsidR="00D83351" w:rsidRPr="00E93710" w:rsidRDefault="00D83351" w:rsidP="00852217">
      <w:pPr>
        <w:pStyle w:val="JuLista"/>
        <w:rPr>
          <w:lang w:val="uk-UA"/>
        </w:rPr>
      </w:pPr>
      <w:r w:rsidRPr="00E93710">
        <w:rPr>
          <w:lang w:val="uk-UA"/>
        </w:rPr>
        <w:t>(b)</w:t>
      </w:r>
      <w:r w:rsidR="00334477" w:rsidRPr="000A38E5">
        <w:rPr>
          <w:lang w:val="uk-UA"/>
        </w:rPr>
        <w:t xml:space="preserve"> </w:t>
      </w:r>
      <w:r w:rsidR="001B689B" w:rsidRPr="000A38E5">
        <w:rPr>
          <w:rFonts w:eastAsia="MS Mincho"/>
          <w:lang w:val="uk-UA" w:eastAsia="en-GB"/>
        </w:rPr>
        <w:t xml:space="preserve">зі </w:t>
      </w:r>
      <w:proofErr w:type="spellStart"/>
      <w:r w:rsidR="001B689B" w:rsidRPr="000A38E5">
        <w:rPr>
          <w:rFonts w:eastAsia="MS Mincho"/>
          <w:lang w:val="uk-UA" w:eastAsia="en-GB"/>
        </w:rPr>
        <w:t>спливом</w:t>
      </w:r>
      <w:proofErr w:type="spellEnd"/>
      <w:r w:rsidR="001B689B" w:rsidRPr="000A38E5">
        <w:rPr>
          <w:rFonts w:eastAsia="MS Mincho"/>
          <w:lang w:val="uk-UA" w:eastAsia="en-GB"/>
        </w:rPr>
        <w:t xml:space="preserve"> зазначеного тримісячного строку і до остаточного розрахунку на ці суми нараховуватиметься пеня у розмірі граничної процентної ставки Європейського центрального банку, яка діятиме в період несплати, до якої має бути додано три відсоткові пункти</w:t>
      </w:r>
      <w:r w:rsidRPr="00E93710">
        <w:rPr>
          <w:lang w:val="uk-UA"/>
        </w:rPr>
        <w:t>;</w:t>
      </w:r>
    </w:p>
    <w:p w:rsidR="00D83351" w:rsidRPr="00E93710" w:rsidRDefault="00D83351" w:rsidP="00852217">
      <w:pPr>
        <w:pStyle w:val="JuList"/>
        <w:rPr>
          <w:lang w:val="uk-UA"/>
        </w:rPr>
      </w:pPr>
    </w:p>
    <w:p w:rsidR="00D83351" w:rsidRPr="00E93710" w:rsidRDefault="00D83351" w:rsidP="00852217">
      <w:pPr>
        <w:pStyle w:val="JuList"/>
        <w:rPr>
          <w:lang w:val="uk-UA"/>
        </w:rPr>
      </w:pPr>
      <w:r w:rsidRPr="00E93710">
        <w:rPr>
          <w:lang w:val="uk-UA"/>
        </w:rPr>
        <w:t>12.</w:t>
      </w:r>
      <w:r w:rsidR="00334477" w:rsidRPr="000A38E5">
        <w:rPr>
          <w:lang w:val="uk-UA"/>
        </w:rPr>
        <w:t xml:space="preserve"> </w:t>
      </w:r>
      <w:r w:rsidR="001B689B" w:rsidRPr="000A38E5">
        <w:rPr>
          <w:i/>
          <w:lang w:val="uk-UA"/>
        </w:rPr>
        <w:t>Відхиляє</w:t>
      </w:r>
      <w:r w:rsidRPr="00E93710">
        <w:rPr>
          <w:lang w:val="uk-UA"/>
        </w:rPr>
        <w:t xml:space="preserve">, </w:t>
      </w:r>
      <w:r w:rsidR="00AE6B01" w:rsidRPr="000A38E5">
        <w:rPr>
          <w:lang w:val="uk-UA"/>
        </w:rPr>
        <w:t>шістьма голосами проти одного, решту вимог заявників стосовно справедливої сатисфакції</w:t>
      </w:r>
      <w:r w:rsidRPr="00E93710">
        <w:rPr>
          <w:lang w:val="uk-UA"/>
        </w:rPr>
        <w:t>.</w:t>
      </w:r>
    </w:p>
    <w:p w:rsidR="00D83351" w:rsidRPr="00E93710" w:rsidRDefault="00AE6B01" w:rsidP="00852217">
      <w:pPr>
        <w:pStyle w:val="JuParaLast"/>
        <w:rPr>
          <w:lang w:val="uk-UA"/>
        </w:rPr>
      </w:pPr>
      <w:r w:rsidRPr="000A38E5">
        <w:rPr>
          <w:lang w:val="uk-UA"/>
        </w:rPr>
        <w:t>Складено англійською мовою</w:t>
      </w:r>
      <w:r w:rsidRPr="00E93710">
        <w:rPr>
          <w:lang w:val="uk-UA"/>
        </w:rPr>
        <w:t xml:space="preserve"> </w:t>
      </w:r>
      <w:r w:rsidRPr="000A38E5">
        <w:rPr>
          <w:lang w:val="uk-UA"/>
        </w:rPr>
        <w:t>і повідомлено у письмовій формі</w:t>
      </w:r>
      <w:r w:rsidRPr="00E93710">
        <w:rPr>
          <w:lang w:val="uk-UA"/>
        </w:rPr>
        <w:t xml:space="preserve"> 18 червня 2019 року, </w:t>
      </w:r>
      <w:r w:rsidRPr="000A38E5">
        <w:rPr>
          <w:lang w:val="uk-UA"/>
        </w:rPr>
        <w:t>відповідно до правила</w:t>
      </w:r>
      <w:r w:rsidRPr="00E93710">
        <w:rPr>
          <w:lang w:val="uk-UA"/>
        </w:rPr>
        <w:t xml:space="preserve"> 77 §§ 2 </w:t>
      </w:r>
      <w:r w:rsidRPr="000A38E5">
        <w:rPr>
          <w:lang w:val="uk-UA"/>
        </w:rPr>
        <w:t>і</w:t>
      </w:r>
      <w:r w:rsidRPr="00E93710">
        <w:rPr>
          <w:lang w:val="uk-UA"/>
        </w:rPr>
        <w:t xml:space="preserve"> 3 </w:t>
      </w:r>
      <w:r w:rsidRPr="000A38E5">
        <w:rPr>
          <w:lang w:val="uk-UA"/>
        </w:rPr>
        <w:t>Регламенту Суду</w:t>
      </w:r>
      <w:r w:rsidR="00D83351" w:rsidRPr="00E93710">
        <w:rPr>
          <w:lang w:val="uk-UA"/>
        </w:rPr>
        <w:t>.</w:t>
      </w:r>
    </w:p>
    <w:p w:rsidR="00D83351" w:rsidRPr="000A38E5" w:rsidRDefault="00D83351" w:rsidP="00852217">
      <w:pPr>
        <w:pStyle w:val="JuSigned"/>
        <w:rPr>
          <w:lang w:val="uk-UA"/>
        </w:rPr>
      </w:pPr>
      <w:r w:rsidRPr="00E93710">
        <w:rPr>
          <w:lang w:val="uk-UA"/>
        </w:rPr>
        <w:tab/>
      </w:r>
      <w:proofErr w:type="spellStart"/>
      <w:r w:rsidR="00AE6B01" w:rsidRPr="000A38E5">
        <w:rPr>
          <w:lang w:val="uk-UA"/>
        </w:rPr>
        <w:t>Маріалена</w:t>
      </w:r>
      <w:proofErr w:type="spellEnd"/>
      <w:r w:rsidR="00AE6B01" w:rsidRPr="000A38E5">
        <w:rPr>
          <w:lang w:val="uk-UA"/>
        </w:rPr>
        <w:t xml:space="preserve"> </w:t>
      </w:r>
      <w:proofErr w:type="spellStart"/>
      <w:r w:rsidR="00AE6B01" w:rsidRPr="000A38E5">
        <w:rPr>
          <w:lang w:val="uk-UA"/>
        </w:rPr>
        <w:t>Цирлі</w:t>
      </w:r>
      <w:proofErr w:type="spellEnd"/>
      <w:r w:rsidRPr="00E93710">
        <w:rPr>
          <w:lang w:val="uk-UA"/>
        </w:rPr>
        <w:tab/>
      </w:r>
      <w:proofErr w:type="spellStart"/>
      <w:r w:rsidR="00AE6B01" w:rsidRPr="000A38E5">
        <w:rPr>
          <w:szCs w:val="24"/>
          <w:lang w:val="uk-UA"/>
        </w:rPr>
        <w:t>Йон</w:t>
      </w:r>
      <w:proofErr w:type="spellEnd"/>
      <w:r w:rsidR="00AE6B01" w:rsidRPr="000A38E5">
        <w:rPr>
          <w:szCs w:val="24"/>
          <w:lang w:val="uk-UA"/>
        </w:rPr>
        <w:t xml:space="preserve"> </w:t>
      </w:r>
      <w:proofErr w:type="spellStart"/>
      <w:r w:rsidR="00AE6B01" w:rsidRPr="000A38E5">
        <w:rPr>
          <w:szCs w:val="24"/>
          <w:lang w:val="uk-UA"/>
        </w:rPr>
        <w:t>Фрідрік</w:t>
      </w:r>
      <w:proofErr w:type="spellEnd"/>
      <w:r w:rsidR="00AE6B01" w:rsidRPr="000A38E5">
        <w:rPr>
          <w:szCs w:val="24"/>
          <w:lang w:val="uk-UA"/>
        </w:rPr>
        <w:t xml:space="preserve"> </w:t>
      </w:r>
      <w:proofErr w:type="spellStart"/>
      <w:r w:rsidR="00AE6B01" w:rsidRPr="000A38E5">
        <w:rPr>
          <w:szCs w:val="24"/>
          <w:lang w:val="uk-UA"/>
        </w:rPr>
        <w:t>Кйолбро</w:t>
      </w:r>
      <w:proofErr w:type="spellEnd"/>
      <w:r w:rsidRPr="00E93710">
        <w:rPr>
          <w:szCs w:val="24"/>
          <w:lang w:val="uk-UA"/>
        </w:rPr>
        <w:br/>
      </w:r>
      <w:r w:rsidRPr="00E93710">
        <w:rPr>
          <w:lang w:val="uk-UA"/>
        </w:rPr>
        <w:tab/>
      </w:r>
      <w:r w:rsidR="00AE6B01" w:rsidRPr="000A38E5">
        <w:rPr>
          <w:iCs/>
          <w:lang w:val="uk-UA"/>
        </w:rPr>
        <w:t>Секретар</w:t>
      </w:r>
      <w:r w:rsidRPr="00E93710">
        <w:rPr>
          <w:lang w:val="uk-UA"/>
        </w:rPr>
        <w:tab/>
      </w:r>
      <w:r w:rsidR="00AE6B01" w:rsidRPr="000A38E5">
        <w:rPr>
          <w:lang w:val="uk-UA"/>
        </w:rPr>
        <w:t>Голова</w:t>
      </w:r>
    </w:p>
    <w:p w:rsidR="00E840FC" w:rsidRPr="000A38E5" w:rsidRDefault="00765C8A" w:rsidP="00852217">
      <w:pPr>
        <w:pStyle w:val="JuParaLast"/>
        <w:rPr>
          <w:lang w:val="uk-UA"/>
        </w:rPr>
      </w:pPr>
      <w:r w:rsidRPr="000A38E5">
        <w:rPr>
          <w:lang w:val="uk-UA"/>
        </w:rPr>
        <w:t>Відповідно до статті</w:t>
      </w:r>
      <w:r w:rsidR="00E840FC" w:rsidRPr="00E93710">
        <w:rPr>
          <w:lang w:val="uk-UA"/>
        </w:rPr>
        <w:t> </w:t>
      </w:r>
      <w:r w:rsidR="00E840FC" w:rsidRPr="000A38E5">
        <w:rPr>
          <w:lang w:val="uk-UA"/>
        </w:rPr>
        <w:t>45 §</w:t>
      </w:r>
      <w:r w:rsidR="00E840FC" w:rsidRPr="00E93710">
        <w:rPr>
          <w:lang w:val="uk-UA"/>
        </w:rPr>
        <w:t> </w:t>
      </w:r>
      <w:r w:rsidR="00E840FC" w:rsidRPr="000A38E5">
        <w:rPr>
          <w:lang w:val="uk-UA"/>
        </w:rPr>
        <w:t xml:space="preserve">2 </w:t>
      </w:r>
      <w:r w:rsidRPr="000A38E5">
        <w:rPr>
          <w:lang w:val="uk-UA"/>
        </w:rPr>
        <w:t>Конвенції та правила</w:t>
      </w:r>
      <w:r w:rsidR="00E840FC" w:rsidRPr="00E93710">
        <w:rPr>
          <w:lang w:val="uk-UA"/>
        </w:rPr>
        <w:t> </w:t>
      </w:r>
      <w:r w:rsidR="00E840FC" w:rsidRPr="000A38E5">
        <w:rPr>
          <w:lang w:val="uk-UA"/>
        </w:rPr>
        <w:t>74 §</w:t>
      </w:r>
      <w:r w:rsidR="00E840FC" w:rsidRPr="00E93710">
        <w:rPr>
          <w:lang w:val="uk-UA"/>
        </w:rPr>
        <w:t> </w:t>
      </w:r>
      <w:r w:rsidR="00E840FC" w:rsidRPr="000A38E5">
        <w:rPr>
          <w:lang w:val="uk-UA"/>
        </w:rPr>
        <w:t xml:space="preserve">2 </w:t>
      </w:r>
      <w:r w:rsidRPr="000A38E5">
        <w:rPr>
          <w:lang w:val="uk-UA"/>
        </w:rPr>
        <w:t>Регламенту Суду, окрема думка</w:t>
      </w:r>
      <w:r w:rsidR="00E840FC" w:rsidRPr="000A38E5">
        <w:rPr>
          <w:lang w:val="uk-UA"/>
        </w:rPr>
        <w:t xml:space="preserve"> </w:t>
      </w:r>
      <w:r w:rsidRPr="000A38E5">
        <w:rPr>
          <w:lang w:val="uk-UA"/>
        </w:rPr>
        <w:t xml:space="preserve">судді П. Пінто де </w:t>
      </w:r>
      <w:proofErr w:type="spellStart"/>
      <w:r w:rsidRPr="000A38E5">
        <w:rPr>
          <w:lang w:val="uk-UA"/>
        </w:rPr>
        <w:t>Альбукерке</w:t>
      </w:r>
      <w:proofErr w:type="spellEnd"/>
      <w:r w:rsidR="00E840FC" w:rsidRPr="000A38E5">
        <w:rPr>
          <w:lang w:val="uk-UA"/>
        </w:rPr>
        <w:t xml:space="preserve"> </w:t>
      </w:r>
      <w:r w:rsidRPr="000A38E5">
        <w:rPr>
          <w:lang w:val="uk-UA"/>
        </w:rPr>
        <w:t>додається до цього рішення</w:t>
      </w:r>
      <w:r w:rsidR="00E840FC" w:rsidRPr="000A38E5">
        <w:rPr>
          <w:lang w:val="uk-UA"/>
        </w:rPr>
        <w:t>.</w:t>
      </w:r>
    </w:p>
    <w:p w:rsidR="00E840FC" w:rsidRPr="00E93710" w:rsidRDefault="00BC46AD" w:rsidP="00852217">
      <w:pPr>
        <w:pStyle w:val="JuInitialled"/>
        <w:rPr>
          <w:lang w:val="uk-UA"/>
        </w:rPr>
      </w:pPr>
      <w:r w:rsidRPr="00E93710">
        <w:rPr>
          <w:lang w:val="uk-UA"/>
        </w:rPr>
        <w:t>J.F.K.</w:t>
      </w:r>
      <w:r w:rsidR="00E840FC" w:rsidRPr="00E93710">
        <w:rPr>
          <w:lang w:val="uk-UA"/>
        </w:rPr>
        <w:br/>
      </w:r>
      <w:r w:rsidRPr="00E93710">
        <w:rPr>
          <w:lang w:val="uk-UA"/>
        </w:rPr>
        <w:t>M.T.</w:t>
      </w:r>
    </w:p>
    <w:p w:rsidR="00E840FC" w:rsidRPr="00E93710" w:rsidRDefault="00E840FC" w:rsidP="00852217">
      <w:pPr>
        <w:rPr>
          <w:lang w:val="uk-UA"/>
        </w:rPr>
        <w:sectPr w:rsidR="00E840FC" w:rsidRPr="00E93710" w:rsidSect="00DE1FF9">
          <w:headerReference w:type="even" r:id="rId14"/>
          <w:headerReference w:type="default" r:id="rId15"/>
          <w:footerReference w:type="even" r:id="rId16"/>
          <w:footerReference w:type="default" r:id="rId17"/>
          <w:footnotePr>
            <w:numRestart w:val="eachSect"/>
          </w:footnotePr>
          <w:pgSz w:w="11906" w:h="16838" w:code="9"/>
          <w:pgMar w:top="851" w:right="851" w:bottom="794" w:left="851" w:header="1701" w:footer="720" w:gutter="0"/>
          <w:pgNumType w:start="1"/>
          <w:cols w:space="720"/>
          <w:docGrid w:linePitch="326"/>
        </w:sectPr>
      </w:pPr>
    </w:p>
    <w:p w:rsidR="00334D9A" w:rsidRPr="000A38E5" w:rsidRDefault="004A2B30" w:rsidP="00852217">
      <w:pPr>
        <w:pStyle w:val="OpiPara"/>
        <w:jc w:val="center"/>
        <w:rPr>
          <w:rFonts w:eastAsia="Noteworthy-Light"/>
          <w:sz w:val="28"/>
          <w:szCs w:val="28"/>
          <w:lang w:val="uk-UA"/>
        </w:rPr>
      </w:pPr>
      <w:r w:rsidRPr="000A38E5">
        <w:rPr>
          <w:rFonts w:eastAsia="Noteworthy-Light"/>
          <w:sz w:val="28"/>
          <w:szCs w:val="28"/>
          <w:lang w:val="uk-UA"/>
        </w:rPr>
        <w:lastRenderedPageBreak/>
        <w:t>ЧАСТКОВО ОКРЕМА ДУМКА СУДДІ ПІНТО ДЕ АЛЬБУКЕРКЕ</w:t>
      </w:r>
    </w:p>
    <w:p w:rsidR="00334D9A" w:rsidRPr="00E93710" w:rsidRDefault="00334D9A" w:rsidP="00852217">
      <w:pPr>
        <w:pStyle w:val="OpiPara"/>
        <w:rPr>
          <w:rFonts w:ascii="Garamond" w:hAnsi="Garamond"/>
          <w:szCs w:val="24"/>
          <w:lang w:val="uk-UA"/>
        </w:rPr>
      </w:pPr>
    </w:p>
    <w:p w:rsidR="00831F5B" w:rsidRPr="00E93710" w:rsidRDefault="004E7608" w:rsidP="00852217">
      <w:pPr>
        <w:pStyle w:val="OpiPara"/>
        <w:rPr>
          <w:szCs w:val="24"/>
          <w:lang w:val="uk-UA"/>
        </w:rPr>
      </w:pPr>
      <w:r w:rsidRPr="00E93710">
        <w:rPr>
          <w:szCs w:val="24"/>
          <w:lang w:val="uk-UA"/>
        </w:rPr>
        <w:fldChar w:fldCharType="begin"/>
      </w:r>
      <w:r w:rsidR="00F044F4" w:rsidRPr="00E93710">
        <w:rPr>
          <w:szCs w:val="24"/>
          <w:lang w:val="uk-UA"/>
        </w:rPr>
        <w:instrText xml:space="preserve"> SEQ level0 \*arabic \r1</w:instrText>
      </w:r>
      <w:r w:rsidRPr="00E93710">
        <w:rPr>
          <w:szCs w:val="24"/>
          <w:lang w:val="uk-UA"/>
        </w:rPr>
        <w:fldChar w:fldCharType="begin"/>
      </w:r>
      <w:r w:rsidR="00831F5B" w:rsidRPr="00E93710">
        <w:rPr>
          <w:szCs w:val="24"/>
          <w:lang w:val="uk-UA"/>
        </w:rPr>
        <w:instrText xml:space="preserve"> </w:instrText>
      </w:r>
      <w:r w:rsidR="00F044F4" w:rsidRPr="00E93710">
        <w:rPr>
          <w:szCs w:val="24"/>
          <w:lang w:val="uk-UA"/>
        </w:rPr>
        <w:instrText>.  </w:instrText>
      </w:r>
      <w:r w:rsidR="00831F5B" w:rsidRPr="00E93710">
        <w:rPr>
          <w:szCs w:val="24"/>
          <w:lang w:val="uk-UA"/>
        </w:rPr>
        <w:instrText xml:space="preserve">SEQ level0 \*arabic </w:instrText>
      </w:r>
      <w:r w:rsidRPr="00E93710">
        <w:rPr>
          <w:szCs w:val="24"/>
          <w:lang w:val="uk-UA"/>
        </w:rPr>
        <w:fldChar w:fldCharType="separate"/>
      </w:r>
      <w:r w:rsidR="00F044F4" w:rsidRPr="00E93710">
        <w:rPr>
          <w:noProof/>
          <w:szCs w:val="24"/>
          <w:lang w:val="uk-UA"/>
        </w:rPr>
        <w:instrText>296</w:instrText>
      </w:r>
      <w:r w:rsidRPr="00E93710">
        <w:rPr>
          <w:szCs w:val="24"/>
          <w:lang w:val="uk-UA"/>
        </w:rPr>
        <w:fldChar w:fldCharType="end"/>
      </w:r>
      <w:r w:rsidR="00F044F4" w:rsidRPr="00E93710">
        <w:rPr>
          <w:szCs w:val="24"/>
          <w:lang w:val="uk-UA"/>
        </w:rPr>
        <w:instrText xml:space="preserve"> </w:instrText>
      </w:r>
      <w:r w:rsidRPr="00E93710">
        <w:rPr>
          <w:szCs w:val="24"/>
          <w:lang w:val="uk-UA"/>
        </w:rPr>
        <w:fldChar w:fldCharType="separate"/>
      </w:r>
      <w:r w:rsidR="0075299E" w:rsidRPr="00E93710">
        <w:rPr>
          <w:noProof/>
          <w:szCs w:val="24"/>
          <w:lang w:val="uk-UA"/>
        </w:rPr>
        <w:t>1</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4A2B30" w:rsidRPr="000A38E5">
        <w:rPr>
          <w:szCs w:val="24"/>
          <w:lang w:val="uk-UA"/>
        </w:rPr>
        <w:t>Я з повагою не згоден з висновком Суду</w:t>
      </w:r>
      <w:r w:rsidR="00831F5B" w:rsidRPr="00E93710">
        <w:rPr>
          <w:szCs w:val="24"/>
          <w:lang w:val="uk-UA"/>
        </w:rPr>
        <w:t xml:space="preserve"> </w:t>
      </w:r>
      <w:r w:rsidR="004A2B30" w:rsidRPr="000A38E5">
        <w:rPr>
          <w:szCs w:val="24"/>
          <w:lang w:val="uk-UA"/>
        </w:rPr>
        <w:t>про те, що скарга третього заявника за статтею 3 Європейської Конвенції про захист прав людини і основоположних свобод</w:t>
      </w:r>
      <w:r w:rsidR="00334477" w:rsidRPr="000A38E5">
        <w:rPr>
          <w:szCs w:val="24"/>
          <w:lang w:val="uk-UA"/>
        </w:rPr>
        <w:t xml:space="preserve"> </w:t>
      </w:r>
      <w:r w:rsidR="004A2B30" w:rsidRPr="00E93710">
        <w:rPr>
          <w:szCs w:val="24"/>
          <w:lang w:val="uk-UA"/>
        </w:rPr>
        <w:t>(</w:t>
      </w:r>
      <w:r w:rsidR="004A2B30" w:rsidRPr="000A38E5">
        <w:rPr>
          <w:szCs w:val="24"/>
          <w:lang w:val="uk-UA"/>
        </w:rPr>
        <w:t>надалі – «Конвенція»</w:t>
      </w:r>
      <w:r w:rsidR="004A2B30" w:rsidRPr="00E93710">
        <w:rPr>
          <w:szCs w:val="24"/>
          <w:lang w:val="uk-UA"/>
        </w:rPr>
        <w:t xml:space="preserve">) </w:t>
      </w:r>
      <w:r w:rsidR="004A2B30" w:rsidRPr="000A38E5">
        <w:rPr>
          <w:szCs w:val="24"/>
          <w:lang w:val="uk-UA"/>
        </w:rPr>
        <w:t>є неприйнятною</w:t>
      </w:r>
      <w:r w:rsidR="00831F5B" w:rsidRPr="00E93710">
        <w:rPr>
          <w:szCs w:val="24"/>
          <w:lang w:val="uk-UA"/>
        </w:rPr>
        <w:t xml:space="preserve">. </w:t>
      </w:r>
      <w:r w:rsidR="009F7D86" w:rsidRPr="000A38E5">
        <w:rPr>
          <w:szCs w:val="24"/>
          <w:lang w:val="uk-UA"/>
        </w:rPr>
        <w:t>Я також вважаю, що матеріальні порушення статті</w:t>
      </w:r>
      <w:r w:rsidR="00831F5B" w:rsidRPr="00E93710">
        <w:rPr>
          <w:szCs w:val="24"/>
          <w:lang w:val="uk-UA"/>
        </w:rPr>
        <w:t xml:space="preserve"> 3 </w:t>
      </w:r>
      <w:r w:rsidR="009F7D86" w:rsidRPr="000A38E5">
        <w:rPr>
          <w:szCs w:val="24"/>
          <w:lang w:val="uk-UA"/>
        </w:rPr>
        <w:t>мали місце по відношенню до сьомого та дев’ятого заявників</w:t>
      </w:r>
      <w:r w:rsidR="00831F5B" w:rsidRPr="00E93710">
        <w:rPr>
          <w:szCs w:val="24"/>
          <w:lang w:val="uk-UA"/>
        </w:rPr>
        <w:t xml:space="preserve">. </w:t>
      </w:r>
      <w:r w:rsidR="009F7D86" w:rsidRPr="000A38E5">
        <w:rPr>
          <w:szCs w:val="24"/>
          <w:lang w:val="uk-UA"/>
        </w:rPr>
        <w:t>Нарешті, я не можу погодитися з визнанням відсутності порушення статті</w:t>
      </w:r>
      <w:r w:rsidR="00831F5B" w:rsidRPr="00E93710">
        <w:rPr>
          <w:szCs w:val="24"/>
          <w:lang w:val="uk-UA"/>
        </w:rPr>
        <w:t xml:space="preserve"> 11 </w:t>
      </w:r>
      <w:r w:rsidR="009F7D86" w:rsidRPr="000A38E5">
        <w:rPr>
          <w:szCs w:val="24"/>
          <w:lang w:val="uk-UA"/>
        </w:rPr>
        <w:t>Конвенції стосовно скарг третього, четвертого, п’ятого та шостого заявників</w:t>
      </w:r>
      <w:r w:rsidR="00831F5B" w:rsidRPr="00E93710">
        <w:rPr>
          <w:szCs w:val="24"/>
          <w:lang w:val="uk-UA"/>
        </w:rPr>
        <w:t xml:space="preserve"> </w:t>
      </w:r>
      <w:r w:rsidR="009F7D86" w:rsidRPr="000A38E5">
        <w:rPr>
          <w:szCs w:val="24"/>
          <w:lang w:val="uk-UA"/>
        </w:rPr>
        <w:t>про їх арешт та засудження</w:t>
      </w:r>
      <w:r w:rsidR="00831F5B" w:rsidRPr="00E93710">
        <w:rPr>
          <w:szCs w:val="24"/>
          <w:lang w:val="uk-UA"/>
        </w:rPr>
        <w:t xml:space="preserve">. </w:t>
      </w:r>
      <w:r w:rsidR="009F7D86" w:rsidRPr="000A38E5">
        <w:rPr>
          <w:szCs w:val="24"/>
          <w:lang w:val="uk-UA"/>
        </w:rPr>
        <w:t>В усіх інших відношеннях я погоджуюсь з висновками більшості щодо порушень</w:t>
      </w:r>
      <w:r w:rsidR="00096492"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2</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9F7D86" w:rsidRPr="000A38E5">
        <w:rPr>
          <w:szCs w:val="24"/>
          <w:lang w:val="uk-UA"/>
        </w:rPr>
        <w:t>Ця справа має значні наслідки для права на свободу демонстрації</w:t>
      </w:r>
      <w:r w:rsidR="00831F5B" w:rsidRPr="00E93710">
        <w:rPr>
          <w:szCs w:val="24"/>
          <w:lang w:val="uk-UA"/>
        </w:rPr>
        <w:t xml:space="preserve">, </w:t>
      </w:r>
      <w:r w:rsidR="009F7D86" w:rsidRPr="000A38E5">
        <w:rPr>
          <w:szCs w:val="24"/>
          <w:lang w:val="uk-UA"/>
        </w:rPr>
        <w:t>зокрема в тому, що стосується безпеки та захисту протестуючих, які стикаються з насильницькими діями</w:t>
      </w:r>
      <w:r w:rsidR="00831F5B" w:rsidRPr="00E93710">
        <w:rPr>
          <w:szCs w:val="24"/>
          <w:lang w:val="uk-UA"/>
        </w:rPr>
        <w:t xml:space="preserve"> </w:t>
      </w:r>
      <w:r w:rsidR="009F7D86" w:rsidRPr="000A38E5">
        <w:rPr>
          <w:szCs w:val="24"/>
          <w:lang w:val="uk-UA"/>
        </w:rPr>
        <w:t>приватних охоронців та міліції</w:t>
      </w:r>
      <w:r w:rsidR="00831F5B" w:rsidRPr="00E93710">
        <w:rPr>
          <w:szCs w:val="24"/>
          <w:lang w:val="uk-UA"/>
        </w:rPr>
        <w:t xml:space="preserve">. </w:t>
      </w:r>
      <w:r w:rsidR="009F7D86" w:rsidRPr="000A38E5">
        <w:rPr>
          <w:szCs w:val="24"/>
          <w:lang w:val="uk-UA"/>
        </w:rPr>
        <w:t>Я не переконаний, що більшість належним чином розглянула ці наслідки</w:t>
      </w:r>
      <w:r w:rsidR="00831F5B" w:rsidRPr="00E93710">
        <w:rPr>
          <w:szCs w:val="24"/>
          <w:lang w:val="uk-UA"/>
        </w:rPr>
        <w:t xml:space="preserve">. </w:t>
      </w:r>
      <w:r w:rsidR="009F7D86" w:rsidRPr="000A38E5">
        <w:rPr>
          <w:szCs w:val="24"/>
          <w:lang w:val="uk-UA"/>
        </w:rPr>
        <w:t>Щодо тверджень за статтею 3, більшість невиправдано прийняла тлумачення подій,</w:t>
      </w:r>
      <w:r w:rsidR="00831F5B" w:rsidRPr="00E93710">
        <w:rPr>
          <w:szCs w:val="24"/>
          <w:lang w:val="uk-UA"/>
        </w:rPr>
        <w:t xml:space="preserve"> </w:t>
      </w:r>
      <w:r w:rsidR="009F7D86" w:rsidRPr="000A38E5">
        <w:rPr>
          <w:szCs w:val="24"/>
          <w:lang w:val="uk-UA"/>
        </w:rPr>
        <w:t>яке є занадто вигідним для Уряду</w:t>
      </w:r>
      <w:r w:rsidR="00831F5B" w:rsidRPr="00E93710">
        <w:rPr>
          <w:szCs w:val="24"/>
          <w:lang w:val="uk-UA"/>
        </w:rPr>
        <w:t xml:space="preserve">. </w:t>
      </w:r>
      <w:r w:rsidR="009F7D86" w:rsidRPr="000A38E5">
        <w:rPr>
          <w:szCs w:val="24"/>
          <w:lang w:val="uk-UA"/>
        </w:rPr>
        <w:t xml:space="preserve">Щодо </w:t>
      </w:r>
      <w:proofErr w:type="spellStart"/>
      <w:r w:rsidR="009F7D86" w:rsidRPr="000A38E5">
        <w:rPr>
          <w:szCs w:val="24"/>
          <w:lang w:val="uk-UA"/>
        </w:rPr>
        <w:t>стверджуваних</w:t>
      </w:r>
      <w:proofErr w:type="spellEnd"/>
      <w:r w:rsidR="009F7D86" w:rsidRPr="000A38E5">
        <w:rPr>
          <w:szCs w:val="24"/>
          <w:lang w:val="uk-UA"/>
        </w:rPr>
        <w:t xml:space="preserve"> порушень прав людини, на жаль, Європейський </w:t>
      </w:r>
      <w:r w:rsidR="00950825" w:rsidRPr="000A38E5">
        <w:rPr>
          <w:szCs w:val="24"/>
          <w:lang w:val="uk-UA"/>
        </w:rPr>
        <w:t>с</w:t>
      </w:r>
      <w:r w:rsidR="009F7D86" w:rsidRPr="000A38E5">
        <w:rPr>
          <w:szCs w:val="24"/>
          <w:lang w:val="uk-UA"/>
        </w:rPr>
        <w:t>уд з прав людини (надалі – «Суд»)</w:t>
      </w:r>
      <w:r w:rsidR="00831F5B" w:rsidRPr="00E93710">
        <w:rPr>
          <w:szCs w:val="24"/>
          <w:lang w:val="uk-UA"/>
        </w:rPr>
        <w:t xml:space="preserve"> </w:t>
      </w:r>
      <w:r w:rsidR="009F7D86" w:rsidRPr="000A38E5">
        <w:rPr>
          <w:szCs w:val="24"/>
          <w:lang w:val="uk-UA"/>
        </w:rPr>
        <w:t>не здійснив належне балансування при оцінці необхідності</w:t>
      </w:r>
      <w:r w:rsidR="00831F5B" w:rsidRPr="00E93710">
        <w:rPr>
          <w:szCs w:val="24"/>
          <w:lang w:val="uk-UA"/>
        </w:rPr>
        <w:t xml:space="preserve"> </w:t>
      </w:r>
      <w:r w:rsidR="009F7D86" w:rsidRPr="000A38E5">
        <w:rPr>
          <w:szCs w:val="24"/>
          <w:lang w:val="uk-UA"/>
        </w:rPr>
        <w:t>втручання у демократичному суспільстві</w:t>
      </w:r>
      <w:r w:rsidR="00096492" w:rsidRPr="00E93710">
        <w:rPr>
          <w:szCs w:val="24"/>
          <w:lang w:val="uk-UA"/>
        </w:rPr>
        <w:t>.</w:t>
      </w:r>
    </w:p>
    <w:p w:rsidR="00F41606" w:rsidRPr="000A38E5" w:rsidRDefault="00831F5B" w:rsidP="00852217">
      <w:pPr>
        <w:pStyle w:val="OpiH1"/>
        <w:rPr>
          <w:lang w:val="uk-UA"/>
        </w:rPr>
      </w:pPr>
      <w:r w:rsidRPr="00E93710">
        <w:rPr>
          <w:lang w:val="uk-UA"/>
        </w:rPr>
        <w:t>I.</w:t>
      </w:r>
      <w:r w:rsidR="00334477" w:rsidRPr="000A38E5">
        <w:rPr>
          <w:lang w:val="uk-UA"/>
        </w:rPr>
        <w:t xml:space="preserve"> </w:t>
      </w:r>
      <w:r w:rsidR="0035751C" w:rsidRPr="000A38E5">
        <w:rPr>
          <w:lang w:val="uk-UA"/>
        </w:rPr>
        <w:t>Ненадання Урядом належної інформації</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3</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35751C" w:rsidRPr="000A38E5">
        <w:rPr>
          <w:szCs w:val="24"/>
          <w:lang w:val="uk-UA"/>
        </w:rPr>
        <w:t>По-перше, я хотів би надати загальний коментар</w:t>
      </w:r>
      <w:r w:rsidR="00831F5B" w:rsidRPr="00E93710">
        <w:rPr>
          <w:szCs w:val="24"/>
          <w:lang w:val="uk-UA"/>
        </w:rPr>
        <w:t xml:space="preserve"> </w:t>
      </w:r>
      <w:r w:rsidR="0035751C" w:rsidRPr="000A38E5">
        <w:rPr>
          <w:szCs w:val="24"/>
          <w:lang w:val="uk-UA"/>
        </w:rPr>
        <w:t>щодо ненадання Урядом</w:t>
      </w:r>
      <w:r w:rsidR="00334477" w:rsidRPr="000A38E5">
        <w:rPr>
          <w:szCs w:val="24"/>
          <w:lang w:val="uk-UA"/>
        </w:rPr>
        <w:t xml:space="preserve"> </w:t>
      </w:r>
      <w:r w:rsidR="0035751C" w:rsidRPr="000A38E5">
        <w:rPr>
          <w:szCs w:val="24"/>
          <w:lang w:val="uk-UA"/>
        </w:rPr>
        <w:t>цьому Суду ключових документів</w:t>
      </w:r>
      <w:r w:rsidR="00831F5B" w:rsidRPr="00E93710">
        <w:rPr>
          <w:szCs w:val="24"/>
          <w:lang w:val="uk-UA"/>
        </w:rPr>
        <w:t xml:space="preserve">: </w:t>
      </w:r>
      <w:r w:rsidR="0035751C" w:rsidRPr="000A38E5">
        <w:rPr>
          <w:szCs w:val="24"/>
          <w:lang w:val="uk-UA"/>
        </w:rPr>
        <w:t>коли у ненаданні Урядом відповідної інформації немає вини заявників</w:t>
      </w:r>
      <w:r w:rsidR="00831F5B" w:rsidRPr="00E93710">
        <w:rPr>
          <w:szCs w:val="24"/>
          <w:lang w:val="uk-UA"/>
        </w:rPr>
        <w:t xml:space="preserve">, </w:t>
      </w:r>
      <w:r w:rsidR="0035751C" w:rsidRPr="000A38E5">
        <w:rPr>
          <w:szCs w:val="24"/>
          <w:lang w:val="uk-UA"/>
        </w:rPr>
        <w:t>лакуни повинні тлумачитися на користь заявників</w:t>
      </w:r>
      <w:r w:rsidR="00096492"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4</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35751C" w:rsidRPr="000A38E5">
        <w:rPr>
          <w:szCs w:val="24"/>
          <w:lang w:val="uk-UA"/>
        </w:rPr>
        <w:t>Наприклад, Уряд не надав до Суду копію рішення</w:t>
      </w:r>
      <w:r w:rsidR="00831F5B" w:rsidRPr="00E93710">
        <w:rPr>
          <w:szCs w:val="24"/>
          <w:lang w:val="uk-UA"/>
        </w:rPr>
        <w:t xml:space="preserve"> </w:t>
      </w:r>
      <w:r w:rsidR="0035751C" w:rsidRPr="000A38E5">
        <w:rPr>
          <w:szCs w:val="24"/>
          <w:lang w:val="uk-UA"/>
        </w:rPr>
        <w:t>про відмову в порушенні кримінальних проваджень у відповідь</w:t>
      </w:r>
      <w:r w:rsidR="00831F5B" w:rsidRPr="00E93710">
        <w:rPr>
          <w:szCs w:val="24"/>
          <w:lang w:val="uk-UA"/>
        </w:rPr>
        <w:t xml:space="preserve"> </w:t>
      </w:r>
      <w:r w:rsidR="0035751C" w:rsidRPr="000A38E5">
        <w:rPr>
          <w:szCs w:val="24"/>
          <w:lang w:val="uk-UA"/>
        </w:rPr>
        <w:t>на скарги сьомого та дев’ятого заявників, за «невідомих» підстав</w:t>
      </w:r>
      <w:r w:rsidR="00831F5B" w:rsidRPr="00E93710">
        <w:rPr>
          <w:szCs w:val="24"/>
          <w:lang w:val="uk-UA"/>
        </w:rPr>
        <w:t xml:space="preserve"> – </w:t>
      </w:r>
      <w:r w:rsidR="0035751C" w:rsidRPr="000A38E5">
        <w:rPr>
          <w:szCs w:val="24"/>
          <w:lang w:val="uk-UA"/>
        </w:rPr>
        <w:t>таким чином «позбавивши Суд повної можливості</w:t>
      </w:r>
      <w:r w:rsidR="00831F5B" w:rsidRPr="00E93710">
        <w:rPr>
          <w:szCs w:val="24"/>
          <w:lang w:val="uk-UA"/>
        </w:rPr>
        <w:t xml:space="preserve"> </w:t>
      </w:r>
      <w:r w:rsidR="0035751C" w:rsidRPr="000A38E5">
        <w:rPr>
          <w:szCs w:val="24"/>
          <w:lang w:val="uk-UA"/>
        </w:rPr>
        <w:t>розглянути кроки, зроблені органами влади для розслідування</w:t>
      </w:r>
      <w:r w:rsidR="00831F5B" w:rsidRPr="00E93710">
        <w:rPr>
          <w:szCs w:val="24"/>
          <w:lang w:val="uk-UA"/>
        </w:rPr>
        <w:t xml:space="preserve"> </w:t>
      </w:r>
      <w:r w:rsidR="0035751C" w:rsidRPr="000A38E5">
        <w:rPr>
          <w:szCs w:val="24"/>
          <w:lang w:val="uk-UA"/>
        </w:rPr>
        <w:t>тверджень заявників»</w:t>
      </w:r>
      <w:r w:rsidR="00831F5B" w:rsidRPr="00E93710">
        <w:rPr>
          <w:szCs w:val="24"/>
          <w:vertAlign w:val="superscript"/>
          <w:lang w:val="uk-UA"/>
        </w:rPr>
        <w:footnoteReference w:id="3"/>
      </w:r>
      <w:r w:rsidR="00831F5B" w:rsidRPr="00E93710">
        <w:rPr>
          <w:szCs w:val="24"/>
          <w:lang w:val="uk-UA"/>
        </w:rPr>
        <w:t xml:space="preserve">. </w:t>
      </w:r>
      <w:r w:rsidR="0035751C" w:rsidRPr="000A38E5">
        <w:rPr>
          <w:szCs w:val="24"/>
          <w:lang w:val="uk-UA"/>
        </w:rPr>
        <w:t>В дійсності, більшість встановила, що сьомому та дев’ятому заявникам</w:t>
      </w:r>
      <w:r w:rsidR="00831F5B" w:rsidRPr="00E93710">
        <w:rPr>
          <w:szCs w:val="24"/>
          <w:lang w:val="uk-UA"/>
        </w:rPr>
        <w:t xml:space="preserve"> </w:t>
      </w:r>
      <w:r w:rsidR="00D60A79" w:rsidRPr="000A38E5">
        <w:rPr>
          <w:szCs w:val="24"/>
          <w:lang w:val="uk-UA"/>
        </w:rPr>
        <w:t>перешкоджали узнати про результат розслідування</w:t>
      </w:r>
      <w:r w:rsidR="00831F5B" w:rsidRPr="00E93710">
        <w:rPr>
          <w:szCs w:val="24"/>
          <w:lang w:val="uk-UA"/>
        </w:rPr>
        <w:t xml:space="preserve"> </w:t>
      </w:r>
      <w:r w:rsidR="00D60A79" w:rsidRPr="000A38E5">
        <w:rPr>
          <w:szCs w:val="24"/>
          <w:lang w:val="uk-UA"/>
        </w:rPr>
        <w:t>їх скарг</w:t>
      </w:r>
      <w:r w:rsidR="00831F5B" w:rsidRPr="00E93710">
        <w:rPr>
          <w:szCs w:val="24"/>
          <w:lang w:val="uk-UA"/>
        </w:rPr>
        <w:t xml:space="preserve">, </w:t>
      </w:r>
      <w:r w:rsidR="00D60A79" w:rsidRPr="000A38E5">
        <w:rPr>
          <w:szCs w:val="24"/>
          <w:lang w:val="uk-UA"/>
        </w:rPr>
        <w:t>і на підставі цього визнала порушення процесуального аспекту статті</w:t>
      </w:r>
      <w:r w:rsidR="00831F5B" w:rsidRPr="00E93710">
        <w:rPr>
          <w:szCs w:val="24"/>
          <w:lang w:val="uk-UA"/>
        </w:rPr>
        <w:t xml:space="preserve"> 3 </w:t>
      </w:r>
      <w:r w:rsidR="00D60A79" w:rsidRPr="000A38E5">
        <w:rPr>
          <w:szCs w:val="24"/>
          <w:lang w:val="uk-UA"/>
        </w:rPr>
        <w:t>Конвенції</w:t>
      </w:r>
      <w:r w:rsidR="00831F5B" w:rsidRPr="00E93710">
        <w:rPr>
          <w:szCs w:val="24"/>
          <w:vertAlign w:val="superscript"/>
          <w:lang w:val="uk-UA"/>
        </w:rPr>
        <w:footnoteReference w:id="4"/>
      </w:r>
      <w:r w:rsidR="00096492"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5</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4E5266" w:rsidRPr="000A38E5">
        <w:rPr>
          <w:szCs w:val="24"/>
          <w:lang w:val="uk-UA"/>
        </w:rPr>
        <w:t>Однак, більшість помиляється у тому, що не застосовує це ж обґрунтування</w:t>
      </w:r>
      <w:r w:rsidR="00831F5B" w:rsidRPr="00E93710">
        <w:rPr>
          <w:szCs w:val="24"/>
          <w:lang w:val="uk-UA"/>
        </w:rPr>
        <w:t xml:space="preserve"> </w:t>
      </w:r>
      <w:r w:rsidR="004E5266" w:rsidRPr="000A38E5">
        <w:rPr>
          <w:szCs w:val="24"/>
          <w:lang w:val="uk-UA"/>
        </w:rPr>
        <w:t>до інших скарг</w:t>
      </w:r>
      <w:r w:rsidR="00831F5B" w:rsidRPr="00E93710">
        <w:rPr>
          <w:szCs w:val="24"/>
          <w:lang w:val="uk-UA"/>
        </w:rPr>
        <w:t xml:space="preserve">, </w:t>
      </w:r>
      <w:r w:rsidR="004E5266" w:rsidRPr="000A38E5">
        <w:rPr>
          <w:szCs w:val="24"/>
          <w:lang w:val="uk-UA"/>
        </w:rPr>
        <w:t xml:space="preserve">зокрема до </w:t>
      </w:r>
      <w:proofErr w:type="spellStart"/>
      <w:r w:rsidR="004E5266" w:rsidRPr="000A38E5">
        <w:rPr>
          <w:szCs w:val="24"/>
          <w:lang w:val="uk-UA"/>
        </w:rPr>
        <w:t>стверджуваних</w:t>
      </w:r>
      <w:proofErr w:type="spellEnd"/>
      <w:r w:rsidR="004E5266" w:rsidRPr="000A38E5">
        <w:rPr>
          <w:szCs w:val="24"/>
          <w:lang w:val="uk-UA"/>
        </w:rPr>
        <w:t xml:space="preserve"> матеріальних порушень статті</w:t>
      </w:r>
      <w:r w:rsidR="00831F5B" w:rsidRPr="00E93710">
        <w:rPr>
          <w:szCs w:val="24"/>
          <w:lang w:val="uk-UA"/>
        </w:rPr>
        <w:t xml:space="preserve"> 3. </w:t>
      </w:r>
      <w:r w:rsidR="004E5266" w:rsidRPr="000A38E5">
        <w:rPr>
          <w:szCs w:val="24"/>
          <w:lang w:val="uk-UA"/>
        </w:rPr>
        <w:t>Коли Уряд наводить знищення відповідних документів в якості підстави для нездатності надати належну інформацію</w:t>
      </w:r>
      <w:r w:rsidR="00831F5B" w:rsidRPr="00E93710">
        <w:rPr>
          <w:szCs w:val="24"/>
          <w:lang w:val="uk-UA"/>
        </w:rPr>
        <w:t xml:space="preserve">, </w:t>
      </w:r>
      <w:r w:rsidR="004E5266" w:rsidRPr="000A38E5">
        <w:rPr>
          <w:szCs w:val="24"/>
          <w:lang w:val="uk-UA"/>
        </w:rPr>
        <w:t>а сторони надають інші версії обставин,</w:t>
      </w:r>
      <w:r w:rsidR="00831F5B" w:rsidRPr="00E93710">
        <w:rPr>
          <w:szCs w:val="24"/>
          <w:lang w:val="uk-UA"/>
        </w:rPr>
        <w:t xml:space="preserve"> </w:t>
      </w:r>
      <w:r w:rsidR="004E5266" w:rsidRPr="000A38E5">
        <w:rPr>
          <w:szCs w:val="24"/>
          <w:lang w:val="uk-UA"/>
        </w:rPr>
        <w:t>які призвели до цієї скарги</w:t>
      </w:r>
      <w:r w:rsidR="00831F5B" w:rsidRPr="00E93710">
        <w:rPr>
          <w:szCs w:val="24"/>
          <w:lang w:val="uk-UA"/>
        </w:rPr>
        <w:t xml:space="preserve">, </w:t>
      </w:r>
      <w:r w:rsidR="004E5266" w:rsidRPr="000A38E5">
        <w:rPr>
          <w:szCs w:val="24"/>
          <w:lang w:val="uk-UA"/>
        </w:rPr>
        <w:t>Суд повинен оцінити суть скарг лише на основі доводів заявників</w:t>
      </w:r>
      <w:r w:rsidR="00831F5B" w:rsidRPr="00E93710">
        <w:rPr>
          <w:szCs w:val="24"/>
          <w:vertAlign w:val="superscript"/>
          <w:lang w:val="uk-UA"/>
        </w:rPr>
        <w:footnoteReference w:id="5"/>
      </w:r>
      <w:r w:rsidR="00831F5B" w:rsidRPr="00E93710">
        <w:rPr>
          <w:szCs w:val="24"/>
          <w:lang w:val="uk-UA"/>
        </w:rPr>
        <w:t xml:space="preserve">. </w:t>
      </w:r>
      <w:r w:rsidR="004E5266" w:rsidRPr="000A38E5">
        <w:rPr>
          <w:szCs w:val="24"/>
          <w:lang w:val="uk-UA"/>
        </w:rPr>
        <w:t>Така практика визнає, що держава має непропорційно привілейований доступ</w:t>
      </w:r>
      <w:r w:rsidR="00831F5B" w:rsidRPr="00E93710">
        <w:rPr>
          <w:szCs w:val="24"/>
          <w:lang w:val="uk-UA"/>
        </w:rPr>
        <w:t xml:space="preserve"> </w:t>
      </w:r>
      <w:r w:rsidR="004E5266" w:rsidRPr="000A38E5">
        <w:rPr>
          <w:szCs w:val="24"/>
          <w:lang w:val="uk-UA"/>
        </w:rPr>
        <w:t>та розслідування у порівнянні з заявниками</w:t>
      </w:r>
      <w:r w:rsidR="00831F5B" w:rsidRPr="00E93710">
        <w:rPr>
          <w:szCs w:val="24"/>
          <w:lang w:val="uk-UA"/>
        </w:rPr>
        <w:t xml:space="preserve">, </w:t>
      </w:r>
      <w:r w:rsidR="004E5266" w:rsidRPr="000A38E5">
        <w:rPr>
          <w:szCs w:val="24"/>
          <w:lang w:val="uk-UA"/>
        </w:rPr>
        <w:t>і тому повинна нести відповідальність за ненадання фактів для оцінки з боку Суду</w:t>
      </w:r>
      <w:r w:rsidR="00096492" w:rsidRPr="00E93710">
        <w:rPr>
          <w:szCs w:val="24"/>
          <w:lang w:val="uk-UA"/>
        </w:rPr>
        <w:t>.</w:t>
      </w:r>
    </w:p>
    <w:p w:rsidR="00831F5B" w:rsidRPr="000A38E5"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6</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4E5266" w:rsidRPr="000A38E5">
        <w:rPr>
          <w:szCs w:val="24"/>
          <w:lang w:val="uk-UA"/>
        </w:rPr>
        <w:t>Всупереч цьому підходу, більшість вирішила будь-які невизначеності на користь Уряду</w:t>
      </w:r>
      <w:r w:rsidR="00096492" w:rsidRPr="00E93710">
        <w:rPr>
          <w:szCs w:val="24"/>
          <w:lang w:val="uk-UA"/>
        </w:rPr>
        <w:t xml:space="preserve">, </w:t>
      </w:r>
      <w:r w:rsidR="004E5266" w:rsidRPr="000A38E5">
        <w:rPr>
          <w:szCs w:val="24"/>
          <w:lang w:val="uk-UA"/>
        </w:rPr>
        <w:t>як я пояснюю нижче</w:t>
      </w:r>
      <w:r w:rsidR="00096492" w:rsidRPr="000A38E5">
        <w:rPr>
          <w:szCs w:val="24"/>
          <w:lang w:val="uk-UA"/>
        </w:rPr>
        <w:t>.</w:t>
      </w:r>
    </w:p>
    <w:p w:rsidR="00F41606" w:rsidRPr="000A38E5" w:rsidRDefault="00831F5B" w:rsidP="00852217">
      <w:pPr>
        <w:pStyle w:val="OpiH1"/>
        <w:rPr>
          <w:lang w:val="uk-UA"/>
        </w:rPr>
      </w:pPr>
      <w:r w:rsidRPr="00E93710">
        <w:rPr>
          <w:lang w:val="uk-UA"/>
        </w:rPr>
        <w:t>II</w:t>
      </w:r>
      <w:r w:rsidRPr="000A38E5">
        <w:rPr>
          <w:lang w:val="uk-UA"/>
        </w:rPr>
        <w:t xml:space="preserve">. </w:t>
      </w:r>
      <w:r w:rsidR="004E5266" w:rsidRPr="000A38E5">
        <w:rPr>
          <w:lang w:val="uk-UA"/>
        </w:rPr>
        <w:t>Стаття 3 Конвенції</w:t>
      </w:r>
    </w:p>
    <w:p w:rsidR="00F41606" w:rsidRPr="000A38E5" w:rsidRDefault="00831F5B" w:rsidP="00852217">
      <w:pPr>
        <w:pStyle w:val="OpiHi"/>
        <w:rPr>
          <w:lang w:val="uk-UA"/>
        </w:rPr>
      </w:pPr>
      <w:r w:rsidRPr="00E93710">
        <w:rPr>
          <w:lang w:val="uk-UA"/>
        </w:rPr>
        <w:t>i</w:t>
      </w:r>
      <w:r w:rsidRPr="000A38E5">
        <w:rPr>
          <w:lang w:val="uk-UA"/>
        </w:rPr>
        <w:t>.</w:t>
      </w:r>
      <w:r w:rsidR="00334477" w:rsidRPr="000A38E5">
        <w:rPr>
          <w:lang w:val="uk-UA"/>
        </w:rPr>
        <w:t xml:space="preserve"> </w:t>
      </w:r>
      <w:r w:rsidR="004E5266" w:rsidRPr="000A38E5">
        <w:rPr>
          <w:lang w:val="uk-UA"/>
        </w:rPr>
        <w:t>Неприйнятність скарги, висунутої третім заявником</w:t>
      </w:r>
    </w:p>
    <w:p w:rsidR="00831F5B" w:rsidRPr="00E93710" w:rsidRDefault="004E7608" w:rsidP="00852217">
      <w:pPr>
        <w:pStyle w:val="OpiPara"/>
        <w:rPr>
          <w:szCs w:val="24"/>
          <w:lang w:val="uk-UA"/>
        </w:rPr>
      </w:pPr>
      <w:r w:rsidRPr="00E93710">
        <w:rPr>
          <w:szCs w:val="24"/>
          <w:lang w:val="uk-UA"/>
        </w:rPr>
        <w:fldChar w:fldCharType="begin"/>
      </w:r>
      <w:r w:rsidR="00831F5B" w:rsidRPr="000A38E5">
        <w:rPr>
          <w:szCs w:val="24"/>
          <w:lang w:val="uk-UA"/>
        </w:rPr>
        <w:instrText xml:space="preserve"> </w:instrText>
      </w:r>
      <w:r w:rsidR="00831F5B" w:rsidRPr="00E93710">
        <w:rPr>
          <w:szCs w:val="24"/>
          <w:lang w:val="uk-UA"/>
        </w:rPr>
        <w:instrText>SEQ</w:instrText>
      </w:r>
      <w:r w:rsidR="00831F5B" w:rsidRPr="000A38E5">
        <w:rPr>
          <w:szCs w:val="24"/>
          <w:lang w:val="uk-UA"/>
        </w:rPr>
        <w:instrText xml:space="preserve"> </w:instrText>
      </w:r>
      <w:r w:rsidR="00831F5B" w:rsidRPr="00E93710">
        <w:rPr>
          <w:szCs w:val="24"/>
          <w:lang w:val="uk-UA"/>
        </w:rPr>
        <w:instrText>level</w:instrText>
      </w:r>
      <w:r w:rsidR="00831F5B" w:rsidRPr="000A38E5">
        <w:rPr>
          <w:szCs w:val="24"/>
          <w:lang w:val="uk-UA"/>
        </w:rPr>
        <w:instrText>0 \*</w:instrText>
      </w:r>
      <w:r w:rsidR="00831F5B" w:rsidRPr="00E93710">
        <w:rPr>
          <w:szCs w:val="24"/>
          <w:lang w:val="uk-UA"/>
        </w:rPr>
        <w:instrText>arabic</w:instrText>
      </w:r>
      <w:r w:rsidR="00831F5B" w:rsidRPr="000A38E5">
        <w:rPr>
          <w:szCs w:val="24"/>
          <w:lang w:val="uk-UA"/>
        </w:rPr>
        <w:instrText xml:space="preserve"> </w:instrText>
      </w:r>
      <w:r w:rsidRPr="00E93710">
        <w:rPr>
          <w:szCs w:val="24"/>
          <w:lang w:val="uk-UA"/>
        </w:rPr>
        <w:fldChar w:fldCharType="separate"/>
      </w:r>
      <w:r w:rsidR="0075299E" w:rsidRPr="00E93710">
        <w:rPr>
          <w:noProof/>
          <w:szCs w:val="24"/>
          <w:lang w:val="uk-UA"/>
        </w:rPr>
        <w:t>7</w:t>
      </w:r>
      <w:r w:rsidRPr="00E93710">
        <w:rPr>
          <w:szCs w:val="24"/>
          <w:lang w:val="uk-UA"/>
        </w:rPr>
        <w:fldChar w:fldCharType="end"/>
      </w:r>
      <w:r w:rsidR="00831F5B" w:rsidRPr="000A38E5">
        <w:rPr>
          <w:szCs w:val="24"/>
          <w:lang w:val="uk-UA"/>
        </w:rPr>
        <w:t>.</w:t>
      </w:r>
      <w:r w:rsidR="00334477" w:rsidRPr="000A38E5">
        <w:rPr>
          <w:szCs w:val="24"/>
          <w:lang w:val="uk-UA"/>
        </w:rPr>
        <w:t xml:space="preserve"> </w:t>
      </w:r>
      <w:r w:rsidR="005B05F8" w:rsidRPr="000A38E5">
        <w:rPr>
          <w:szCs w:val="24"/>
          <w:lang w:val="uk-UA"/>
        </w:rPr>
        <w:t xml:space="preserve">Я вражений нездатністю більшості розглянути дуже </w:t>
      </w:r>
      <w:proofErr w:type="spellStart"/>
      <w:r w:rsidR="005B05F8" w:rsidRPr="000A38E5">
        <w:rPr>
          <w:szCs w:val="24"/>
          <w:lang w:val="uk-UA"/>
        </w:rPr>
        <w:t>турбуюч</w:t>
      </w:r>
      <w:r w:rsidR="00D04BB1" w:rsidRPr="000A38E5">
        <w:rPr>
          <w:szCs w:val="24"/>
          <w:lang w:val="uk-UA"/>
        </w:rPr>
        <w:t>у</w:t>
      </w:r>
      <w:proofErr w:type="spellEnd"/>
      <w:r w:rsidR="005B05F8" w:rsidRPr="000A38E5">
        <w:rPr>
          <w:szCs w:val="24"/>
          <w:lang w:val="uk-UA"/>
        </w:rPr>
        <w:t xml:space="preserve"> поведінку двох працівників</w:t>
      </w:r>
      <w:r w:rsidR="00831F5B" w:rsidRPr="000A38E5">
        <w:rPr>
          <w:szCs w:val="24"/>
          <w:lang w:val="uk-UA"/>
        </w:rPr>
        <w:t xml:space="preserve"> (</w:t>
      </w:r>
      <w:r w:rsidR="00831F5B" w:rsidRPr="00E93710">
        <w:rPr>
          <w:szCs w:val="24"/>
          <w:lang w:val="uk-UA"/>
        </w:rPr>
        <w:t>A</w:t>
      </w:r>
      <w:r w:rsidR="00831F5B" w:rsidRPr="000A38E5">
        <w:rPr>
          <w:szCs w:val="24"/>
          <w:lang w:val="uk-UA"/>
        </w:rPr>
        <w:t xml:space="preserve">. </w:t>
      </w:r>
      <w:r w:rsidR="005B05F8" w:rsidRPr="000A38E5">
        <w:rPr>
          <w:szCs w:val="24"/>
          <w:lang w:val="uk-UA"/>
        </w:rPr>
        <w:t>та</w:t>
      </w:r>
      <w:r w:rsidR="00831F5B" w:rsidRPr="000A38E5">
        <w:rPr>
          <w:szCs w:val="24"/>
          <w:lang w:val="uk-UA"/>
        </w:rPr>
        <w:t xml:space="preserve"> </w:t>
      </w:r>
      <w:r w:rsidR="00831F5B" w:rsidRPr="00E93710">
        <w:rPr>
          <w:szCs w:val="24"/>
          <w:lang w:val="uk-UA"/>
        </w:rPr>
        <w:t>K</w:t>
      </w:r>
      <w:r w:rsidR="00831F5B" w:rsidRPr="000A38E5">
        <w:rPr>
          <w:szCs w:val="24"/>
          <w:lang w:val="uk-UA"/>
        </w:rPr>
        <w:t xml:space="preserve">.) </w:t>
      </w:r>
      <w:r w:rsidR="005B05F8" w:rsidRPr="000A38E5">
        <w:rPr>
          <w:szCs w:val="24"/>
          <w:lang w:val="uk-UA"/>
        </w:rPr>
        <w:t>при використанні бензопил для залякування третього заявника</w:t>
      </w:r>
      <w:r w:rsidR="00831F5B" w:rsidRPr="000A38E5">
        <w:rPr>
          <w:szCs w:val="24"/>
          <w:lang w:val="uk-UA"/>
        </w:rPr>
        <w:t xml:space="preserve"> </w:t>
      </w:r>
      <w:r w:rsidR="005B05F8" w:rsidRPr="000A38E5">
        <w:rPr>
          <w:szCs w:val="24"/>
          <w:lang w:val="uk-UA"/>
        </w:rPr>
        <w:t>за версією Суду</w:t>
      </w:r>
      <w:r w:rsidR="00831F5B" w:rsidRPr="00E93710">
        <w:rPr>
          <w:szCs w:val="24"/>
          <w:lang w:val="uk-UA"/>
        </w:rPr>
        <w:t>:</w:t>
      </w:r>
    </w:p>
    <w:p w:rsidR="00831F5B" w:rsidRPr="00E93710" w:rsidRDefault="00831F5B" w:rsidP="00852217">
      <w:pPr>
        <w:pStyle w:val="OpiPara"/>
        <w:rPr>
          <w:szCs w:val="24"/>
          <w:lang w:val="uk-UA"/>
        </w:rPr>
      </w:pPr>
    </w:p>
    <w:p w:rsidR="00831F5B" w:rsidRPr="00E93710" w:rsidRDefault="00831F5B" w:rsidP="00852217">
      <w:pPr>
        <w:pStyle w:val="OpiPara"/>
        <w:rPr>
          <w:szCs w:val="24"/>
          <w:lang w:val="uk-UA"/>
        </w:rPr>
      </w:pPr>
      <w:proofErr w:type="spellStart"/>
      <w:r w:rsidRPr="00E93710">
        <w:rPr>
          <w:szCs w:val="24"/>
          <w:lang w:val="uk-UA"/>
        </w:rPr>
        <w:lastRenderedPageBreak/>
        <w:t>“</w:t>
      </w:r>
      <w:r w:rsidR="005B05F8" w:rsidRPr="000A38E5">
        <w:rPr>
          <w:lang w:val="uk-UA"/>
        </w:rPr>
        <w:t>На</w:t>
      </w:r>
      <w:proofErr w:type="spellEnd"/>
      <w:r w:rsidR="005B05F8" w:rsidRPr="000A38E5">
        <w:rPr>
          <w:lang w:val="uk-UA"/>
        </w:rPr>
        <w:t xml:space="preserve"> деякій відстані від цього два робітника вмикають свої бензопили</w:t>
      </w:r>
      <w:r w:rsidR="005B05F8" w:rsidRPr="00E93710">
        <w:rPr>
          <w:lang w:val="uk-UA"/>
        </w:rPr>
        <w:t xml:space="preserve">. </w:t>
      </w:r>
      <w:r w:rsidR="005B05F8" w:rsidRPr="000A38E5">
        <w:rPr>
          <w:lang w:val="uk-UA"/>
        </w:rPr>
        <w:t>У той же час особа, ідентифікована, як третій заявник,</w:t>
      </w:r>
      <w:r w:rsidR="005B05F8" w:rsidRPr="00E93710">
        <w:rPr>
          <w:lang w:val="uk-UA"/>
        </w:rPr>
        <w:t xml:space="preserve"> </w:t>
      </w:r>
      <w:r w:rsidR="005B05F8" w:rsidRPr="000A38E5">
        <w:rPr>
          <w:lang w:val="uk-UA"/>
        </w:rPr>
        <w:t>близько підходить до одного з працівників, піднявши та розкривши руки</w:t>
      </w:r>
      <w:r w:rsidR="005B05F8" w:rsidRPr="00E93710">
        <w:rPr>
          <w:lang w:val="uk-UA"/>
        </w:rPr>
        <w:t xml:space="preserve">. </w:t>
      </w:r>
      <w:r w:rsidR="005B05F8" w:rsidRPr="000A38E5">
        <w:rPr>
          <w:lang w:val="uk-UA"/>
        </w:rPr>
        <w:t>Декілька інших осіб також підходять до робітника</w:t>
      </w:r>
      <w:r w:rsidR="005B05F8" w:rsidRPr="00E93710">
        <w:rPr>
          <w:lang w:val="uk-UA"/>
        </w:rPr>
        <w:t xml:space="preserve">. </w:t>
      </w:r>
      <w:r w:rsidR="005B05F8" w:rsidRPr="000A38E5">
        <w:rPr>
          <w:lang w:val="uk-UA"/>
        </w:rPr>
        <w:t>Після цього робітник відступає, тримаючи бензопилу поруч,</w:t>
      </w:r>
      <w:r w:rsidR="005B05F8" w:rsidRPr="00E93710">
        <w:rPr>
          <w:lang w:val="uk-UA"/>
        </w:rPr>
        <w:t xml:space="preserve"> </w:t>
      </w:r>
      <w:r w:rsidR="005B05F8" w:rsidRPr="000A38E5">
        <w:rPr>
          <w:lang w:val="uk-UA"/>
        </w:rPr>
        <w:t xml:space="preserve">та розмахуючи нею горизонтальними </w:t>
      </w:r>
      <w:proofErr w:type="spellStart"/>
      <w:r w:rsidR="005B05F8" w:rsidRPr="000A38E5">
        <w:rPr>
          <w:lang w:val="uk-UA"/>
        </w:rPr>
        <w:t>рухами</w:t>
      </w:r>
      <w:r w:rsidRPr="00E93710">
        <w:rPr>
          <w:szCs w:val="24"/>
          <w:lang w:val="uk-UA"/>
        </w:rPr>
        <w:t>.”</w:t>
      </w:r>
      <w:proofErr w:type="spellEnd"/>
      <w:r w:rsidRPr="00E93710">
        <w:rPr>
          <w:szCs w:val="24"/>
          <w:vertAlign w:val="superscript"/>
          <w:lang w:val="uk-UA"/>
        </w:rPr>
        <w:footnoteReference w:id="6"/>
      </w:r>
    </w:p>
    <w:p w:rsidR="00831F5B" w:rsidRPr="00E93710" w:rsidRDefault="00831F5B" w:rsidP="00852217">
      <w:pPr>
        <w:pStyle w:val="OpiPara"/>
        <w:rPr>
          <w:szCs w:val="24"/>
          <w:lang w:val="uk-UA"/>
        </w:rPr>
      </w:pP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8</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5C5CB3" w:rsidRPr="000A38E5">
        <w:rPr>
          <w:szCs w:val="24"/>
          <w:lang w:val="uk-UA"/>
        </w:rPr>
        <w:t>Більшість тлумачила цю частину відео як те, що заявник підійшов</w:t>
      </w:r>
      <w:r w:rsidR="00831F5B" w:rsidRPr="00E93710">
        <w:rPr>
          <w:szCs w:val="24"/>
          <w:lang w:val="uk-UA"/>
        </w:rPr>
        <w:t xml:space="preserve"> </w:t>
      </w:r>
      <w:r w:rsidR="005C5CB3" w:rsidRPr="000A38E5">
        <w:rPr>
          <w:szCs w:val="24"/>
          <w:lang w:val="uk-UA"/>
        </w:rPr>
        <w:t>до одного з працівників та став перед ним</w:t>
      </w:r>
      <w:r w:rsidR="00831F5B" w:rsidRPr="00E93710">
        <w:rPr>
          <w:szCs w:val="24"/>
          <w:lang w:val="uk-UA"/>
        </w:rPr>
        <w:t xml:space="preserve">. </w:t>
      </w:r>
      <w:r w:rsidR="005C5CB3" w:rsidRPr="000A38E5">
        <w:rPr>
          <w:szCs w:val="24"/>
          <w:lang w:val="uk-UA"/>
        </w:rPr>
        <w:t>Цей висновок є неправильним за двох підстав</w:t>
      </w:r>
      <w:r w:rsidR="00831F5B" w:rsidRPr="00E93710">
        <w:rPr>
          <w:szCs w:val="24"/>
          <w:lang w:val="uk-UA"/>
        </w:rPr>
        <w:t xml:space="preserve">. </w:t>
      </w:r>
      <w:r w:rsidR="005C5CB3" w:rsidRPr="000A38E5">
        <w:rPr>
          <w:szCs w:val="24"/>
          <w:lang w:val="uk-UA"/>
        </w:rPr>
        <w:t>По-перше, те, що робітники завели бензопили й те, що заявник підійшов до одного з них, є подіями, які відбулися «водночас»</w:t>
      </w:r>
      <w:r w:rsidR="00831F5B" w:rsidRPr="00E93710">
        <w:rPr>
          <w:szCs w:val="24"/>
          <w:lang w:val="uk-UA"/>
        </w:rPr>
        <w:t xml:space="preserve"> </w:t>
      </w:r>
      <w:r w:rsidR="005C5CB3" w:rsidRPr="000A38E5">
        <w:rPr>
          <w:szCs w:val="24"/>
          <w:lang w:val="uk-UA"/>
        </w:rPr>
        <w:t>і було можливо, що відповідний робітник завів бензопилу, коли побачив, як заявник підходить до нього</w:t>
      </w:r>
      <w:r w:rsidR="00831F5B" w:rsidRPr="00E93710">
        <w:rPr>
          <w:szCs w:val="24"/>
          <w:lang w:val="uk-UA"/>
        </w:rPr>
        <w:t xml:space="preserve">. </w:t>
      </w:r>
      <w:r w:rsidR="005C5CB3" w:rsidRPr="000A38E5">
        <w:rPr>
          <w:szCs w:val="24"/>
          <w:lang w:val="uk-UA"/>
        </w:rPr>
        <w:t>В дійсності, це є біль</w:t>
      </w:r>
      <w:r w:rsidR="00CF05F9" w:rsidRPr="000A38E5">
        <w:rPr>
          <w:szCs w:val="24"/>
          <w:lang w:val="uk-UA"/>
        </w:rPr>
        <w:t>ш</w:t>
      </w:r>
      <w:r w:rsidR="005C5CB3" w:rsidRPr="000A38E5">
        <w:rPr>
          <w:szCs w:val="24"/>
          <w:lang w:val="uk-UA"/>
        </w:rPr>
        <w:t xml:space="preserve"> правдоподібним поясненням ніж те, що заявник підійшов до нього, коли побачив, що той увімкнув бензопилу</w:t>
      </w:r>
      <w:r w:rsidR="00096492" w:rsidRPr="00E93710">
        <w:rPr>
          <w:szCs w:val="24"/>
          <w:lang w:val="uk-UA"/>
        </w:rPr>
        <w:t>.</w:t>
      </w:r>
    </w:p>
    <w:p w:rsidR="00831F5B" w:rsidRPr="00E93710" w:rsidRDefault="005C5CB3" w:rsidP="00852217">
      <w:pPr>
        <w:pStyle w:val="OpiPara"/>
        <w:rPr>
          <w:szCs w:val="24"/>
          <w:lang w:val="uk-UA"/>
        </w:rPr>
      </w:pPr>
      <w:r w:rsidRPr="000A38E5">
        <w:rPr>
          <w:szCs w:val="24"/>
          <w:lang w:val="uk-UA"/>
        </w:rPr>
        <w:t>По-друге, слід винити відсутність ефективного розслідування з боку держави</w:t>
      </w:r>
      <w:r w:rsidR="00831F5B" w:rsidRPr="00E93710">
        <w:rPr>
          <w:szCs w:val="24"/>
          <w:lang w:val="uk-UA"/>
        </w:rPr>
        <w:t xml:space="preserve"> </w:t>
      </w:r>
      <w:r w:rsidRPr="000A38E5">
        <w:rPr>
          <w:szCs w:val="24"/>
          <w:lang w:val="uk-UA"/>
        </w:rPr>
        <w:t>за будь-яку неоднозначність у цьому питанні</w:t>
      </w:r>
      <w:r w:rsidR="00831F5B" w:rsidRPr="00E93710">
        <w:rPr>
          <w:szCs w:val="24"/>
          <w:lang w:val="uk-UA"/>
        </w:rPr>
        <w:t xml:space="preserve">. </w:t>
      </w:r>
      <w:r w:rsidRPr="000A38E5">
        <w:rPr>
          <w:szCs w:val="24"/>
          <w:lang w:val="uk-UA"/>
        </w:rPr>
        <w:t>Складність у визначенні того, чи існує</w:t>
      </w:r>
      <w:r w:rsidR="00831F5B" w:rsidRPr="00E93710">
        <w:rPr>
          <w:szCs w:val="24"/>
          <w:lang w:val="uk-UA"/>
        </w:rPr>
        <w:t xml:space="preserve"> </w:t>
      </w:r>
      <w:r w:rsidRPr="000A38E5">
        <w:rPr>
          <w:szCs w:val="24"/>
          <w:lang w:val="uk-UA"/>
        </w:rPr>
        <w:t>будь-яка суть у твердженнях про жорстоке поводження,</w:t>
      </w:r>
      <w:r w:rsidR="00831F5B" w:rsidRPr="00E93710">
        <w:rPr>
          <w:szCs w:val="24"/>
          <w:lang w:val="uk-UA"/>
        </w:rPr>
        <w:t xml:space="preserve"> </w:t>
      </w:r>
      <w:r w:rsidRPr="000A38E5">
        <w:rPr>
          <w:szCs w:val="24"/>
          <w:lang w:val="uk-UA"/>
        </w:rPr>
        <w:t>полягає у нездатності органів влади провести ефективне розслідування скарги</w:t>
      </w:r>
      <w:r w:rsidR="00831F5B"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9</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7D1C4C" w:rsidRPr="000A38E5">
        <w:rPr>
          <w:szCs w:val="24"/>
          <w:lang w:val="uk-UA"/>
        </w:rPr>
        <w:t>Навіть якщо припустити, що цей робітник</w:t>
      </w:r>
      <w:r w:rsidR="00831F5B" w:rsidRPr="00E93710">
        <w:rPr>
          <w:szCs w:val="24"/>
          <w:lang w:val="uk-UA"/>
        </w:rPr>
        <w:t xml:space="preserve"> </w:t>
      </w:r>
      <w:r w:rsidR="007D1C4C" w:rsidRPr="000A38E5">
        <w:rPr>
          <w:szCs w:val="24"/>
          <w:lang w:val="uk-UA"/>
        </w:rPr>
        <w:t>працював бензопилою до того, як до нього почав підходити третій заявник</w:t>
      </w:r>
      <w:r w:rsidR="00831F5B" w:rsidRPr="00E93710">
        <w:rPr>
          <w:szCs w:val="24"/>
          <w:lang w:val="uk-UA"/>
        </w:rPr>
        <w:t xml:space="preserve">, </w:t>
      </w:r>
      <w:r w:rsidR="007D1C4C" w:rsidRPr="000A38E5">
        <w:rPr>
          <w:szCs w:val="24"/>
          <w:lang w:val="uk-UA"/>
        </w:rPr>
        <w:t>питання того, чи мета дій працівника</w:t>
      </w:r>
      <w:r w:rsidR="00831F5B" w:rsidRPr="00E93710">
        <w:rPr>
          <w:szCs w:val="24"/>
          <w:lang w:val="uk-UA"/>
        </w:rPr>
        <w:t xml:space="preserve"> </w:t>
      </w:r>
      <w:r w:rsidR="007D1C4C" w:rsidRPr="000A38E5">
        <w:rPr>
          <w:szCs w:val="24"/>
          <w:lang w:val="uk-UA"/>
        </w:rPr>
        <w:t>полягала в тому, щоб змусити третього працівника відчувати загрозу,</w:t>
      </w:r>
      <w:r w:rsidR="00831F5B" w:rsidRPr="00E93710">
        <w:rPr>
          <w:szCs w:val="24"/>
          <w:lang w:val="uk-UA"/>
        </w:rPr>
        <w:t xml:space="preserve"> </w:t>
      </w:r>
      <w:r w:rsidR="007D1C4C" w:rsidRPr="000A38E5">
        <w:rPr>
          <w:szCs w:val="24"/>
          <w:lang w:val="uk-UA"/>
        </w:rPr>
        <w:t>є лише одним з факторів, які слід взяти до уваги</w:t>
      </w:r>
      <w:r w:rsidR="00831F5B" w:rsidRPr="00E93710">
        <w:rPr>
          <w:szCs w:val="24"/>
          <w:lang w:val="uk-UA"/>
        </w:rPr>
        <w:t xml:space="preserve">. </w:t>
      </w:r>
      <w:r w:rsidR="007D1C4C" w:rsidRPr="000A38E5">
        <w:rPr>
          <w:szCs w:val="24"/>
          <w:lang w:val="uk-UA"/>
        </w:rPr>
        <w:t>У будь-якому випадку, відсутність такої мети не може повністю виключати порушення статті</w:t>
      </w:r>
      <w:r w:rsidR="00831F5B" w:rsidRPr="00E93710">
        <w:rPr>
          <w:szCs w:val="24"/>
          <w:lang w:val="uk-UA"/>
        </w:rPr>
        <w:t xml:space="preserve"> 3</w:t>
      </w:r>
      <w:r w:rsidR="00831F5B" w:rsidRPr="00E93710">
        <w:rPr>
          <w:szCs w:val="24"/>
          <w:vertAlign w:val="superscript"/>
          <w:lang w:val="uk-UA"/>
        </w:rPr>
        <w:footnoteReference w:id="7"/>
      </w:r>
      <w:r w:rsidR="00096492"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10</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7D1C4C" w:rsidRPr="000A38E5">
        <w:rPr>
          <w:szCs w:val="24"/>
          <w:lang w:val="uk-UA"/>
        </w:rPr>
        <w:t>Крім того, підняття та розведення рук частіше за все вказує на те, що особа, яка підходить, не планує здійснювати насилля</w:t>
      </w:r>
      <w:r w:rsidR="00831F5B" w:rsidRPr="00E93710">
        <w:rPr>
          <w:szCs w:val="24"/>
          <w:lang w:val="uk-UA"/>
        </w:rPr>
        <w:t xml:space="preserve">, </w:t>
      </w:r>
      <w:r w:rsidR="007D1C4C" w:rsidRPr="000A38E5">
        <w:rPr>
          <w:szCs w:val="24"/>
          <w:lang w:val="uk-UA"/>
        </w:rPr>
        <w:t>і демонструє, що в руках немає зброї</w:t>
      </w:r>
      <w:r w:rsidR="00831F5B" w:rsidRPr="00E93710">
        <w:rPr>
          <w:szCs w:val="24"/>
          <w:lang w:val="uk-UA"/>
        </w:rPr>
        <w:t xml:space="preserve">. </w:t>
      </w:r>
      <w:r w:rsidR="00AC5A87" w:rsidRPr="000A38E5">
        <w:rPr>
          <w:szCs w:val="24"/>
          <w:lang w:val="uk-UA"/>
        </w:rPr>
        <w:t>В дійсності, це є поясненням, яке надали заявники у своїх доводах, і воно відповідає</w:t>
      </w:r>
      <w:r w:rsidR="00831F5B" w:rsidRPr="00E93710">
        <w:rPr>
          <w:szCs w:val="24"/>
          <w:lang w:val="uk-UA"/>
        </w:rPr>
        <w:t xml:space="preserve"> </w:t>
      </w:r>
      <w:r w:rsidR="00AC5A87" w:rsidRPr="000A38E5">
        <w:rPr>
          <w:szCs w:val="24"/>
          <w:lang w:val="uk-UA"/>
        </w:rPr>
        <w:t>мирному характеру протестів</w:t>
      </w:r>
      <w:r w:rsidR="00831F5B" w:rsidRPr="00E93710">
        <w:rPr>
          <w:szCs w:val="24"/>
          <w:lang w:val="uk-UA"/>
        </w:rPr>
        <w:t xml:space="preserve">, </w:t>
      </w:r>
      <w:r w:rsidR="00AC5A87" w:rsidRPr="000A38E5">
        <w:rPr>
          <w:szCs w:val="24"/>
          <w:lang w:val="uk-UA"/>
        </w:rPr>
        <w:t>в яких не була залучена зброя або насилля</w:t>
      </w:r>
      <w:r w:rsidR="00831F5B" w:rsidRPr="00E93710">
        <w:rPr>
          <w:szCs w:val="24"/>
          <w:lang w:val="uk-UA"/>
        </w:rPr>
        <w:t xml:space="preserve">. </w:t>
      </w:r>
      <w:r w:rsidR="00AC5A87" w:rsidRPr="000A38E5">
        <w:rPr>
          <w:szCs w:val="24"/>
          <w:lang w:val="uk-UA"/>
        </w:rPr>
        <w:t>Характеризувати поведінку заявника як конфронтаційну</w:t>
      </w:r>
      <w:r w:rsidR="00831F5B" w:rsidRPr="00E93710">
        <w:rPr>
          <w:szCs w:val="24"/>
          <w:lang w:val="uk-UA"/>
        </w:rPr>
        <w:t xml:space="preserve"> </w:t>
      </w:r>
      <w:r w:rsidR="00AC5A87" w:rsidRPr="000A38E5">
        <w:rPr>
          <w:szCs w:val="24"/>
          <w:lang w:val="uk-UA"/>
        </w:rPr>
        <w:t>та вважати її належною підставою для відповіді бензопилою буде катастрофічно неправильно</w:t>
      </w:r>
      <w:r w:rsidR="00096492"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11</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3B4CF5" w:rsidRPr="000A38E5">
        <w:rPr>
          <w:szCs w:val="24"/>
          <w:lang w:val="uk-UA"/>
        </w:rPr>
        <w:t>Крім того, як зазначено вище, робітник не тільки увімкнув бензопилу,</w:t>
      </w:r>
      <w:r w:rsidR="00831F5B" w:rsidRPr="00E93710">
        <w:rPr>
          <w:szCs w:val="24"/>
          <w:lang w:val="uk-UA"/>
        </w:rPr>
        <w:t xml:space="preserve"> </w:t>
      </w:r>
      <w:r w:rsidR="003B4CF5" w:rsidRPr="000A38E5">
        <w:rPr>
          <w:szCs w:val="24"/>
          <w:lang w:val="uk-UA"/>
        </w:rPr>
        <w:t xml:space="preserve">алей рухав </w:t>
      </w:r>
      <w:r w:rsidR="00DD5E52" w:rsidRPr="000A38E5">
        <w:rPr>
          <w:szCs w:val="24"/>
          <w:lang w:val="uk-UA"/>
        </w:rPr>
        <w:t>нею</w:t>
      </w:r>
      <w:r w:rsidR="003B4CF5" w:rsidRPr="000A38E5">
        <w:rPr>
          <w:szCs w:val="24"/>
          <w:lang w:val="uk-UA"/>
        </w:rPr>
        <w:t xml:space="preserve"> у горизонтальних півколах</w:t>
      </w:r>
      <w:r w:rsidR="00831F5B" w:rsidRPr="00E93710">
        <w:rPr>
          <w:szCs w:val="24"/>
          <w:lang w:val="uk-UA"/>
        </w:rPr>
        <w:t xml:space="preserve"> </w:t>
      </w:r>
      <w:r w:rsidR="003B4CF5" w:rsidRPr="000A38E5">
        <w:rPr>
          <w:szCs w:val="24"/>
          <w:lang w:val="uk-UA"/>
        </w:rPr>
        <w:t>перед третім заявником</w:t>
      </w:r>
      <w:r w:rsidR="00831F5B" w:rsidRPr="00E93710">
        <w:rPr>
          <w:szCs w:val="24"/>
          <w:lang w:val="uk-UA"/>
        </w:rPr>
        <w:t xml:space="preserve">. </w:t>
      </w:r>
      <w:r w:rsidR="003B4CF5" w:rsidRPr="000A38E5">
        <w:rPr>
          <w:szCs w:val="24"/>
          <w:lang w:val="uk-UA"/>
        </w:rPr>
        <w:t>Будь-яка розумна особа зрозуміє цю поведінку як загрозу використати інструмент проти заявників</w:t>
      </w:r>
      <w:r w:rsidR="00831F5B" w:rsidRPr="00E93710">
        <w:rPr>
          <w:szCs w:val="24"/>
          <w:lang w:val="uk-UA"/>
        </w:rPr>
        <w:t xml:space="preserve">, </w:t>
      </w:r>
      <w:r w:rsidR="003B4CF5" w:rsidRPr="000A38E5">
        <w:rPr>
          <w:szCs w:val="24"/>
          <w:lang w:val="uk-UA"/>
        </w:rPr>
        <w:t>при цьому особливо серйозну загрозу, оскільки ніхто з протестуючих не мав зброї</w:t>
      </w:r>
      <w:r w:rsidR="00831F5B" w:rsidRPr="00E93710">
        <w:rPr>
          <w:szCs w:val="24"/>
          <w:lang w:val="uk-UA"/>
        </w:rPr>
        <w:t xml:space="preserve">. </w:t>
      </w:r>
      <w:r w:rsidR="00AE1786" w:rsidRPr="000A38E5">
        <w:rPr>
          <w:szCs w:val="24"/>
          <w:lang w:val="uk-UA"/>
        </w:rPr>
        <w:t>Інакше кажучи, навіть якщо заявник дійсно добровільно піддавався небезпеці</w:t>
      </w:r>
      <w:r w:rsidR="00831F5B" w:rsidRPr="00E93710">
        <w:rPr>
          <w:szCs w:val="24"/>
          <w:lang w:val="uk-UA"/>
        </w:rPr>
        <w:t xml:space="preserve"> </w:t>
      </w:r>
      <w:r w:rsidR="00AE1786" w:rsidRPr="000A38E5">
        <w:rPr>
          <w:szCs w:val="24"/>
          <w:lang w:val="uk-UA"/>
        </w:rPr>
        <w:t>коли підійшов до працюючої бензопили</w:t>
      </w:r>
      <w:r w:rsidR="00831F5B" w:rsidRPr="00E93710">
        <w:rPr>
          <w:szCs w:val="24"/>
          <w:lang w:val="uk-UA"/>
        </w:rPr>
        <w:t xml:space="preserve">, </w:t>
      </w:r>
      <w:r w:rsidR="00AE1786" w:rsidRPr="000A38E5">
        <w:rPr>
          <w:szCs w:val="24"/>
          <w:lang w:val="uk-UA"/>
        </w:rPr>
        <w:t>ніщо не може виправдати те, що робітник рухав її перед собою півколами,</w:t>
      </w:r>
      <w:r w:rsidR="00831F5B" w:rsidRPr="00E93710">
        <w:rPr>
          <w:szCs w:val="24"/>
          <w:lang w:val="uk-UA"/>
        </w:rPr>
        <w:t xml:space="preserve"> </w:t>
      </w:r>
      <w:r w:rsidR="00AE1786" w:rsidRPr="000A38E5">
        <w:rPr>
          <w:szCs w:val="24"/>
          <w:lang w:val="uk-UA"/>
        </w:rPr>
        <w:t>ніби погрожуючи використати її проти заявника</w:t>
      </w:r>
      <w:r w:rsidR="00096492"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12</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A65B3E" w:rsidRPr="000A38E5">
        <w:rPr>
          <w:szCs w:val="24"/>
          <w:lang w:val="uk-UA"/>
        </w:rPr>
        <w:t>Найважливіше, фокусуючись на твердженні заявника</w:t>
      </w:r>
      <w:r w:rsidR="00831F5B" w:rsidRPr="00E93710">
        <w:rPr>
          <w:szCs w:val="24"/>
          <w:lang w:val="uk-UA"/>
        </w:rPr>
        <w:t xml:space="preserve"> </w:t>
      </w:r>
      <w:r w:rsidR="00A65B3E" w:rsidRPr="000A38E5">
        <w:rPr>
          <w:szCs w:val="24"/>
          <w:lang w:val="uk-UA"/>
        </w:rPr>
        <w:t>про те, що бензопила була використана в якості загрози</w:t>
      </w:r>
      <w:r w:rsidR="00831F5B" w:rsidRPr="00E93710">
        <w:rPr>
          <w:szCs w:val="24"/>
          <w:lang w:val="uk-UA"/>
        </w:rPr>
        <w:t xml:space="preserve">, </w:t>
      </w:r>
      <w:r w:rsidR="00A65B3E" w:rsidRPr="000A38E5">
        <w:rPr>
          <w:szCs w:val="24"/>
          <w:lang w:val="uk-UA"/>
        </w:rPr>
        <w:t>більшість стверджує, що потенційний постраждалий повинен уникати ситуації,</w:t>
      </w:r>
      <w:r w:rsidR="00831F5B" w:rsidRPr="00E93710">
        <w:rPr>
          <w:szCs w:val="24"/>
          <w:lang w:val="uk-UA"/>
        </w:rPr>
        <w:t xml:space="preserve"> </w:t>
      </w:r>
      <w:r w:rsidR="00A65B3E" w:rsidRPr="000A38E5">
        <w:rPr>
          <w:szCs w:val="24"/>
          <w:lang w:val="uk-UA"/>
        </w:rPr>
        <w:t>коли таке залякування відбувається</w:t>
      </w:r>
      <w:r w:rsidR="00831F5B" w:rsidRPr="00E93710">
        <w:rPr>
          <w:szCs w:val="24"/>
          <w:vertAlign w:val="superscript"/>
          <w:lang w:val="uk-UA"/>
        </w:rPr>
        <w:footnoteReference w:id="8"/>
      </w:r>
      <w:r w:rsidR="00831F5B" w:rsidRPr="00E93710">
        <w:rPr>
          <w:szCs w:val="24"/>
          <w:lang w:val="uk-UA"/>
        </w:rPr>
        <w:t xml:space="preserve">. </w:t>
      </w:r>
      <w:r w:rsidR="00A65B3E" w:rsidRPr="000A38E5">
        <w:rPr>
          <w:szCs w:val="24"/>
          <w:lang w:val="uk-UA"/>
        </w:rPr>
        <w:t xml:space="preserve">Ніяке </w:t>
      </w:r>
      <w:proofErr w:type="spellStart"/>
      <w:r w:rsidR="00A65B3E" w:rsidRPr="000A38E5">
        <w:rPr>
          <w:szCs w:val="24"/>
          <w:lang w:val="uk-UA"/>
        </w:rPr>
        <w:t>прецедентне</w:t>
      </w:r>
      <w:proofErr w:type="spellEnd"/>
      <w:r w:rsidR="00A65B3E" w:rsidRPr="000A38E5">
        <w:rPr>
          <w:szCs w:val="24"/>
          <w:lang w:val="uk-UA"/>
        </w:rPr>
        <w:t xml:space="preserve"> право цього Суду не підтримує таку позицію</w:t>
      </w:r>
      <w:r w:rsidR="00831F5B" w:rsidRPr="00E93710">
        <w:rPr>
          <w:szCs w:val="24"/>
          <w:lang w:val="uk-UA"/>
        </w:rPr>
        <w:t xml:space="preserve">. </w:t>
      </w:r>
      <w:r w:rsidR="00A65B3E" w:rsidRPr="000A38E5">
        <w:rPr>
          <w:szCs w:val="24"/>
          <w:lang w:val="uk-UA"/>
        </w:rPr>
        <w:t>Стаття 3 накладає на держави обов’язок</w:t>
      </w:r>
      <w:r w:rsidR="00831F5B" w:rsidRPr="00E93710">
        <w:rPr>
          <w:szCs w:val="24"/>
          <w:lang w:val="uk-UA"/>
        </w:rPr>
        <w:t xml:space="preserve"> </w:t>
      </w:r>
      <w:r w:rsidR="00A65B3E" w:rsidRPr="000A38E5">
        <w:rPr>
          <w:szCs w:val="24"/>
          <w:lang w:val="uk-UA"/>
        </w:rPr>
        <w:t>не здійсняти нелюдське або таке, що принижує гідність, поводження</w:t>
      </w:r>
      <w:r w:rsidR="00831F5B" w:rsidRPr="00E93710">
        <w:rPr>
          <w:szCs w:val="24"/>
          <w:lang w:val="uk-UA"/>
        </w:rPr>
        <w:t xml:space="preserve">, </w:t>
      </w:r>
      <w:r w:rsidR="00A65B3E" w:rsidRPr="000A38E5">
        <w:rPr>
          <w:szCs w:val="24"/>
          <w:lang w:val="uk-UA"/>
        </w:rPr>
        <w:t>а не обов’язок осіб уникати його, коли держава це робить</w:t>
      </w:r>
      <w:r w:rsidR="00831F5B" w:rsidRPr="00E93710">
        <w:rPr>
          <w:szCs w:val="24"/>
          <w:lang w:val="uk-UA"/>
        </w:rPr>
        <w:t xml:space="preserve">. </w:t>
      </w:r>
      <w:r w:rsidR="00A65B3E" w:rsidRPr="000A38E5">
        <w:rPr>
          <w:szCs w:val="24"/>
          <w:lang w:val="uk-UA"/>
        </w:rPr>
        <w:t>За словами Суду</w:t>
      </w:r>
      <w:r w:rsidR="00831F5B" w:rsidRPr="00E93710">
        <w:rPr>
          <w:szCs w:val="24"/>
          <w:lang w:val="uk-UA"/>
        </w:rPr>
        <w:t xml:space="preserve">, </w:t>
      </w:r>
      <w:r w:rsidR="00A65B3E" w:rsidRPr="000A38E5">
        <w:rPr>
          <w:szCs w:val="24"/>
          <w:lang w:val="uk-UA"/>
        </w:rPr>
        <w:t>«Вона забороняє в абсолютних поняттях нелюдське або таке, що принижує гідність,</w:t>
      </w:r>
      <w:r w:rsidR="00831F5B" w:rsidRPr="00E93710">
        <w:rPr>
          <w:szCs w:val="24"/>
          <w:lang w:val="uk-UA"/>
        </w:rPr>
        <w:t xml:space="preserve"> </w:t>
      </w:r>
      <w:r w:rsidR="00A65B3E" w:rsidRPr="000A38E5">
        <w:rPr>
          <w:szCs w:val="24"/>
          <w:lang w:val="uk-UA"/>
        </w:rPr>
        <w:t>поводження, незалежно від обставин та поведінки постраждалого»</w:t>
      </w:r>
      <w:r w:rsidR="00831F5B" w:rsidRPr="00E93710">
        <w:rPr>
          <w:szCs w:val="24"/>
          <w:vertAlign w:val="superscript"/>
          <w:lang w:val="uk-UA"/>
        </w:rPr>
        <w:footnoteReference w:id="9"/>
      </w:r>
      <w:r w:rsidR="00831F5B"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13</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A65B3E" w:rsidRPr="000A38E5">
        <w:rPr>
          <w:szCs w:val="24"/>
          <w:lang w:val="uk-UA"/>
        </w:rPr>
        <w:t>Тому скарга третього заявника є прийнятною</w:t>
      </w:r>
      <w:r w:rsidR="00831F5B" w:rsidRPr="00E93710">
        <w:rPr>
          <w:szCs w:val="24"/>
          <w:lang w:val="uk-UA"/>
        </w:rPr>
        <w:t xml:space="preserve">. </w:t>
      </w:r>
      <w:r w:rsidR="00A65B3E" w:rsidRPr="000A38E5">
        <w:rPr>
          <w:szCs w:val="24"/>
          <w:lang w:val="uk-UA"/>
        </w:rPr>
        <w:t>Крім того, я в</w:t>
      </w:r>
      <w:r w:rsidR="000E6657" w:rsidRPr="000A38E5">
        <w:rPr>
          <w:szCs w:val="24"/>
          <w:lang w:val="uk-UA"/>
        </w:rPr>
        <w:t>в</w:t>
      </w:r>
      <w:r w:rsidR="00A65B3E" w:rsidRPr="000A38E5">
        <w:rPr>
          <w:szCs w:val="24"/>
          <w:lang w:val="uk-UA"/>
        </w:rPr>
        <w:t>ажаю, що держава може нести відповідальність</w:t>
      </w:r>
      <w:r w:rsidR="00831F5B" w:rsidRPr="00E93710">
        <w:rPr>
          <w:szCs w:val="24"/>
          <w:lang w:val="uk-UA"/>
        </w:rPr>
        <w:t xml:space="preserve"> </w:t>
      </w:r>
      <w:r w:rsidR="00A65B3E" w:rsidRPr="000A38E5">
        <w:rPr>
          <w:szCs w:val="24"/>
          <w:lang w:val="uk-UA"/>
        </w:rPr>
        <w:t>за дії двох працівників</w:t>
      </w:r>
      <w:r w:rsidR="00831F5B" w:rsidRPr="00E93710">
        <w:rPr>
          <w:szCs w:val="24"/>
          <w:lang w:val="uk-UA"/>
        </w:rPr>
        <w:t xml:space="preserve">, </w:t>
      </w:r>
      <w:r w:rsidR="00A65B3E" w:rsidRPr="000A38E5">
        <w:rPr>
          <w:szCs w:val="24"/>
          <w:lang w:val="uk-UA"/>
        </w:rPr>
        <w:t>оскільки субпідрядник, на якого вони працювали,</w:t>
      </w:r>
      <w:r w:rsidR="00831F5B" w:rsidRPr="00E93710">
        <w:rPr>
          <w:szCs w:val="24"/>
          <w:lang w:val="uk-UA"/>
        </w:rPr>
        <w:t xml:space="preserve"> </w:t>
      </w:r>
      <w:r w:rsidR="00A65B3E" w:rsidRPr="000A38E5">
        <w:rPr>
          <w:szCs w:val="24"/>
          <w:lang w:val="uk-UA"/>
        </w:rPr>
        <w:t>був комунальною компанією, якою керувала особа,</w:t>
      </w:r>
      <w:r w:rsidR="00831F5B" w:rsidRPr="00E93710">
        <w:rPr>
          <w:szCs w:val="24"/>
          <w:lang w:val="uk-UA"/>
        </w:rPr>
        <w:t xml:space="preserve"> </w:t>
      </w:r>
      <w:r w:rsidR="00A65B3E" w:rsidRPr="000A38E5">
        <w:rPr>
          <w:szCs w:val="24"/>
          <w:lang w:val="uk-UA"/>
        </w:rPr>
        <w:t>призначена міською радою,</w:t>
      </w:r>
      <w:r w:rsidR="00831F5B" w:rsidRPr="00E93710">
        <w:rPr>
          <w:szCs w:val="24"/>
          <w:lang w:val="uk-UA"/>
        </w:rPr>
        <w:t xml:space="preserve"> </w:t>
      </w:r>
      <w:r w:rsidR="00A65B3E" w:rsidRPr="000A38E5">
        <w:rPr>
          <w:szCs w:val="24"/>
          <w:lang w:val="uk-UA"/>
        </w:rPr>
        <w:t>і яка відповідала цьому органу</w:t>
      </w:r>
      <w:r w:rsidR="00831F5B" w:rsidRPr="00E93710">
        <w:rPr>
          <w:szCs w:val="24"/>
          <w:lang w:val="uk-UA"/>
        </w:rPr>
        <w:t xml:space="preserve">, </w:t>
      </w:r>
      <w:r w:rsidR="00A65B3E" w:rsidRPr="000A38E5">
        <w:rPr>
          <w:szCs w:val="24"/>
          <w:lang w:val="uk-UA"/>
        </w:rPr>
        <w:t>інцидент відбувся в ході спроби робітників</w:t>
      </w:r>
      <w:r w:rsidR="00831F5B" w:rsidRPr="00E93710">
        <w:rPr>
          <w:szCs w:val="24"/>
          <w:lang w:val="uk-UA"/>
        </w:rPr>
        <w:t xml:space="preserve"> </w:t>
      </w:r>
      <w:r w:rsidR="00A65B3E" w:rsidRPr="000A38E5">
        <w:rPr>
          <w:szCs w:val="24"/>
          <w:lang w:val="uk-UA"/>
        </w:rPr>
        <w:t>повалити дерева, а міліція залишалася пасивною,</w:t>
      </w:r>
      <w:r w:rsidR="00831F5B" w:rsidRPr="00E93710">
        <w:rPr>
          <w:szCs w:val="24"/>
          <w:lang w:val="uk-UA"/>
        </w:rPr>
        <w:t xml:space="preserve"> </w:t>
      </w:r>
      <w:r w:rsidR="009548EB" w:rsidRPr="000A38E5">
        <w:rPr>
          <w:szCs w:val="24"/>
          <w:lang w:val="uk-UA"/>
        </w:rPr>
        <w:t>спостерігаючи за діями</w:t>
      </w:r>
      <w:r w:rsidR="00A65B3E" w:rsidRPr="000A38E5">
        <w:rPr>
          <w:szCs w:val="24"/>
          <w:lang w:val="uk-UA"/>
        </w:rPr>
        <w:t xml:space="preserve"> робітників</w:t>
      </w:r>
      <w:r w:rsidR="00831F5B" w:rsidRPr="00E93710">
        <w:rPr>
          <w:szCs w:val="24"/>
          <w:vertAlign w:val="superscript"/>
          <w:lang w:val="uk-UA"/>
        </w:rPr>
        <w:footnoteReference w:id="10"/>
      </w:r>
      <w:r w:rsidR="00831F5B" w:rsidRPr="00E93710">
        <w:rPr>
          <w:szCs w:val="24"/>
          <w:lang w:val="uk-UA"/>
        </w:rPr>
        <w:t>.</w:t>
      </w:r>
    </w:p>
    <w:p w:rsidR="00831F5B" w:rsidRPr="000A38E5" w:rsidRDefault="00831F5B" w:rsidP="00852217">
      <w:pPr>
        <w:pStyle w:val="OpiHi"/>
        <w:rPr>
          <w:lang w:val="uk-UA"/>
        </w:rPr>
      </w:pPr>
      <w:proofErr w:type="spellStart"/>
      <w:r w:rsidRPr="00E93710">
        <w:rPr>
          <w:lang w:val="uk-UA"/>
        </w:rPr>
        <w:lastRenderedPageBreak/>
        <w:t>ii</w:t>
      </w:r>
      <w:proofErr w:type="spellEnd"/>
      <w:r w:rsidRPr="00E93710">
        <w:rPr>
          <w:lang w:val="uk-UA"/>
        </w:rPr>
        <w:t>.</w:t>
      </w:r>
      <w:r w:rsidR="00334477" w:rsidRPr="000A38E5">
        <w:rPr>
          <w:lang w:val="uk-UA"/>
        </w:rPr>
        <w:t xml:space="preserve"> </w:t>
      </w:r>
      <w:r w:rsidR="001E55B0" w:rsidRPr="000A38E5">
        <w:rPr>
          <w:lang w:val="uk-UA"/>
        </w:rPr>
        <w:t>Матеріальні порушення статті 3 стосовно сьомого та дев’ятого заявників</w:t>
      </w:r>
    </w:p>
    <w:p w:rsidR="00831F5B" w:rsidRPr="000A38E5"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14</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1E55B0" w:rsidRPr="000A38E5">
        <w:rPr>
          <w:szCs w:val="24"/>
          <w:lang w:val="uk-UA"/>
        </w:rPr>
        <w:t>Більшість відхилила інформацію про задокументовані травми сьомого та дев’ятого заявника,</w:t>
      </w:r>
      <w:r w:rsidR="00831F5B" w:rsidRPr="00E93710">
        <w:rPr>
          <w:szCs w:val="24"/>
          <w:lang w:val="uk-UA"/>
        </w:rPr>
        <w:t xml:space="preserve"> </w:t>
      </w:r>
      <w:r w:rsidR="001E55B0" w:rsidRPr="000A38E5">
        <w:rPr>
          <w:szCs w:val="24"/>
          <w:lang w:val="uk-UA"/>
        </w:rPr>
        <w:t>отримані від робітників на місці протесту</w:t>
      </w:r>
      <w:r w:rsidR="00831F5B" w:rsidRPr="00E93710">
        <w:rPr>
          <w:szCs w:val="24"/>
          <w:lang w:val="uk-UA"/>
        </w:rPr>
        <w:t xml:space="preserve">, </w:t>
      </w:r>
      <w:r w:rsidR="001E55B0" w:rsidRPr="000A38E5">
        <w:rPr>
          <w:szCs w:val="24"/>
          <w:lang w:val="uk-UA"/>
        </w:rPr>
        <w:t>в результаті того, що протестуючі</w:t>
      </w:r>
      <w:r w:rsidR="00831F5B" w:rsidRPr="00E93710">
        <w:rPr>
          <w:szCs w:val="24"/>
          <w:lang w:val="uk-UA"/>
        </w:rPr>
        <w:t xml:space="preserve"> </w:t>
      </w:r>
      <w:r w:rsidR="001E55B0" w:rsidRPr="000A38E5">
        <w:rPr>
          <w:szCs w:val="24"/>
          <w:lang w:val="uk-UA"/>
        </w:rPr>
        <w:t>«активно намагалися втрутитися в роботу будівельного обладнання»</w:t>
      </w:r>
      <w:r w:rsidR="00831F5B" w:rsidRPr="00E93710">
        <w:rPr>
          <w:szCs w:val="24"/>
          <w:lang w:val="uk-UA"/>
        </w:rPr>
        <w:t xml:space="preserve">, </w:t>
      </w:r>
      <w:r w:rsidR="001E55B0" w:rsidRPr="000A38E5">
        <w:rPr>
          <w:szCs w:val="24"/>
          <w:lang w:val="uk-UA"/>
        </w:rPr>
        <w:t>і характеризувала напад як «дію проти протесту»</w:t>
      </w:r>
      <w:r w:rsidR="00831F5B" w:rsidRPr="00E93710">
        <w:rPr>
          <w:szCs w:val="24"/>
          <w:vertAlign w:val="superscript"/>
          <w:lang w:val="uk-UA"/>
        </w:rPr>
        <w:footnoteReference w:id="11"/>
      </w:r>
      <w:r w:rsidR="00831F5B" w:rsidRPr="00E93710">
        <w:rPr>
          <w:szCs w:val="24"/>
          <w:lang w:val="uk-UA"/>
        </w:rPr>
        <w:t xml:space="preserve">. </w:t>
      </w:r>
      <w:r w:rsidR="001E55B0" w:rsidRPr="000A38E5">
        <w:rPr>
          <w:szCs w:val="24"/>
          <w:lang w:val="uk-UA"/>
        </w:rPr>
        <w:t>Хоча видалення протестуючих з зони будівництва дійсно не може вважатися жорстоким поводженням саме по собі</w:t>
      </w:r>
      <w:r w:rsidR="00831F5B" w:rsidRPr="00E93710">
        <w:rPr>
          <w:szCs w:val="24"/>
          <w:lang w:val="uk-UA"/>
        </w:rPr>
        <w:t xml:space="preserve">, </w:t>
      </w:r>
      <w:r w:rsidR="001E55B0" w:rsidRPr="000A38E5">
        <w:rPr>
          <w:szCs w:val="24"/>
          <w:lang w:val="uk-UA"/>
        </w:rPr>
        <w:t>застосування надмірного насилля у цьому контексті не можна терпіти</w:t>
      </w:r>
      <w:r w:rsidR="00831F5B" w:rsidRPr="00E93710">
        <w:rPr>
          <w:szCs w:val="24"/>
          <w:lang w:val="uk-UA"/>
        </w:rPr>
        <w:t xml:space="preserve">. </w:t>
      </w:r>
      <w:r w:rsidR="001E55B0" w:rsidRPr="000A38E5">
        <w:rPr>
          <w:szCs w:val="24"/>
          <w:lang w:val="uk-UA"/>
        </w:rPr>
        <w:t>Окрім цього, як встановлено вище, поведінка постраждалих</w:t>
      </w:r>
      <w:r w:rsidR="00831F5B" w:rsidRPr="00E93710">
        <w:rPr>
          <w:szCs w:val="24"/>
          <w:lang w:val="uk-UA"/>
        </w:rPr>
        <w:t xml:space="preserve"> </w:t>
      </w:r>
      <w:r w:rsidR="001E55B0" w:rsidRPr="000A38E5">
        <w:rPr>
          <w:szCs w:val="24"/>
          <w:lang w:val="uk-UA"/>
        </w:rPr>
        <w:t>та обставини, які привели до принижуючого гідність поводження,</w:t>
      </w:r>
      <w:r w:rsidR="00831F5B" w:rsidRPr="00E93710">
        <w:rPr>
          <w:szCs w:val="24"/>
          <w:lang w:val="uk-UA"/>
        </w:rPr>
        <w:t xml:space="preserve"> </w:t>
      </w:r>
      <w:r w:rsidR="001E55B0" w:rsidRPr="000A38E5">
        <w:rPr>
          <w:szCs w:val="24"/>
          <w:lang w:val="uk-UA"/>
        </w:rPr>
        <w:t xml:space="preserve">не можуть перевищити абсолютну заборону, введену статтею </w:t>
      </w:r>
      <w:r w:rsidR="00096492" w:rsidRPr="000A38E5">
        <w:rPr>
          <w:szCs w:val="24"/>
          <w:lang w:val="uk-UA"/>
        </w:rPr>
        <w:t>3.</w:t>
      </w:r>
    </w:p>
    <w:p w:rsidR="00831F5B" w:rsidRPr="00E93710" w:rsidRDefault="004E7608" w:rsidP="00852217">
      <w:pPr>
        <w:pStyle w:val="OpiPara"/>
        <w:rPr>
          <w:szCs w:val="24"/>
          <w:lang w:val="uk-UA"/>
        </w:rPr>
      </w:pPr>
      <w:r w:rsidRPr="00E93710">
        <w:rPr>
          <w:szCs w:val="24"/>
          <w:lang w:val="uk-UA"/>
        </w:rPr>
        <w:fldChar w:fldCharType="begin"/>
      </w:r>
      <w:r w:rsidR="00831F5B" w:rsidRPr="000A38E5">
        <w:rPr>
          <w:szCs w:val="24"/>
          <w:lang w:val="uk-UA"/>
        </w:rPr>
        <w:instrText xml:space="preserve"> </w:instrText>
      </w:r>
      <w:r w:rsidR="00831F5B" w:rsidRPr="00E93710">
        <w:rPr>
          <w:szCs w:val="24"/>
          <w:lang w:val="uk-UA"/>
        </w:rPr>
        <w:instrText>SEQ</w:instrText>
      </w:r>
      <w:r w:rsidR="00831F5B" w:rsidRPr="000A38E5">
        <w:rPr>
          <w:szCs w:val="24"/>
          <w:lang w:val="uk-UA"/>
        </w:rPr>
        <w:instrText xml:space="preserve"> </w:instrText>
      </w:r>
      <w:r w:rsidR="00831F5B" w:rsidRPr="00E93710">
        <w:rPr>
          <w:szCs w:val="24"/>
          <w:lang w:val="uk-UA"/>
        </w:rPr>
        <w:instrText>level</w:instrText>
      </w:r>
      <w:r w:rsidR="00831F5B" w:rsidRPr="000A38E5">
        <w:rPr>
          <w:szCs w:val="24"/>
          <w:lang w:val="uk-UA"/>
        </w:rPr>
        <w:instrText>0 \*</w:instrText>
      </w:r>
      <w:r w:rsidR="00831F5B" w:rsidRPr="00E93710">
        <w:rPr>
          <w:szCs w:val="24"/>
          <w:lang w:val="uk-UA"/>
        </w:rPr>
        <w:instrText>arabic</w:instrText>
      </w:r>
      <w:r w:rsidR="00831F5B" w:rsidRPr="000A38E5">
        <w:rPr>
          <w:szCs w:val="24"/>
          <w:lang w:val="uk-UA"/>
        </w:rPr>
        <w:instrText xml:space="preserve"> </w:instrText>
      </w:r>
      <w:r w:rsidRPr="00E93710">
        <w:rPr>
          <w:szCs w:val="24"/>
          <w:lang w:val="uk-UA"/>
        </w:rPr>
        <w:fldChar w:fldCharType="separate"/>
      </w:r>
      <w:r w:rsidR="0075299E" w:rsidRPr="00E93710">
        <w:rPr>
          <w:noProof/>
          <w:szCs w:val="24"/>
          <w:lang w:val="uk-UA"/>
        </w:rPr>
        <w:t>15</w:t>
      </w:r>
      <w:r w:rsidRPr="00E93710">
        <w:rPr>
          <w:szCs w:val="24"/>
          <w:lang w:val="uk-UA"/>
        </w:rPr>
        <w:fldChar w:fldCharType="end"/>
      </w:r>
      <w:r w:rsidR="00831F5B" w:rsidRPr="000A38E5">
        <w:rPr>
          <w:szCs w:val="24"/>
          <w:lang w:val="uk-UA"/>
        </w:rPr>
        <w:t>.</w:t>
      </w:r>
      <w:r w:rsidR="00334477" w:rsidRPr="000A38E5">
        <w:rPr>
          <w:szCs w:val="24"/>
          <w:lang w:val="uk-UA"/>
        </w:rPr>
        <w:t xml:space="preserve"> </w:t>
      </w:r>
      <w:r w:rsidR="001E55B0" w:rsidRPr="000A38E5">
        <w:rPr>
          <w:szCs w:val="24"/>
          <w:lang w:val="uk-UA"/>
        </w:rPr>
        <w:t>Інш</w:t>
      </w:r>
      <w:r w:rsidR="00950825" w:rsidRPr="000A38E5">
        <w:rPr>
          <w:szCs w:val="24"/>
          <w:lang w:val="uk-UA"/>
        </w:rPr>
        <w:t>а</w:t>
      </w:r>
      <w:r w:rsidR="001E55B0" w:rsidRPr="000A38E5">
        <w:rPr>
          <w:szCs w:val="24"/>
          <w:lang w:val="uk-UA"/>
        </w:rPr>
        <w:t xml:space="preserve"> підстава, на якій більшість відхилила матеріальне порушення статті</w:t>
      </w:r>
      <w:r w:rsidR="00831F5B" w:rsidRPr="000A38E5">
        <w:rPr>
          <w:szCs w:val="24"/>
          <w:lang w:val="uk-UA"/>
        </w:rPr>
        <w:t xml:space="preserve"> 3</w:t>
      </w:r>
      <w:r w:rsidR="001E55B0" w:rsidRPr="000A38E5">
        <w:rPr>
          <w:szCs w:val="24"/>
          <w:lang w:val="uk-UA"/>
        </w:rPr>
        <w:t xml:space="preserve"> –</w:t>
      </w:r>
      <w:r w:rsidR="00831F5B" w:rsidRPr="000A38E5">
        <w:rPr>
          <w:szCs w:val="24"/>
          <w:lang w:val="uk-UA"/>
        </w:rPr>
        <w:t xml:space="preserve"> </w:t>
      </w:r>
      <w:r w:rsidR="001E55B0" w:rsidRPr="000A38E5">
        <w:rPr>
          <w:szCs w:val="24"/>
          <w:lang w:val="uk-UA"/>
        </w:rPr>
        <w:t>нездатність заявників вказати, хто точно заподіяв їм травми</w:t>
      </w:r>
      <w:r w:rsidR="00831F5B" w:rsidRPr="000A38E5">
        <w:rPr>
          <w:szCs w:val="24"/>
          <w:lang w:val="uk-UA"/>
        </w:rPr>
        <w:t xml:space="preserve">. </w:t>
      </w:r>
      <w:r w:rsidR="001E55B0" w:rsidRPr="000A38E5">
        <w:rPr>
          <w:szCs w:val="24"/>
          <w:lang w:val="uk-UA"/>
        </w:rPr>
        <w:t>Як більшість визнала, ці травми точно були отримані в ході протесту</w:t>
      </w:r>
      <w:r w:rsidR="00831F5B" w:rsidRPr="00E93710">
        <w:rPr>
          <w:szCs w:val="24"/>
          <w:lang w:val="uk-UA"/>
        </w:rPr>
        <w:t xml:space="preserve">: </w:t>
      </w:r>
      <w:r w:rsidR="001E55B0" w:rsidRPr="000A38E5">
        <w:rPr>
          <w:szCs w:val="24"/>
          <w:lang w:val="uk-UA"/>
        </w:rPr>
        <w:t>«твердження сьомого та дев’ятого заявників</w:t>
      </w:r>
      <w:r w:rsidR="00831F5B" w:rsidRPr="00E93710">
        <w:rPr>
          <w:szCs w:val="24"/>
          <w:lang w:val="uk-UA"/>
        </w:rPr>
        <w:t xml:space="preserve"> </w:t>
      </w:r>
      <w:r w:rsidR="001E55B0" w:rsidRPr="000A38E5">
        <w:rPr>
          <w:szCs w:val="24"/>
          <w:lang w:val="uk-UA"/>
        </w:rPr>
        <w:t>про жорстоке поводження в результаті протесту у парку ім. Горького</w:t>
      </w:r>
      <w:r w:rsidR="00831F5B" w:rsidRPr="000A38E5">
        <w:rPr>
          <w:szCs w:val="24"/>
          <w:lang w:val="uk-UA"/>
        </w:rPr>
        <w:t xml:space="preserve"> </w:t>
      </w:r>
      <w:r w:rsidR="001E55B0" w:rsidRPr="000A38E5">
        <w:rPr>
          <w:szCs w:val="24"/>
          <w:lang w:val="uk-UA"/>
        </w:rPr>
        <w:t>підтверджувалися медичними доказами травм»</w:t>
      </w:r>
      <w:r w:rsidR="00831F5B" w:rsidRPr="00E93710">
        <w:rPr>
          <w:szCs w:val="24"/>
          <w:vertAlign w:val="superscript"/>
          <w:lang w:val="uk-UA"/>
        </w:rPr>
        <w:footnoteReference w:id="12"/>
      </w:r>
      <w:r w:rsidR="00831F5B" w:rsidRPr="000A38E5">
        <w:rPr>
          <w:szCs w:val="24"/>
          <w:lang w:val="uk-UA"/>
        </w:rPr>
        <w:t xml:space="preserve">. </w:t>
      </w:r>
      <w:r w:rsidR="00116FBC" w:rsidRPr="000A38E5">
        <w:rPr>
          <w:szCs w:val="24"/>
          <w:lang w:val="uk-UA"/>
        </w:rPr>
        <w:t>Крім того, не заперечується, що заподіяння травм відбулося протягом</w:t>
      </w:r>
      <w:r w:rsidR="00831F5B" w:rsidRPr="000A38E5">
        <w:rPr>
          <w:szCs w:val="24"/>
          <w:lang w:val="uk-UA"/>
        </w:rPr>
        <w:t xml:space="preserve"> </w:t>
      </w:r>
      <w:r w:rsidR="00116FBC" w:rsidRPr="000A38E5">
        <w:rPr>
          <w:szCs w:val="24"/>
          <w:lang w:val="uk-UA"/>
        </w:rPr>
        <w:t>«хаотичної сцени за участю декількох десятків осіб</w:t>
      </w:r>
      <w:r w:rsidR="00831F5B" w:rsidRPr="000A38E5">
        <w:rPr>
          <w:szCs w:val="24"/>
          <w:lang w:val="uk-UA"/>
        </w:rPr>
        <w:t xml:space="preserve">, </w:t>
      </w:r>
      <w:r w:rsidR="00116FBC" w:rsidRPr="000A38E5">
        <w:rPr>
          <w:szCs w:val="24"/>
          <w:lang w:val="uk-UA"/>
        </w:rPr>
        <w:t xml:space="preserve">під час якої люди в чорному намагалися </w:t>
      </w:r>
      <w:proofErr w:type="spellStart"/>
      <w:r w:rsidR="00116FBC" w:rsidRPr="000A38E5">
        <w:rPr>
          <w:szCs w:val="24"/>
          <w:lang w:val="uk-UA"/>
        </w:rPr>
        <w:t>в</w:t>
      </w:r>
      <w:r w:rsidR="00B7658F" w:rsidRPr="000A38E5">
        <w:rPr>
          <w:szCs w:val="24"/>
          <w:lang w:val="uk-UA"/>
        </w:rPr>
        <w:t>ід</w:t>
      </w:r>
      <w:r w:rsidR="00116FBC" w:rsidRPr="000A38E5">
        <w:rPr>
          <w:szCs w:val="24"/>
          <w:lang w:val="uk-UA"/>
        </w:rPr>
        <w:t>штовхати</w:t>
      </w:r>
      <w:proofErr w:type="spellEnd"/>
      <w:r w:rsidR="00116FBC" w:rsidRPr="000A38E5">
        <w:rPr>
          <w:szCs w:val="24"/>
          <w:lang w:val="uk-UA"/>
        </w:rPr>
        <w:t xml:space="preserve"> протестуючих</w:t>
      </w:r>
      <w:r w:rsidR="00831F5B" w:rsidRPr="000A38E5">
        <w:rPr>
          <w:szCs w:val="24"/>
          <w:lang w:val="uk-UA"/>
        </w:rPr>
        <w:t xml:space="preserve"> </w:t>
      </w:r>
      <w:r w:rsidR="00116FBC" w:rsidRPr="000A38E5">
        <w:rPr>
          <w:szCs w:val="24"/>
          <w:lang w:val="uk-UA"/>
        </w:rPr>
        <w:t>від дерев, а протестуючі намагалися</w:t>
      </w:r>
      <w:r w:rsidR="00831F5B" w:rsidRPr="000A38E5">
        <w:rPr>
          <w:szCs w:val="24"/>
          <w:lang w:val="uk-UA"/>
        </w:rPr>
        <w:t xml:space="preserve"> </w:t>
      </w:r>
      <w:r w:rsidR="00116FBC" w:rsidRPr="000A38E5">
        <w:rPr>
          <w:szCs w:val="24"/>
          <w:lang w:val="uk-UA"/>
        </w:rPr>
        <w:t>залишитися на місці та штовхалися у відповідь»</w:t>
      </w:r>
      <w:r w:rsidR="00831F5B" w:rsidRPr="00E93710">
        <w:rPr>
          <w:szCs w:val="24"/>
          <w:vertAlign w:val="superscript"/>
          <w:lang w:val="uk-UA"/>
        </w:rPr>
        <w:footnoteReference w:id="13"/>
      </w:r>
      <w:r w:rsidR="00831F5B" w:rsidRPr="000A38E5">
        <w:rPr>
          <w:szCs w:val="24"/>
          <w:lang w:val="uk-UA"/>
        </w:rPr>
        <w:t xml:space="preserve">. </w:t>
      </w:r>
      <w:r w:rsidR="00116FBC" w:rsidRPr="000A38E5">
        <w:rPr>
          <w:szCs w:val="24"/>
          <w:lang w:val="uk-UA"/>
        </w:rPr>
        <w:t>У цьому контексті нездатність заявників ідентифікувати конкретну людину,</w:t>
      </w:r>
      <w:r w:rsidR="00831F5B" w:rsidRPr="00E93710">
        <w:rPr>
          <w:szCs w:val="24"/>
          <w:lang w:val="uk-UA"/>
        </w:rPr>
        <w:t xml:space="preserve"> </w:t>
      </w:r>
      <w:r w:rsidR="00116FBC" w:rsidRPr="000A38E5">
        <w:rPr>
          <w:szCs w:val="24"/>
          <w:lang w:val="uk-UA"/>
        </w:rPr>
        <w:t>яка несла відповідальність за їх травми,</w:t>
      </w:r>
      <w:r w:rsidR="00831F5B" w:rsidRPr="00E93710">
        <w:rPr>
          <w:szCs w:val="24"/>
          <w:lang w:val="uk-UA"/>
        </w:rPr>
        <w:t xml:space="preserve"> </w:t>
      </w:r>
      <w:r w:rsidR="00116FBC" w:rsidRPr="000A38E5">
        <w:rPr>
          <w:szCs w:val="24"/>
          <w:lang w:val="uk-UA"/>
        </w:rPr>
        <w:t>є повністю обґрунтованою</w:t>
      </w:r>
      <w:r w:rsidR="00831F5B" w:rsidRPr="00E93710">
        <w:rPr>
          <w:szCs w:val="24"/>
          <w:lang w:val="uk-UA"/>
        </w:rPr>
        <w:t xml:space="preserve">. </w:t>
      </w:r>
      <w:r w:rsidR="00116FBC" w:rsidRPr="000A38E5">
        <w:rPr>
          <w:szCs w:val="24"/>
          <w:lang w:val="uk-UA"/>
        </w:rPr>
        <w:t>Тягар полягає на державі, яка не розпочала ефективне розслідування</w:t>
      </w:r>
      <w:r w:rsidR="00831F5B" w:rsidRPr="00E93710">
        <w:rPr>
          <w:szCs w:val="24"/>
          <w:lang w:val="uk-UA"/>
        </w:rPr>
        <w:t xml:space="preserve">, </w:t>
      </w:r>
      <w:r w:rsidR="0053375D" w:rsidRPr="00E93710">
        <w:rPr>
          <w:szCs w:val="24"/>
          <w:lang w:val="uk-UA"/>
        </w:rPr>
        <w:t xml:space="preserve">це </w:t>
      </w:r>
      <w:r w:rsidR="00116FBC" w:rsidRPr="000A38E5">
        <w:rPr>
          <w:szCs w:val="24"/>
          <w:lang w:val="uk-UA"/>
        </w:rPr>
        <w:t>процесуальне порушення статті 3, яке було визнано більшістю</w:t>
      </w:r>
      <w:r w:rsidR="00831F5B" w:rsidRPr="00E93710">
        <w:rPr>
          <w:szCs w:val="24"/>
          <w:vertAlign w:val="superscript"/>
          <w:lang w:val="uk-UA"/>
        </w:rPr>
        <w:footnoteReference w:id="14"/>
      </w:r>
      <w:r w:rsidR="00831F5B" w:rsidRPr="00E93710">
        <w:rPr>
          <w:szCs w:val="24"/>
          <w:lang w:val="uk-UA"/>
        </w:rPr>
        <w:t xml:space="preserve">. </w:t>
      </w:r>
      <w:r w:rsidR="00116FBC" w:rsidRPr="000A38E5">
        <w:rPr>
          <w:szCs w:val="24"/>
          <w:lang w:val="uk-UA"/>
        </w:rPr>
        <w:t>Буде неправильним оголошувати догану заявникам за відсутність інформації,</w:t>
      </w:r>
      <w:r w:rsidR="00831F5B" w:rsidRPr="00E93710">
        <w:rPr>
          <w:szCs w:val="24"/>
          <w:lang w:val="uk-UA"/>
        </w:rPr>
        <w:t xml:space="preserve"> </w:t>
      </w:r>
      <w:r w:rsidR="00116FBC" w:rsidRPr="000A38E5">
        <w:rPr>
          <w:szCs w:val="24"/>
          <w:lang w:val="uk-UA"/>
        </w:rPr>
        <w:t>за яку відповідає держава</w:t>
      </w:r>
      <w:r w:rsidR="00831F5B" w:rsidRPr="00E93710">
        <w:rPr>
          <w:szCs w:val="24"/>
          <w:lang w:val="uk-UA"/>
        </w:rPr>
        <w:t xml:space="preserve">. </w:t>
      </w:r>
      <w:r w:rsidR="00116FBC" w:rsidRPr="000A38E5">
        <w:rPr>
          <w:szCs w:val="24"/>
          <w:lang w:val="uk-UA"/>
        </w:rPr>
        <w:t>Це є навіть більше наявним, коли сама більшість</w:t>
      </w:r>
      <w:r w:rsidR="00831F5B" w:rsidRPr="00E93710">
        <w:rPr>
          <w:szCs w:val="24"/>
          <w:lang w:val="uk-UA"/>
        </w:rPr>
        <w:t xml:space="preserve"> </w:t>
      </w:r>
      <w:r w:rsidR="00116FBC" w:rsidRPr="000A38E5">
        <w:rPr>
          <w:szCs w:val="24"/>
          <w:lang w:val="uk-UA"/>
        </w:rPr>
        <w:t>критикувала Уряд за незабезпечення ефективного механізму</w:t>
      </w:r>
      <w:r w:rsidR="00831F5B" w:rsidRPr="00E93710">
        <w:rPr>
          <w:szCs w:val="24"/>
          <w:lang w:val="uk-UA"/>
        </w:rPr>
        <w:t xml:space="preserve"> </w:t>
      </w:r>
      <w:r w:rsidR="00116FBC" w:rsidRPr="000A38E5">
        <w:rPr>
          <w:szCs w:val="24"/>
          <w:lang w:val="uk-UA"/>
        </w:rPr>
        <w:t>для ідентифікації охоронців,</w:t>
      </w:r>
      <w:r w:rsidR="00831F5B" w:rsidRPr="00E93710">
        <w:rPr>
          <w:szCs w:val="24"/>
          <w:lang w:val="uk-UA"/>
        </w:rPr>
        <w:t xml:space="preserve"> </w:t>
      </w:r>
      <w:r w:rsidR="00116FBC" w:rsidRPr="000A38E5">
        <w:rPr>
          <w:szCs w:val="24"/>
          <w:lang w:val="uk-UA"/>
        </w:rPr>
        <w:t>залучених до операцій, де застосовується сила</w:t>
      </w:r>
      <w:r w:rsidR="00831F5B" w:rsidRPr="00E93710">
        <w:rPr>
          <w:szCs w:val="24"/>
          <w:vertAlign w:val="superscript"/>
          <w:lang w:val="uk-UA"/>
        </w:rPr>
        <w:footnoteReference w:id="15"/>
      </w:r>
      <w:r w:rsidR="00831F5B" w:rsidRPr="00E93710">
        <w:rPr>
          <w:szCs w:val="24"/>
          <w:lang w:val="uk-UA"/>
        </w:rPr>
        <w:t>.</w:t>
      </w:r>
    </w:p>
    <w:p w:rsidR="00F41606" w:rsidRPr="000A38E5" w:rsidRDefault="00831F5B" w:rsidP="00852217">
      <w:pPr>
        <w:pStyle w:val="OpiH1"/>
        <w:rPr>
          <w:lang w:val="uk-UA"/>
        </w:rPr>
      </w:pPr>
      <w:r w:rsidRPr="00E93710">
        <w:rPr>
          <w:lang w:val="uk-UA"/>
        </w:rPr>
        <w:t>III.</w:t>
      </w:r>
      <w:r w:rsidR="00334477" w:rsidRPr="000A38E5">
        <w:rPr>
          <w:lang w:val="uk-UA"/>
        </w:rPr>
        <w:t xml:space="preserve"> </w:t>
      </w:r>
      <w:r w:rsidR="000878B7" w:rsidRPr="000A38E5">
        <w:rPr>
          <w:lang w:val="uk-UA"/>
        </w:rPr>
        <w:t>Стаття 11 Конвенції</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16</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0878B7" w:rsidRPr="000A38E5">
        <w:rPr>
          <w:szCs w:val="24"/>
          <w:lang w:val="uk-UA"/>
        </w:rPr>
        <w:t>У цій справі більшість постійно – та, на мою думку, неправильно</w:t>
      </w:r>
      <w:r w:rsidR="00831F5B" w:rsidRPr="00E93710">
        <w:rPr>
          <w:szCs w:val="24"/>
          <w:lang w:val="uk-UA"/>
        </w:rPr>
        <w:t xml:space="preserve"> </w:t>
      </w:r>
      <w:r w:rsidR="000878B7" w:rsidRPr="00E93710">
        <w:rPr>
          <w:szCs w:val="24"/>
          <w:lang w:val="uk-UA"/>
        </w:rPr>
        <w:t>–</w:t>
      </w:r>
      <w:r w:rsidR="00831F5B" w:rsidRPr="00E93710">
        <w:rPr>
          <w:szCs w:val="24"/>
          <w:lang w:val="uk-UA"/>
        </w:rPr>
        <w:t xml:space="preserve"> </w:t>
      </w:r>
      <w:r w:rsidR="000878B7" w:rsidRPr="000A38E5">
        <w:rPr>
          <w:szCs w:val="24"/>
          <w:lang w:val="uk-UA"/>
        </w:rPr>
        <w:t>спирається на «незаконний» характер демонстрації</w:t>
      </w:r>
      <w:r w:rsidR="00831F5B" w:rsidRPr="00E93710">
        <w:rPr>
          <w:szCs w:val="24"/>
          <w:lang w:val="uk-UA"/>
        </w:rPr>
        <w:t xml:space="preserve"> </w:t>
      </w:r>
      <w:r w:rsidR="000878B7" w:rsidRPr="000A38E5">
        <w:rPr>
          <w:szCs w:val="24"/>
          <w:lang w:val="uk-UA"/>
        </w:rPr>
        <w:t>та дій заявників</w:t>
      </w:r>
      <w:r w:rsidR="00831F5B" w:rsidRPr="00E93710">
        <w:rPr>
          <w:szCs w:val="24"/>
          <w:lang w:val="uk-UA"/>
        </w:rPr>
        <w:t xml:space="preserve">. </w:t>
      </w:r>
      <w:r w:rsidR="000878B7" w:rsidRPr="000A38E5">
        <w:rPr>
          <w:szCs w:val="24"/>
          <w:lang w:val="uk-UA"/>
        </w:rPr>
        <w:t xml:space="preserve">Однак, </w:t>
      </w:r>
      <w:proofErr w:type="spellStart"/>
      <w:r w:rsidR="000878B7" w:rsidRPr="000A38E5">
        <w:rPr>
          <w:szCs w:val="24"/>
          <w:lang w:val="uk-UA"/>
        </w:rPr>
        <w:t>прецедентне</w:t>
      </w:r>
      <w:proofErr w:type="spellEnd"/>
      <w:r w:rsidR="000878B7" w:rsidRPr="000A38E5">
        <w:rPr>
          <w:szCs w:val="24"/>
          <w:lang w:val="uk-UA"/>
        </w:rPr>
        <w:t xml:space="preserve"> право Суду встановлює, що якщо зібрання є мирним</w:t>
      </w:r>
      <w:r w:rsidR="00831F5B" w:rsidRPr="00E93710">
        <w:rPr>
          <w:szCs w:val="24"/>
          <w:lang w:val="uk-UA"/>
        </w:rPr>
        <w:t xml:space="preserve">, </w:t>
      </w:r>
      <w:r w:rsidR="000878B7" w:rsidRPr="000A38E5">
        <w:rPr>
          <w:szCs w:val="24"/>
          <w:lang w:val="uk-UA"/>
        </w:rPr>
        <w:t>сам факт того, що воно є незаконним, не перешкоджатиме захисту статті</w:t>
      </w:r>
      <w:r w:rsidR="00831F5B" w:rsidRPr="00E93710">
        <w:rPr>
          <w:szCs w:val="24"/>
          <w:lang w:val="uk-UA"/>
        </w:rPr>
        <w:t> 11</w:t>
      </w:r>
      <w:r w:rsidR="00831F5B" w:rsidRPr="00E93710">
        <w:rPr>
          <w:szCs w:val="24"/>
          <w:vertAlign w:val="superscript"/>
          <w:lang w:val="uk-UA"/>
        </w:rPr>
        <w:footnoteReference w:id="16"/>
      </w:r>
      <w:r w:rsidR="00096492"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17</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0878B7" w:rsidRPr="000A38E5">
        <w:rPr>
          <w:szCs w:val="24"/>
          <w:lang w:val="uk-UA"/>
        </w:rPr>
        <w:t>Навіть у контексті протестів, які є незаконними відповідно до національного законодавства</w:t>
      </w:r>
      <w:r w:rsidR="00831F5B" w:rsidRPr="00E93710">
        <w:rPr>
          <w:szCs w:val="24"/>
          <w:lang w:val="uk-UA"/>
        </w:rPr>
        <w:t xml:space="preserve">, </w:t>
      </w:r>
      <w:r w:rsidR="000878B7" w:rsidRPr="000A38E5">
        <w:rPr>
          <w:szCs w:val="24"/>
          <w:lang w:val="uk-UA"/>
        </w:rPr>
        <w:t>право на свободу мирних зібрань є однією з основ</w:t>
      </w:r>
      <w:r w:rsidR="00831F5B" w:rsidRPr="00E93710">
        <w:rPr>
          <w:szCs w:val="24"/>
          <w:lang w:val="uk-UA"/>
        </w:rPr>
        <w:t xml:space="preserve"> </w:t>
      </w:r>
      <w:r w:rsidR="000878B7" w:rsidRPr="000A38E5">
        <w:rPr>
          <w:szCs w:val="24"/>
          <w:lang w:val="uk-UA"/>
        </w:rPr>
        <w:t>демократичного суспільства</w:t>
      </w:r>
      <w:r w:rsidR="00831F5B" w:rsidRPr="00E93710">
        <w:rPr>
          <w:szCs w:val="24"/>
          <w:lang w:val="uk-UA"/>
        </w:rPr>
        <w:t xml:space="preserve">, </w:t>
      </w:r>
      <w:r w:rsidR="000878B7" w:rsidRPr="000A38E5">
        <w:rPr>
          <w:szCs w:val="24"/>
          <w:lang w:val="uk-UA"/>
        </w:rPr>
        <w:t>і не повинно тлумачитися обмежено</w:t>
      </w:r>
      <w:r w:rsidR="00831F5B" w:rsidRPr="00E93710">
        <w:rPr>
          <w:szCs w:val="24"/>
          <w:lang w:val="uk-UA"/>
        </w:rPr>
        <w:t xml:space="preserve">. </w:t>
      </w:r>
      <w:r w:rsidR="000878B7" w:rsidRPr="000A38E5">
        <w:rPr>
          <w:szCs w:val="24"/>
          <w:lang w:val="uk-UA"/>
        </w:rPr>
        <w:t>Це було встановленим принципом європейської правозахисної системи</w:t>
      </w:r>
      <w:r w:rsidR="00831F5B" w:rsidRPr="00E93710">
        <w:rPr>
          <w:szCs w:val="24"/>
          <w:lang w:val="uk-UA"/>
        </w:rPr>
        <w:t xml:space="preserve">, </w:t>
      </w:r>
      <w:r w:rsidR="000878B7" w:rsidRPr="000A38E5">
        <w:rPr>
          <w:szCs w:val="24"/>
          <w:lang w:val="uk-UA"/>
        </w:rPr>
        <w:t>ще з часу Комісії</w:t>
      </w:r>
      <w:r w:rsidR="00831F5B" w:rsidRPr="00E93710">
        <w:rPr>
          <w:szCs w:val="24"/>
          <w:lang w:val="uk-UA"/>
        </w:rPr>
        <w:t xml:space="preserve">. </w:t>
      </w:r>
      <w:r w:rsidR="000878B7" w:rsidRPr="000A38E5">
        <w:rPr>
          <w:szCs w:val="24"/>
          <w:lang w:val="uk-UA"/>
        </w:rPr>
        <w:t>В дійсності, у справі</w:t>
      </w:r>
      <w:r w:rsidR="00831F5B" w:rsidRPr="00E93710">
        <w:rPr>
          <w:szCs w:val="24"/>
          <w:lang w:val="uk-UA"/>
        </w:rPr>
        <w:t xml:space="preserve"> </w:t>
      </w:r>
      <w:r w:rsidR="00831F5B" w:rsidRPr="00E93710">
        <w:rPr>
          <w:i/>
          <w:szCs w:val="24"/>
          <w:lang w:val="uk-UA"/>
        </w:rPr>
        <w:t>G v. </w:t>
      </w:r>
      <w:proofErr w:type="spellStart"/>
      <w:r w:rsidR="00831F5B" w:rsidRPr="00E93710">
        <w:rPr>
          <w:i/>
          <w:szCs w:val="24"/>
          <w:lang w:val="uk-UA"/>
        </w:rPr>
        <w:t>Germany</w:t>
      </w:r>
      <w:proofErr w:type="spellEnd"/>
      <w:r w:rsidR="00831F5B" w:rsidRPr="00E93710">
        <w:rPr>
          <w:szCs w:val="24"/>
          <w:lang w:val="uk-UA"/>
        </w:rPr>
        <w:t>,</w:t>
      </w:r>
      <w:r w:rsidR="00831F5B" w:rsidRPr="00E93710">
        <w:rPr>
          <w:szCs w:val="24"/>
          <w:vertAlign w:val="superscript"/>
          <w:lang w:val="uk-UA"/>
        </w:rPr>
        <w:footnoteReference w:id="17"/>
      </w:r>
      <w:r w:rsidR="00831F5B" w:rsidRPr="00E93710">
        <w:rPr>
          <w:szCs w:val="24"/>
          <w:lang w:val="uk-UA"/>
        </w:rPr>
        <w:t xml:space="preserve"> </w:t>
      </w:r>
      <w:r w:rsidR="000878B7" w:rsidRPr="000A38E5">
        <w:rPr>
          <w:szCs w:val="24"/>
          <w:lang w:val="uk-UA"/>
        </w:rPr>
        <w:t>хоча засудження заявника було визнано необхідним у демократичному суспільстві</w:t>
      </w:r>
      <w:r w:rsidR="00831F5B" w:rsidRPr="00E93710">
        <w:rPr>
          <w:szCs w:val="24"/>
          <w:lang w:val="uk-UA"/>
        </w:rPr>
        <w:t xml:space="preserve">, </w:t>
      </w:r>
      <w:r w:rsidR="000878B7" w:rsidRPr="000A38E5">
        <w:rPr>
          <w:szCs w:val="24"/>
          <w:lang w:val="uk-UA"/>
        </w:rPr>
        <w:t>комісія підкреслила, що незаконний характер протесту</w:t>
      </w:r>
      <w:r w:rsidR="00831F5B" w:rsidRPr="00E93710">
        <w:rPr>
          <w:szCs w:val="24"/>
          <w:lang w:val="uk-UA"/>
        </w:rPr>
        <w:t xml:space="preserve"> </w:t>
      </w:r>
      <w:r w:rsidR="000878B7" w:rsidRPr="000A38E5">
        <w:rPr>
          <w:szCs w:val="24"/>
          <w:lang w:val="uk-UA"/>
        </w:rPr>
        <w:t>сам по собі не повинен бути рішучим фактором</w:t>
      </w:r>
      <w:r w:rsidR="00831F5B" w:rsidRPr="00E93710">
        <w:rPr>
          <w:szCs w:val="24"/>
          <w:lang w:val="uk-UA"/>
        </w:rPr>
        <w:t xml:space="preserve"> </w:t>
      </w:r>
      <w:r w:rsidR="000878B7" w:rsidRPr="000A38E5">
        <w:rPr>
          <w:szCs w:val="24"/>
          <w:lang w:val="uk-UA"/>
        </w:rPr>
        <w:t xml:space="preserve">при аналізі </w:t>
      </w:r>
      <w:proofErr w:type="spellStart"/>
      <w:r w:rsidR="000878B7" w:rsidRPr="000A38E5">
        <w:rPr>
          <w:szCs w:val="24"/>
          <w:lang w:val="uk-UA"/>
        </w:rPr>
        <w:t>стверджуваного</w:t>
      </w:r>
      <w:proofErr w:type="spellEnd"/>
      <w:r w:rsidR="000878B7" w:rsidRPr="000A38E5">
        <w:rPr>
          <w:szCs w:val="24"/>
          <w:lang w:val="uk-UA"/>
        </w:rPr>
        <w:t xml:space="preserve"> порушення статті 11</w:t>
      </w:r>
      <w:r w:rsidR="00096492"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18</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0878B7" w:rsidRPr="000A38E5">
        <w:rPr>
          <w:szCs w:val="24"/>
          <w:lang w:val="uk-UA"/>
        </w:rPr>
        <w:t>Дійсно, у справі з обставинами, паралельними даній справі</w:t>
      </w:r>
      <w:r w:rsidR="00831F5B" w:rsidRPr="00E93710">
        <w:rPr>
          <w:szCs w:val="24"/>
          <w:lang w:val="uk-UA"/>
        </w:rPr>
        <w:t xml:space="preserve">, </w:t>
      </w:r>
      <w:proofErr w:type="spellStart"/>
      <w:r w:rsidR="00831F5B" w:rsidRPr="00E93710">
        <w:rPr>
          <w:i/>
          <w:szCs w:val="24"/>
          <w:lang w:val="uk-UA"/>
        </w:rPr>
        <w:t>Nurettin</w:t>
      </w:r>
      <w:proofErr w:type="spellEnd"/>
      <w:r w:rsidR="00831F5B" w:rsidRPr="00E93710">
        <w:rPr>
          <w:i/>
          <w:szCs w:val="24"/>
          <w:lang w:val="uk-UA"/>
        </w:rPr>
        <w:t xml:space="preserve"> </w:t>
      </w:r>
      <w:proofErr w:type="spellStart"/>
      <w:r w:rsidR="00831F5B" w:rsidRPr="00E93710">
        <w:rPr>
          <w:i/>
          <w:szCs w:val="24"/>
          <w:lang w:val="uk-UA"/>
        </w:rPr>
        <w:t>Aldemir</w:t>
      </w:r>
      <w:proofErr w:type="spellEnd"/>
      <w:r w:rsidR="00831F5B" w:rsidRPr="00E93710">
        <w:rPr>
          <w:i/>
          <w:szCs w:val="24"/>
          <w:lang w:val="uk-UA"/>
        </w:rPr>
        <w:t xml:space="preserve"> </w:t>
      </w:r>
      <w:proofErr w:type="spellStart"/>
      <w:r w:rsidR="00831F5B" w:rsidRPr="00E93710">
        <w:rPr>
          <w:i/>
          <w:szCs w:val="24"/>
          <w:lang w:val="uk-UA"/>
        </w:rPr>
        <w:t>and</w:t>
      </w:r>
      <w:proofErr w:type="spellEnd"/>
      <w:r w:rsidR="00831F5B" w:rsidRPr="00E93710">
        <w:rPr>
          <w:i/>
          <w:szCs w:val="24"/>
          <w:lang w:val="uk-UA"/>
        </w:rPr>
        <w:t xml:space="preserve"> </w:t>
      </w:r>
      <w:proofErr w:type="spellStart"/>
      <w:r w:rsidR="00831F5B" w:rsidRPr="00E93710">
        <w:rPr>
          <w:i/>
          <w:szCs w:val="24"/>
          <w:lang w:val="uk-UA"/>
        </w:rPr>
        <w:t>Others</w:t>
      </w:r>
      <w:proofErr w:type="spellEnd"/>
      <w:r w:rsidR="00831F5B" w:rsidRPr="00E93710">
        <w:rPr>
          <w:i/>
          <w:szCs w:val="24"/>
          <w:lang w:val="uk-UA"/>
        </w:rPr>
        <w:t xml:space="preserve"> v. </w:t>
      </w:r>
      <w:proofErr w:type="spellStart"/>
      <w:r w:rsidR="00831F5B" w:rsidRPr="00E93710">
        <w:rPr>
          <w:i/>
          <w:szCs w:val="24"/>
          <w:lang w:val="uk-UA"/>
        </w:rPr>
        <w:t>Turkey</w:t>
      </w:r>
      <w:proofErr w:type="spellEnd"/>
      <w:r w:rsidR="00831F5B" w:rsidRPr="00E93710">
        <w:rPr>
          <w:szCs w:val="24"/>
          <w:lang w:val="uk-UA"/>
        </w:rPr>
        <w:t>,</w:t>
      </w:r>
      <w:r w:rsidR="00831F5B" w:rsidRPr="00E93710">
        <w:rPr>
          <w:szCs w:val="24"/>
          <w:vertAlign w:val="superscript"/>
          <w:lang w:val="uk-UA"/>
        </w:rPr>
        <w:footnoteReference w:id="18"/>
      </w:r>
      <w:r w:rsidR="00831F5B" w:rsidRPr="00E93710">
        <w:rPr>
          <w:szCs w:val="24"/>
          <w:lang w:val="uk-UA"/>
        </w:rPr>
        <w:t xml:space="preserve"> </w:t>
      </w:r>
      <w:r w:rsidR="000878B7" w:rsidRPr="000A38E5">
        <w:rPr>
          <w:szCs w:val="24"/>
          <w:lang w:val="uk-UA"/>
        </w:rPr>
        <w:t>Суд визнав, що факт того, що охоронці насильно закінчили демонстрацію,</w:t>
      </w:r>
      <w:r w:rsidR="00831F5B" w:rsidRPr="00E93710">
        <w:rPr>
          <w:szCs w:val="24"/>
          <w:lang w:val="uk-UA"/>
        </w:rPr>
        <w:t xml:space="preserve"> </w:t>
      </w:r>
      <w:r w:rsidR="000878B7" w:rsidRPr="000A38E5">
        <w:rPr>
          <w:szCs w:val="24"/>
          <w:lang w:val="uk-UA"/>
        </w:rPr>
        <w:t>яка була нелегальною відповідно до національного законодавства,</w:t>
      </w:r>
      <w:r w:rsidR="00831F5B" w:rsidRPr="00E93710">
        <w:rPr>
          <w:szCs w:val="24"/>
          <w:lang w:val="uk-UA"/>
        </w:rPr>
        <w:t xml:space="preserve"> </w:t>
      </w:r>
      <w:r w:rsidR="000878B7" w:rsidRPr="000A38E5">
        <w:rPr>
          <w:szCs w:val="24"/>
          <w:lang w:val="uk-UA"/>
        </w:rPr>
        <w:t>дорівнював порушенню статті 11</w:t>
      </w:r>
      <w:r w:rsidR="00831F5B" w:rsidRPr="00E93710">
        <w:rPr>
          <w:szCs w:val="24"/>
          <w:lang w:val="uk-UA"/>
        </w:rPr>
        <w:t xml:space="preserve">, </w:t>
      </w:r>
      <w:r w:rsidR="000878B7" w:rsidRPr="000A38E5">
        <w:rPr>
          <w:szCs w:val="24"/>
          <w:lang w:val="uk-UA"/>
        </w:rPr>
        <w:t>оскільки втручання у зібрання та застосування сили поліцією</w:t>
      </w:r>
      <w:r w:rsidR="00831F5B" w:rsidRPr="00E93710">
        <w:rPr>
          <w:szCs w:val="24"/>
          <w:lang w:val="uk-UA"/>
        </w:rPr>
        <w:t xml:space="preserve"> </w:t>
      </w:r>
      <w:r w:rsidR="000878B7" w:rsidRPr="000A38E5">
        <w:rPr>
          <w:szCs w:val="24"/>
          <w:lang w:val="uk-UA"/>
        </w:rPr>
        <w:t>для розгону учасників</w:t>
      </w:r>
      <w:r w:rsidR="00831F5B" w:rsidRPr="00E93710">
        <w:rPr>
          <w:szCs w:val="24"/>
          <w:lang w:val="uk-UA"/>
        </w:rPr>
        <w:t xml:space="preserve">, </w:t>
      </w:r>
      <w:r w:rsidR="000878B7" w:rsidRPr="000A38E5">
        <w:rPr>
          <w:szCs w:val="24"/>
          <w:lang w:val="uk-UA"/>
        </w:rPr>
        <w:t xml:space="preserve">а також </w:t>
      </w:r>
      <w:r w:rsidR="000878B7" w:rsidRPr="000A38E5">
        <w:rPr>
          <w:szCs w:val="24"/>
          <w:lang w:val="uk-UA"/>
        </w:rPr>
        <w:lastRenderedPageBreak/>
        <w:t>подальше (хоча безуспішне) переслідування</w:t>
      </w:r>
      <w:r w:rsidR="00831F5B" w:rsidRPr="00E93710">
        <w:rPr>
          <w:szCs w:val="24"/>
          <w:lang w:val="uk-UA"/>
        </w:rPr>
        <w:t xml:space="preserve"> </w:t>
      </w:r>
      <w:r w:rsidR="000878B7" w:rsidRPr="000A38E5">
        <w:rPr>
          <w:szCs w:val="24"/>
          <w:lang w:val="uk-UA"/>
        </w:rPr>
        <w:t>учасників</w:t>
      </w:r>
      <w:r w:rsidR="00831F5B" w:rsidRPr="00E93710">
        <w:rPr>
          <w:szCs w:val="24"/>
          <w:lang w:val="uk-UA"/>
        </w:rPr>
        <w:t xml:space="preserve">, </w:t>
      </w:r>
      <w:r w:rsidR="000878B7" w:rsidRPr="000A38E5">
        <w:rPr>
          <w:szCs w:val="24"/>
          <w:lang w:val="uk-UA"/>
        </w:rPr>
        <w:t>могло мати охолоджуючий ефект</w:t>
      </w:r>
      <w:r w:rsidR="00831F5B" w:rsidRPr="00E93710">
        <w:rPr>
          <w:szCs w:val="24"/>
          <w:lang w:val="uk-UA"/>
        </w:rPr>
        <w:t xml:space="preserve"> </w:t>
      </w:r>
      <w:r w:rsidR="000878B7" w:rsidRPr="000A38E5">
        <w:rPr>
          <w:szCs w:val="24"/>
          <w:lang w:val="uk-UA"/>
        </w:rPr>
        <w:t>і сприяло тому, щоб заявники більше не приймали участь у таких зібраннях</w:t>
      </w:r>
      <w:r w:rsidR="00831F5B" w:rsidRPr="00E93710">
        <w:rPr>
          <w:szCs w:val="24"/>
          <w:lang w:val="uk-UA"/>
        </w:rPr>
        <w:t xml:space="preserve">. </w:t>
      </w:r>
      <w:r w:rsidR="000878B7" w:rsidRPr="000A38E5">
        <w:rPr>
          <w:szCs w:val="24"/>
          <w:lang w:val="uk-UA"/>
        </w:rPr>
        <w:t>Суд не має підстав відхилятися від цього висновку в даній справі</w:t>
      </w:r>
      <w:r w:rsidR="00096492"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19</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0878B7" w:rsidRPr="000A38E5">
        <w:rPr>
          <w:szCs w:val="24"/>
          <w:lang w:val="uk-UA"/>
        </w:rPr>
        <w:t>Аналогічно, у справі</w:t>
      </w:r>
      <w:r w:rsidR="00831F5B" w:rsidRPr="00E93710">
        <w:rPr>
          <w:szCs w:val="24"/>
          <w:lang w:val="uk-UA"/>
        </w:rPr>
        <w:t xml:space="preserve"> </w:t>
      </w:r>
      <w:proofErr w:type="spellStart"/>
      <w:r w:rsidR="00831F5B" w:rsidRPr="00E93710">
        <w:rPr>
          <w:i/>
          <w:iCs/>
          <w:szCs w:val="24"/>
          <w:lang w:val="uk-UA"/>
        </w:rPr>
        <w:t>Ezelin</w:t>
      </w:r>
      <w:proofErr w:type="spellEnd"/>
      <w:r w:rsidR="00831F5B" w:rsidRPr="00E93710">
        <w:rPr>
          <w:i/>
          <w:iCs/>
          <w:szCs w:val="24"/>
          <w:lang w:val="uk-UA"/>
        </w:rPr>
        <w:t xml:space="preserve"> v </w:t>
      </w:r>
      <w:proofErr w:type="spellStart"/>
      <w:r w:rsidR="00831F5B" w:rsidRPr="00E93710">
        <w:rPr>
          <w:i/>
          <w:iCs/>
          <w:szCs w:val="24"/>
          <w:lang w:val="uk-UA"/>
        </w:rPr>
        <w:t>France</w:t>
      </w:r>
      <w:proofErr w:type="spellEnd"/>
      <w:r w:rsidR="00831F5B" w:rsidRPr="00E93710">
        <w:rPr>
          <w:szCs w:val="24"/>
          <w:lang w:val="uk-UA"/>
        </w:rPr>
        <w:t>,</w:t>
      </w:r>
      <w:r w:rsidR="00831F5B" w:rsidRPr="00E93710">
        <w:rPr>
          <w:szCs w:val="24"/>
          <w:vertAlign w:val="superscript"/>
          <w:lang w:val="uk-UA"/>
        </w:rPr>
        <w:footnoteReference w:id="19"/>
      </w:r>
      <w:r w:rsidR="00831F5B" w:rsidRPr="00E93710">
        <w:rPr>
          <w:szCs w:val="24"/>
          <w:lang w:val="uk-UA"/>
        </w:rPr>
        <w:t xml:space="preserve"> </w:t>
      </w:r>
      <w:r w:rsidR="000878B7" w:rsidRPr="000A38E5">
        <w:rPr>
          <w:szCs w:val="24"/>
          <w:lang w:val="uk-UA"/>
        </w:rPr>
        <w:t>хоча протестуючі займалися явно незаконними діями</w:t>
      </w:r>
      <w:r w:rsidR="00831F5B" w:rsidRPr="00E93710">
        <w:rPr>
          <w:szCs w:val="24"/>
          <w:lang w:val="uk-UA"/>
        </w:rPr>
        <w:t xml:space="preserve">, </w:t>
      </w:r>
      <w:r w:rsidR="000878B7" w:rsidRPr="000A38E5">
        <w:rPr>
          <w:szCs w:val="24"/>
          <w:lang w:val="uk-UA"/>
        </w:rPr>
        <w:t>у тому числі загрожували міліціонерам жорстокими формулюваннями</w:t>
      </w:r>
      <w:r w:rsidR="00831F5B" w:rsidRPr="00E93710">
        <w:rPr>
          <w:szCs w:val="24"/>
          <w:lang w:val="uk-UA"/>
        </w:rPr>
        <w:t xml:space="preserve"> </w:t>
      </w:r>
      <w:r w:rsidR="000878B7" w:rsidRPr="000A38E5">
        <w:rPr>
          <w:szCs w:val="24"/>
          <w:lang w:val="uk-UA"/>
        </w:rPr>
        <w:t>та малювали образливі графіті на адміністративних будівлях</w:t>
      </w:r>
      <w:r w:rsidR="00831F5B" w:rsidRPr="00E93710">
        <w:rPr>
          <w:szCs w:val="24"/>
          <w:lang w:val="uk-UA"/>
        </w:rPr>
        <w:t xml:space="preserve">, </w:t>
      </w:r>
      <w:r w:rsidR="000878B7" w:rsidRPr="000A38E5">
        <w:rPr>
          <w:szCs w:val="24"/>
          <w:lang w:val="uk-UA"/>
        </w:rPr>
        <w:t>Суд вважає, що карні заходи, прийняті асоціацією адвокатів заявника,</w:t>
      </w:r>
      <w:r w:rsidR="00831F5B" w:rsidRPr="00E93710">
        <w:rPr>
          <w:szCs w:val="24"/>
          <w:lang w:val="uk-UA"/>
        </w:rPr>
        <w:t xml:space="preserve"> </w:t>
      </w:r>
      <w:r w:rsidR="000878B7" w:rsidRPr="000A38E5">
        <w:rPr>
          <w:szCs w:val="24"/>
          <w:lang w:val="uk-UA"/>
        </w:rPr>
        <w:t>порушили його право за статтею 11</w:t>
      </w:r>
      <w:r w:rsidR="00831F5B" w:rsidRPr="00E93710">
        <w:rPr>
          <w:szCs w:val="24"/>
          <w:lang w:val="uk-UA"/>
        </w:rPr>
        <w:t xml:space="preserve">. </w:t>
      </w:r>
      <w:r w:rsidR="000878B7" w:rsidRPr="000A38E5">
        <w:rPr>
          <w:szCs w:val="24"/>
          <w:lang w:val="uk-UA"/>
        </w:rPr>
        <w:t>Зокрема, Суд описав санкцію Асоціації адвокатів, як «мінімальну»</w:t>
      </w:r>
      <w:r w:rsidR="00831F5B" w:rsidRPr="00E93710">
        <w:rPr>
          <w:szCs w:val="24"/>
          <w:lang w:val="uk-UA"/>
        </w:rPr>
        <w:t xml:space="preserve">, </w:t>
      </w:r>
      <w:r w:rsidR="000878B7" w:rsidRPr="000A38E5">
        <w:rPr>
          <w:szCs w:val="24"/>
          <w:lang w:val="uk-UA"/>
        </w:rPr>
        <w:t>хоча усе одно постановив, що вона «не була необхідною у демократичному суспільстві»</w:t>
      </w:r>
      <w:r w:rsidR="00831F5B" w:rsidRPr="00E93710">
        <w:rPr>
          <w:szCs w:val="24"/>
          <w:vertAlign w:val="superscript"/>
          <w:lang w:val="uk-UA"/>
        </w:rPr>
        <w:footnoteReference w:id="20"/>
      </w:r>
      <w:r w:rsidR="00096492"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20</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0878B7" w:rsidRPr="000A38E5">
        <w:rPr>
          <w:szCs w:val="24"/>
          <w:lang w:val="uk-UA"/>
        </w:rPr>
        <w:t>Понад усе, держави мають негативний обов’язок утримуватися</w:t>
      </w:r>
      <w:r w:rsidR="00831F5B" w:rsidRPr="00E93710">
        <w:rPr>
          <w:szCs w:val="24"/>
          <w:lang w:val="uk-UA"/>
        </w:rPr>
        <w:t xml:space="preserve"> </w:t>
      </w:r>
      <w:r w:rsidR="000878B7" w:rsidRPr="000A38E5">
        <w:rPr>
          <w:szCs w:val="24"/>
          <w:lang w:val="uk-UA"/>
        </w:rPr>
        <w:t>від будь-якого втручання у права, захищені у статті</w:t>
      </w:r>
      <w:r w:rsidR="00831F5B" w:rsidRPr="00E93710">
        <w:rPr>
          <w:szCs w:val="24"/>
          <w:lang w:val="uk-UA"/>
        </w:rPr>
        <w:t xml:space="preserve"> 11, </w:t>
      </w:r>
      <w:r w:rsidR="000878B7" w:rsidRPr="000A38E5">
        <w:rPr>
          <w:szCs w:val="24"/>
          <w:lang w:val="uk-UA"/>
        </w:rPr>
        <w:t>якщо це втручання не відповідає статті</w:t>
      </w:r>
      <w:r w:rsidR="00831F5B" w:rsidRPr="00E93710">
        <w:rPr>
          <w:szCs w:val="24"/>
          <w:lang w:val="uk-UA"/>
        </w:rPr>
        <w:t xml:space="preserve"> 11 § 2.</w:t>
      </w:r>
      <w:r w:rsidR="00831F5B" w:rsidRPr="00E93710">
        <w:rPr>
          <w:szCs w:val="24"/>
          <w:vertAlign w:val="superscript"/>
          <w:lang w:val="uk-UA"/>
        </w:rPr>
        <w:footnoteReference w:id="21"/>
      </w:r>
      <w:r w:rsidR="00831F5B" w:rsidRPr="00E93710">
        <w:rPr>
          <w:szCs w:val="24"/>
          <w:lang w:val="uk-UA"/>
        </w:rPr>
        <w:t xml:space="preserve"> </w:t>
      </w:r>
      <w:r w:rsidR="006571C2" w:rsidRPr="000A38E5">
        <w:rPr>
          <w:szCs w:val="24"/>
          <w:lang w:val="uk-UA"/>
        </w:rPr>
        <w:t>Стаття</w:t>
      </w:r>
      <w:r w:rsidR="00831F5B" w:rsidRPr="00E93710">
        <w:rPr>
          <w:szCs w:val="24"/>
          <w:lang w:val="uk-UA"/>
        </w:rPr>
        <w:t xml:space="preserve"> 11 § 2 </w:t>
      </w:r>
      <w:r w:rsidR="006571C2" w:rsidRPr="000A38E5">
        <w:rPr>
          <w:szCs w:val="24"/>
          <w:lang w:val="uk-UA"/>
        </w:rPr>
        <w:t>вимагає передбачуваності законом</w:t>
      </w:r>
      <w:r w:rsidR="00831F5B" w:rsidRPr="00E93710">
        <w:rPr>
          <w:szCs w:val="24"/>
          <w:lang w:val="uk-UA"/>
        </w:rPr>
        <w:t xml:space="preserve"> </w:t>
      </w:r>
      <w:r w:rsidR="006571C2" w:rsidRPr="000A38E5">
        <w:rPr>
          <w:szCs w:val="24"/>
          <w:lang w:val="uk-UA"/>
        </w:rPr>
        <w:t>та необхідності у демократичному суспільстві</w:t>
      </w:r>
      <w:r w:rsidR="00831F5B" w:rsidRPr="00E93710">
        <w:rPr>
          <w:szCs w:val="24"/>
          <w:lang w:val="uk-UA"/>
        </w:rPr>
        <w:t xml:space="preserve"> </w:t>
      </w:r>
      <w:r w:rsidR="006571C2" w:rsidRPr="000A38E5">
        <w:rPr>
          <w:szCs w:val="24"/>
          <w:lang w:val="uk-UA"/>
        </w:rPr>
        <w:t>в інтересах національної безпеки або громадської безпеки</w:t>
      </w:r>
      <w:r w:rsidR="00831F5B" w:rsidRPr="00E93710">
        <w:rPr>
          <w:szCs w:val="24"/>
          <w:lang w:val="uk-UA"/>
        </w:rPr>
        <w:t xml:space="preserve">, </w:t>
      </w:r>
      <w:r w:rsidR="006571C2" w:rsidRPr="000A38E5">
        <w:rPr>
          <w:szCs w:val="24"/>
          <w:lang w:val="uk-UA"/>
        </w:rPr>
        <w:t>для запобігання безпорядку або злочинам</w:t>
      </w:r>
      <w:r w:rsidR="00831F5B" w:rsidRPr="00E93710">
        <w:rPr>
          <w:szCs w:val="24"/>
          <w:lang w:val="uk-UA"/>
        </w:rPr>
        <w:t xml:space="preserve">, </w:t>
      </w:r>
      <w:r w:rsidR="006571C2" w:rsidRPr="000A38E5">
        <w:rPr>
          <w:szCs w:val="24"/>
          <w:lang w:val="uk-UA"/>
        </w:rPr>
        <w:t>для захисту здоров’я або моралі,</w:t>
      </w:r>
      <w:r w:rsidR="00831F5B" w:rsidRPr="00E93710">
        <w:rPr>
          <w:szCs w:val="24"/>
          <w:lang w:val="uk-UA"/>
        </w:rPr>
        <w:t xml:space="preserve"> </w:t>
      </w:r>
      <w:r w:rsidR="006571C2" w:rsidRPr="000A38E5">
        <w:rPr>
          <w:szCs w:val="24"/>
          <w:lang w:val="uk-UA"/>
        </w:rPr>
        <w:t>або для захисту прав та свобод інших осіб</w:t>
      </w:r>
      <w:r w:rsidR="00096492"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21</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4363B4" w:rsidRPr="000A38E5">
        <w:rPr>
          <w:szCs w:val="24"/>
          <w:lang w:val="uk-UA"/>
        </w:rPr>
        <w:t>У цій справі втручання у право заявників на свободу зібрання</w:t>
      </w:r>
      <w:r w:rsidR="00831F5B" w:rsidRPr="00E93710">
        <w:rPr>
          <w:szCs w:val="24"/>
          <w:lang w:val="uk-UA"/>
        </w:rPr>
        <w:t xml:space="preserve"> </w:t>
      </w:r>
      <w:r w:rsidR="004363B4" w:rsidRPr="000A38E5">
        <w:rPr>
          <w:szCs w:val="24"/>
          <w:lang w:val="uk-UA"/>
        </w:rPr>
        <w:t>було призначено законом та переслідувало законну мету</w:t>
      </w:r>
      <w:r w:rsidR="00831F5B" w:rsidRPr="00E93710">
        <w:rPr>
          <w:szCs w:val="24"/>
          <w:lang w:val="uk-UA"/>
        </w:rPr>
        <w:t xml:space="preserve">, </w:t>
      </w:r>
      <w:r w:rsidR="004363B4" w:rsidRPr="000A38E5">
        <w:rPr>
          <w:szCs w:val="24"/>
          <w:lang w:val="uk-UA"/>
        </w:rPr>
        <w:t>але зовсім не було «необхідним у демократичному суспільстві»</w:t>
      </w:r>
      <w:r w:rsidR="00831F5B"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22</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4363B4" w:rsidRPr="000A38E5">
        <w:rPr>
          <w:szCs w:val="24"/>
          <w:lang w:val="uk-UA"/>
        </w:rPr>
        <w:t>Втручання є «необхідним у демократичному суспільстві», тільки якщо воно відповідає</w:t>
      </w:r>
      <w:r w:rsidR="00831F5B" w:rsidRPr="00E93710">
        <w:rPr>
          <w:szCs w:val="24"/>
          <w:lang w:val="uk-UA"/>
        </w:rPr>
        <w:t xml:space="preserve"> </w:t>
      </w:r>
      <w:r w:rsidR="006957BE" w:rsidRPr="000A38E5">
        <w:rPr>
          <w:szCs w:val="24"/>
          <w:lang w:val="uk-UA"/>
        </w:rPr>
        <w:t>«наявній соціальній потребі»</w:t>
      </w:r>
      <w:r w:rsidR="00831F5B" w:rsidRPr="00E93710">
        <w:rPr>
          <w:szCs w:val="24"/>
          <w:lang w:val="uk-UA"/>
        </w:rPr>
        <w:t xml:space="preserve"> </w:t>
      </w:r>
      <w:r w:rsidR="006957BE" w:rsidRPr="000A38E5">
        <w:rPr>
          <w:szCs w:val="24"/>
          <w:lang w:val="uk-UA"/>
        </w:rPr>
        <w:t>і зокрема, якщо воно є пропорційним переслідуваній законній меті,</w:t>
      </w:r>
      <w:r w:rsidR="00831F5B" w:rsidRPr="00E93710">
        <w:rPr>
          <w:szCs w:val="24"/>
          <w:lang w:val="uk-UA"/>
        </w:rPr>
        <w:t xml:space="preserve"> </w:t>
      </w:r>
      <w:r w:rsidR="006957BE" w:rsidRPr="000A38E5">
        <w:rPr>
          <w:szCs w:val="24"/>
          <w:lang w:val="uk-UA"/>
        </w:rPr>
        <w:t>і якщо підстави, надані національними органами влади для його виправдання,</w:t>
      </w:r>
      <w:r w:rsidR="00831F5B" w:rsidRPr="00E93710">
        <w:rPr>
          <w:szCs w:val="24"/>
          <w:lang w:val="uk-UA"/>
        </w:rPr>
        <w:t xml:space="preserve"> </w:t>
      </w:r>
      <w:r w:rsidR="006957BE" w:rsidRPr="000A38E5">
        <w:rPr>
          <w:szCs w:val="24"/>
          <w:lang w:val="uk-UA"/>
        </w:rPr>
        <w:t>є «відповідними та достатніми»</w:t>
      </w:r>
      <w:r w:rsidR="00831F5B" w:rsidRPr="00E93710">
        <w:rPr>
          <w:szCs w:val="24"/>
          <w:lang w:val="uk-UA"/>
        </w:rPr>
        <w:t>.</w:t>
      </w:r>
      <w:r w:rsidR="00831F5B" w:rsidRPr="00E93710">
        <w:rPr>
          <w:szCs w:val="24"/>
          <w:vertAlign w:val="superscript"/>
          <w:lang w:val="uk-UA"/>
        </w:rPr>
        <w:footnoteReference w:id="22"/>
      </w:r>
      <w:r w:rsidR="00831F5B" w:rsidRPr="00E93710">
        <w:rPr>
          <w:szCs w:val="24"/>
          <w:lang w:val="uk-UA"/>
        </w:rPr>
        <w:t xml:space="preserve"> </w:t>
      </w:r>
      <w:r w:rsidR="006957BE" w:rsidRPr="000A38E5">
        <w:rPr>
          <w:szCs w:val="24"/>
          <w:lang w:val="uk-UA"/>
        </w:rPr>
        <w:t>Хоча саме національні органи влади повинні зробити початкову оцінку</w:t>
      </w:r>
      <w:r w:rsidR="00831F5B" w:rsidRPr="00E93710">
        <w:rPr>
          <w:szCs w:val="24"/>
          <w:lang w:val="uk-UA"/>
        </w:rPr>
        <w:t xml:space="preserve"> </w:t>
      </w:r>
      <w:r w:rsidR="006957BE" w:rsidRPr="000A38E5">
        <w:rPr>
          <w:szCs w:val="24"/>
          <w:lang w:val="uk-UA"/>
        </w:rPr>
        <w:t>усіх цих аспектів</w:t>
      </w:r>
      <w:r w:rsidR="00831F5B" w:rsidRPr="00E93710">
        <w:rPr>
          <w:szCs w:val="24"/>
          <w:lang w:val="uk-UA"/>
        </w:rPr>
        <w:t xml:space="preserve">, </w:t>
      </w:r>
      <w:r w:rsidR="006957BE" w:rsidRPr="000A38E5">
        <w:rPr>
          <w:szCs w:val="24"/>
          <w:lang w:val="uk-UA"/>
        </w:rPr>
        <w:t>цей Суд уповноважений здійснити остаточну оцінку того,</w:t>
      </w:r>
      <w:r w:rsidR="00831F5B" w:rsidRPr="00E93710">
        <w:rPr>
          <w:szCs w:val="24"/>
          <w:lang w:val="uk-UA"/>
        </w:rPr>
        <w:t xml:space="preserve"> </w:t>
      </w:r>
      <w:r w:rsidR="006957BE" w:rsidRPr="000A38E5">
        <w:rPr>
          <w:szCs w:val="24"/>
          <w:lang w:val="uk-UA"/>
        </w:rPr>
        <w:t>чи втручання було необхідним</w:t>
      </w:r>
      <w:r w:rsidR="00831F5B"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23</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6957BE" w:rsidRPr="000A38E5">
        <w:rPr>
          <w:szCs w:val="24"/>
          <w:lang w:val="uk-UA"/>
        </w:rPr>
        <w:t>Беручи до уваги обставини цієї справи, складно визнати,</w:t>
      </w:r>
      <w:r w:rsidR="00831F5B" w:rsidRPr="00E93710">
        <w:rPr>
          <w:szCs w:val="24"/>
          <w:lang w:val="uk-UA"/>
        </w:rPr>
        <w:t xml:space="preserve"> </w:t>
      </w:r>
      <w:r w:rsidR="006957BE" w:rsidRPr="000A38E5">
        <w:rPr>
          <w:szCs w:val="24"/>
          <w:lang w:val="uk-UA"/>
        </w:rPr>
        <w:t>що засудження заявників було «необхідним у демократичному суспільстві»</w:t>
      </w:r>
      <w:r w:rsidR="00831F5B"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24</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6957BE" w:rsidRPr="000A38E5">
        <w:rPr>
          <w:szCs w:val="24"/>
          <w:lang w:val="uk-UA"/>
        </w:rPr>
        <w:t>Як неодноразово підкреслювали ОБСЄ</w:t>
      </w:r>
      <w:r w:rsidR="00831F5B" w:rsidRPr="00E93710">
        <w:rPr>
          <w:szCs w:val="24"/>
          <w:lang w:val="uk-UA"/>
        </w:rPr>
        <w:t xml:space="preserve">, </w:t>
      </w:r>
      <w:r w:rsidR="006957BE" w:rsidRPr="000A38E5">
        <w:rPr>
          <w:szCs w:val="24"/>
          <w:lang w:val="uk-UA"/>
        </w:rPr>
        <w:t>Венеціанська комісія та Спеціальний доповідач ООН</w:t>
      </w:r>
      <w:r w:rsidR="00831F5B" w:rsidRPr="00E93710">
        <w:rPr>
          <w:szCs w:val="24"/>
          <w:lang w:val="uk-UA"/>
        </w:rPr>
        <w:t xml:space="preserve"> </w:t>
      </w:r>
      <w:r w:rsidR="006957BE" w:rsidRPr="000A38E5">
        <w:rPr>
          <w:szCs w:val="24"/>
          <w:lang w:val="uk-UA"/>
        </w:rPr>
        <w:t>з права на свободу мирних зібрань та об’єднань</w:t>
      </w:r>
      <w:r w:rsidR="00831F5B" w:rsidRPr="00E93710">
        <w:rPr>
          <w:szCs w:val="24"/>
          <w:lang w:val="uk-UA"/>
        </w:rPr>
        <w:t xml:space="preserve">, </w:t>
      </w:r>
      <w:r w:rsidR="00E64A1D" w:rsidRPr="000A38E5">
        <w:rPr>
          <w:szCs w:val="24"/>
          <w:lang w:val="uk-UA"/>
        </w:rPr>
        <w:t>існує презумпція на користь проведення мирних зібрань</w:t>
      </w:r>
      <w:r w:rsidR="00831F5B" w:rsidRPr="00E93710">
        <w:rPr>
          <w:szCs w:val="24"/>
          <w:lang w:val="uk-UA"/>
        </w:rPr>
        <w:t xml:space="preserve">, </w:t>
      </w:r>
      <w:r w:rsidR="00E64A1D" w:rsidRPr="000A38E5">
        <w:rPr>
          <w:szCs w:val="24"/>
          <w:lang w:val="uk-UA"/>
        </w:rPr>
        <w:t xml:space="preserve">яка означає, що зібрання повинно вважатися </w:t>
      </w:r>
      <w:r w:rsidR="0053375D" w:rsidRPr="000A38E5">
        <w:rPr>
          <w:szCs w:val="24"/>
          <w:lang w:val="uk-UA"/>
        </w:rPr>
        <w:t>тим, що не становить</w:t>
      </w:r>
      <w:r w:rsidR="00E64A1D" w:rsidRPr="000A38E5">
        <w:rPr>
          <w:szCs w:val="24"/>
          <w:lang w:val="uk-UA"/>
        </w:rPr>
        <w:t xml:space="preserve"> загрозу</w:t>
      </w:r>
      <w:r w:rsidR="00831F5B" w:rsidRPr="00E93710">
        <w:rPr>
          <w:szCs w:val="24"/>
          <w:lang w:val="uk-UA"/>
        </w:rPr>
        <w:t xml:space="preserve"> </w:t>
      </w:r>
      <w:r w:rsidR="00E64A1D" w:rsidRPr="000A38E5">
        <w:rPr>
          <w:szCs w:val="24"/>
          <w:lang w:val="uk-UA"/>
        </w:rPr>
        <w:t>громадському порядку, якщо Уряд не висуває переконливі докази,</w:t>
      </w:r>
      <w:r w:rsidR="00831F5B" w:rsidRPr="00E93710">
        <w:rPr>
          <w:szCs w:val="24"/>
          <w:lang w:val="uk-UA"/>
        </w:rPr>
        <w:t xml:space="preserve"> </w:t>
      </w:r>
      <w:r w:rsidR="00E64A1D" w:rsidRPr="000A38E5">
        <w:rPr>
          <w:szCs w:val="24"/>
          <w:lang w:val="uk-UA"/>
        </w:rPr>
        <w:t>які спростовують цю презумпцію</w:t>
      </w:r>
      <w:r w:rsidR="00831F5B" w:rsidRPr="00E93710">
        <w:rPr>
          <w:szCs w:val="24"/>
          <w:vertAlign w:val="superscript"/>
          <w:lang w:val="uk-UA"/>
        </w:rPr>
        <w:footnoteReference w:id="23"/>
      </w:r>
      <w:r w:rsidR="00831F5B" w:rsidRPr="00E93710">
        <w:rPr>
          <w:szCs w:val="24"/>
          <w:lang w:val="uk-UA"/>
        </w:rPr>
        <w:t xml:space="preserve">. </w:t>
      </w:r>
      <w:r w:rsidR="00E64A1D" w:rsidRPr="000A38E5">
        <w:rPr>
          <w:szCs w:val="24"/>
          <w:lang w:val="uk-UA"/>
        </w:rPr>
        <w:t>В даній справі Уряд не довів у необхідній мірі</w:t>
      </w:r>
      <w:r w:rsidR="005E7FDF" w:rsidRPr="000A38E5">
        <w:rPr>
          <w:szCs w:val="24"/>
          <w:lang w:val="uk-UA"/>
        </w:rPr>
        <w:t>,</w:t>
      </w:r>
      <w:r w:rsidR="00831F5B" w:rsidRPr="00E93710">
        <w:rPr>
          <w:szCs w:val="24"/>
          <w:lang w:val="uk-UA"/>
        </w:rPr>
        <w:t xml:space="preserve"> </w:t>
      </w:r>
      <w:r w:rsidR="005E7FDF" w:rsidRPr="000A38E5">
        <w:rPr>
          <w:szCs w:val="24"/>
          <w:lang w:val="uk-UA"/>
        </w:rPr>
        <w:t>що насилля розпочали учасники демонстрації</w:t>
      </w:r>
      <w:r w:rsidR="00831F5B" w:rsidRPr="00E93710">
        <w:rPr>
          <w:szCs w:val="24"/>
          <w:lang w:val="uk-UA"/>
        </w:rPr>
        <w:t xml:space="preserve">, </w:t>
      </w:r>
      <w:r w:rsidR="005E7FDF" w:rsidRPr="000A38E5">
        <w:rPr>
          <w:szCs w:val="24"/>
          <w:lang w:val="uk-UA"/>
        </w:rPr>
        <w:t>і тим більш, що заявники приймали якусь участь</w:t>
      </w:r>
      <w:r w:rsidR="00831F5B" w:rsidRPr="00E93710">
        <w:rPr>
          <w:szCs w:val="24"/>
          <w:lang w:val="uk-UA"/>
        </w:rPr>
        <w:t xml:space="preserve"> </w:t>
      </w:r>
      <w:r w:rsidR="005E7FDF" w:rsidRPr="000A38E5">
        <w:rPr>
          <w:szCs w:val="24"/>
          <w:lang w:val="uk-UA"/>
        </w:rPr>
        <w:t>у будь-якому насиллі проти міліції або охоронців</w:t>
      </w:r>
      <w:r w:rsidR="00831F5B" w:rsidRPr="00E93710">
        <w:rPr>
          <w:szCs w:val="24"/>
          <w:lang w:val="uk-UA"/>
        </w:rPr>
        <w:t xml:space="preserve">. </w:t>
      </w:r>
      <w:r w:rsidR="005E7FDF" w:rsidRPr="000A38E5">
        <w:rPr>
          <w:szCs w:val="24"/>
          <w:lang w:val="uk-UA"/>
        </w:rPr>
        <w:t>В дійсності, доступні докази спростовують цей тезис</w:t>
      </w:r>
      <w:r w:rsidR="00831F5B" w:rsidRPr="00E93710">
        <w:rPr>
          <w:szCs w:val="24"/>
          <w:lang w:val="uk-UA"/>
        </w:rPr>
        <w:t xml:space="preserve">. </w:t>
      </w:r>
      <w:r w:rsidR="005E7FDF" w:rsidRPr="000A38E5">
        <w:rPr>
          <w:szCs w:val="24"/>
          <w:lang w:val="uk-UA"/>
        </w:rPr>
        <w:t>Більшість не взяла до уваги цю презумпцію</w:t>
      </w:r>
      <w:r w:rsidR="00831F5B" w:rsidRPr="00E93710">
        <w:rPr>
          <w:szCs w:val="24"/>
          <w:lang w:val="uk-UA"/>
        </w:rPr>
        <w:t xml:space="preserve">, </w:t>
      </w:r>
      <w:r w:rsidR="005E7FDF" w:rsidRPr="000A38E5">
        <w:rPr>
          <w:szCs w:val="24"/>
          <w:lang w:val="uk-UA"/>
        </w:rPr>
        <w:t>визнану сучасними міжнародними стандартами прав людини</w:t>
      </w:r>
      <w:r w:rsidR="00831F5B" w:rsidRPr="00E93710">
        <w:rPr>
          <w:szCs w:val="24"/>
          <w:lang w:val="uk-UA"/>
        </w:rPr>
        <w:t>.</w:t>
      </w:r>
    </w:p>
    <w:p w:rsidR="00831F5B" w:rsidRPr="000A38E5" w:rsidRDefault="00831F5B" w:rsidP="00852217">
      <w:pPr>
        <w:pStyle w:val="OpiHi"/>
        <w:rPr>
          <w:lang w:val="uk-UA"/>
        </w:rPr>
      </w:pPr>
      <w:r w:rsidRPr="00E93710">
        <w:rPr>
          <w:lang w:val="uk-UA"/>
        </w:rPr>
        <w:t>i.</w:t>
      </w:r>
      <w:r w:rsidR="00334477" w:rsidRPr="000A38E5">
        <w:rPr>
          <w:lang w:val="uk-UA"/>
        </w:rPr>
        <w:t xml:space="preserve"> </w:t>
      </w:r>
      <w:r w:rsidR="005E7FDF" w:rsidRPr="000A38E5">
        <w:rPr>
          <w:lang w:val="uk-UA"/>
        </w:rPr>
        <w:t>Третій, четвертий та п’ятий заявники</w:t>
      </w:r>
    </w:p>
    <w:p w:rsidR="00F41606" w:rsidRPr="00E93710" w:rsidRDefault="004E7608" w:rsidP="00852217">
      <w:pPr>
        <w:pStyle w:val="OpiPara"/>
        <w:rPr>
          <w:szCs w:val="24"/>
          <w:lang w:val="uk-UA"/>
        </w:rPr>
      </w:pPr>
      <w:r w:rsidRPr="00E93710">
        <w:rPr>
          <w:szCs w:val="24"/>
          <w:lang w:val="uk-UA"/>
        </w:rPr>
        <w:fldChar w:fldCharType="begin"/>
      </w:r>
      <w:r w:rsidR="00831F5B" w:rsidRPr="000A38E5">
        <w:rPr>
          <w:szCs w:val="24"/>
          <w:lang w:val="uk-UA"/>
        </w:rPr>
        <w:instrText xml:space="preserve"> </w:instrText>
      </w:r>
      <w:r w:rsidR="00831F5B" w:rsidRPr="00E93710">
        <w:rPr>
          <w:szCs w:val="24"/>
          <w:lang w:val="uk-UA"/>
        </w:rPr>
        <w:instrText>SEQ</w:instrText>
      </w:r>
      <w:r w:rsidR="00831F5B" w:rsidRPr="000A38E5">
        <w:rPr>
          <w:szCs w:val="24"/>
          <w:lang w:val="uk-UA"/>
        </w:rPr>
        <w:instrText xml:space="preserve"> </w:instrText>
      </w:r>
      <w:r w:rsidR="00831F5B" w:rsidRPr="00E93710">
        <w:rPr>
          <w:szCs w:val="24"/>
          <w:lang w:val="uk-UA"/>
        </w:rPr>
        <w:instrText>level</w:instrText>
      </w:r>
      <w:r w:rsidR="00831F5B" w:rsidRPr="000A38E5">
        <w:rPr>
          <w:szCs w:val="24"/>
          <w:lang w:val="uk-UA"/>
        </w:rPr>
        <w:instrText>0 \*</w:instrText>
      </w:r>
      <w:r w:rsidR="00831F5B" w:rsidRPr="00E93710">
        <w:rPr>
          <w:szCs w:val="24"/>
          <w:lang w:val="uk-UA"/>
        </w:rPr>
        <w:instrText>arabic</w:instrText>
      </w:r>
      <w:r w:rsidR="00831F5B" w:rsidRPr="000A38E5">
        <w:rPr>
          <w:szCs w:val="24"/>
          <w:lang w:val="uk-UA"/>
        </w:rPr>
        <w:instrText xml:space="preserve"> </w:instrText>
      </w:r>
      <w:r w:rsidRPr="00E93710">
        <w:rPr>
          <w:szCs w:val="24"/>
          <w:lang w:val="uk-UA"/>
        </w:rPr>
        <w:fldChar w:fldCharType="separate"/>
      </w:r>
      <w:r w:rsidR="0075299E" w:rsidRPr="00E93710">
        <w:rPr>
          <w:noProof/>
          <w:szCs w:val="24"/>
          <w:lang w:val="uk-UA"/>
        </w:rPr>
        <w:t>25</w:t>
      </w:r>
      <w:r w:rsidRPr="00E93710">
        <w:rPr>
          <w:szCs w:val="24"/>
          <w:lang w:val="uk-UA"/>
        </w:rPr>
        <w:fldChar w:fldCharType="end"/>
      </w:r>
      <w:r w:rsidR="00831F5B" w:rsidRPr="000A38E5">
        <w:rPr>
          <w:szCs w:val="24"/>
          <w:lang w:val="uk-UA"/>
        </w:rPr>
        <w:t>.</w:t>
      </w:r>
      <w:r w:rsidR="00334477" w:rsidRPr="000A38E5">
        <w:rPr>
          <w:szCs w:val="24"/>
          <w:lang w:val="uk-UA"/>
        </w:rPr>
        <w:t xml:space="preserve"> </w:t>
      </w:r>
      <w:r w:rsidR="005E7FDF" w:rsidRPr="000A38E5">
        <w:rPr>
          <w:szCs w:val="24"/>
          <w:lang w:val="uk-UA"/>
        </w:rPr>
        <w:t>Беручи до уваги факти, більшість визнала, що міліцейський наказ розійтися був даний</w:t>
      </w:r>
      <w:r w:rsidR="00831F5B" w:rsidRPr="000A38E5">
        <w:rPr>
          <w:szCs w:val="24"/>
          <w:lang w:val="uk-UA"/>
        </w:rPr>
        <w:t xml:space="preserve"> </w:t>
      </w:r>
      <w:r w:rsidR="005E7FDF" w:rsidRPr="000A38E5">
        <w:rPr>
          <w:szCs w:val="24"/>
          <w:lang w:val="uk-UA"/>
        </w:rPr>
        <w:t>«без використання посилюючого обладнання</w:t>
      </w:r>
      <w:r w:rsidR="00831F5B" w:rsidRPr="000A38E5">
        <w:rPr>
          <w:szCs w:val="24"/>
          <w:lang w:val="uk-UA"/>
        </w:rPr>
        <w:t xml:space="preserve">, </w:t>
      </w:r>
      <w:r w:rsidR="005E7FDF" w:rsidRPr="000A38E5">
        <w:rPr>
          <w:szCs w:val="24"/>
          <w:lang w:val="uk-UA"/>
        </w:rPr>
        <w:t>незважаючи на гучне оточення»</w:t>
      </w:r>
      <w:r w:rsidR="00831F5B" w:rsidRPr="000A38E5">
        <w:rPr>
          <w:szCs w:val="24"/>
          <w:lang w:val="uk-UA"/>
        </w:rPr>
        <w:t xml:space="preserve">, </w:t>
      </w:r>
      <w:r w:rsidR="005E7FDF" w:rsidRPr="000A38E5">
        <w:rPr>
          <w:szCs w:val="24"/>
          <w:lang w:val="uk-UA"/>
        </w:rPr>
        <w:t>і що «існують підстави сумніватися, що наказ</w:t>
      </w:r>
      <w:r w:rsidR="00831F5B" w:rsidRPr="000A38E5">
        <w:rPr>
          <w:szCs w:val="24"/>
          <w:lang w:val="uk-UA"/>
        </w:rPr>
        <w:t xml:space="preserve">, </w:t>
      </w:r>
      <w:r w:rsidR="005E7FDF" w:rsidRPr="000A38E5">
        <w:rPr>
          <w:szCs w:val="24"/>
          <w:lang w:val="uk-UA"/>
        </w:rPr>
        <w:t>коли його повторила міліція, був негайно почутий та чіткий для усіх протестуючих»</w:t>
      </w:r>
      <w:r w:rsidR="00831F5B" w:rsidRPr="00E93710">
        <w:rPr>
          <w:szCs w:val="24"/>
          <w:vertAlign w:val="superscript"/>
          <w:lang w:val="uk-UA"/>
        </w:rPr>
        <w:footnoteReference w:id="24"/>
      </w:r>
      <w:r w:rsidR="00831F5B" w:rsidRPr="000A38E5">
        <w:rPr>
          <w:szCs w:val="24"/>
          <w:lang w:val="uk-UA"/>
        </w:rPr>
        <w:t xml:space="preserve">. </w:t>
      </w:r>
      <w:r w:rsidR="0017169F" w:rsidRPr="000A38E5">
        <w:rPr>
          <w:szCs w:val="24"/>
          <w:lang w:val="uk-UA"/>
        </w:rPr>
        <w:t>Крім того, більшість визнала, що</w:t>
      </w:r>
      <w:r w:rsidR="00831F5B" w:rsidRPr="00E93710">
        <w:rPr>
          <w:szCs w:val="24"/>
          <w:lang w:val="uk-UA"/>
        </w:rPr>
        <w:t xml:space="preserve"> </w:t>
      </w:r>
      <w:r w:rsidR="0017169F" w:rsidRPr="000A38E5">
        <w:rPr>
          <w:szCs w:val="24"/>
          <w:lang w:val="uk-UA"/>
        </w:rPr>
        <w:t>«на час, коли міліція видала свої накази</w:t>
      </w:r>
      <w:r w:rsidR="00831F5B" w:rsidRPr="00E93710">
        <w:rPr>
          <w:szCs w:val="24"/>
          <w:lang w:val="uk-UA"/>
        </w:rPr>
        <w:t xml:space="preserve">, </w:t>
      </w:r>
      <w:r w:rsidR="0017169F" w:rsidRPr="000A38E5">
        <w:rPr>
          <w:szCs w:val="24"/>
          <w:lang w:val="uk-UA"/>
        </w:rPr>
        <w:t>протестуючі вже були повністю оточені охоронцями у тісному колі»</w:t>
      </w:r>
      <w:r w:rsidR="00831F5B" w:rsidRPr="00E93710">
        <w:rPr>
          <w:szCs w:val="24"/>
          <w:vertAlign w:val="superscript"/>
          <w:lang w:val="uk-UA"/>
        </w:rPr>
        <w:footnoteReference w:id="25"/>
      </w:r>
      <w:r w:rsidR="00831F5B" w:rsidRPr="00E93710">
        <w:rPr>
          <w:szCs w:val="24"/>
          <w:lang w:val="uk-UA"/>
        </w:rPr>
        <w:t xml:space="preserve">. </w:t>
      </w:r>
      <w:r w:rsidR="0017169F" w:rsidRPr="000A38E5">
        <w:rPr>
          <w:szCs w:val="24"/>
          <w:lang w:val="uk-UA"/>
        </w:rPr>
        <w:t>Нарешті, більшість визнала, що наявна плутанина</w:t>
      </w:r>
      <w:r w:rsidR="00831F5B" w:rsidRPr="00E93710">
        <w:rPr>
          <w:szCs w:val="24"/>
          <w:lang w:val="uk-UA"/>
        </w:rPr>
        <w:t xml:space="preserve"> </w:t>
      </w:r>
      <w:r w:rsidR="0017169F" w:rsidRPr="000A38E5">
        <w:rPr>
          <w:szCs w:val="24"/>
          <w:lang w:val="uk-UA"/>
        </w:rPr>
        <w:t>«частково походила з відсутності ясності</w:t>
      </w:r>
      <w:r w:rsidR="00831F5B" w:rsidRPr="00E93710">
        <w:rPr>
          <w:szCs w:val="24"/>
          <w:lang w:val="uk-UA"/>
        </w:rPr>
        <w:t xml:space="preserve"> </w:t>
      </w:r>
      <w:r w:rsidR="0017169F" w:rsidRPr="000A38E5">
        <w:rPr>
          <w:szCs w:val="24"/>
          <w:lang w:val="uk-UA"/>
        </w:rPr>
        <w:t xml:space="preserve">у поділенні повноважень </w:t>
      </w:r>
      <w:r w:rsidR="0017169F" w:rsidRPr="000A38E5">
        <w:rPr>
          <w:szCs w:val="24"/>
          <w:lang w:val="uk-UA"/>
        </w:rPr>
        <w:lastRenderedPageBreak/>
        <w:t>між охоронцями та міліцією»</w:t>
      </w:r>
      <w:r w:rsidR="00831F5B" w:rsidRPr="00E93710">
        <w:rPr>
          <w:szCs w:val="24"/>
          <w:vertAlign w:val="superscript"/>
          <w:lang w:val="uk-UA"/>
        </w:rPr>
        <w:footnoteReference w:id="26"/>
      </w:r>
      <w:r w:rsidR="00831F5B" w:rsidRPr="00E93710">
        <w:rPr>
          <w:szCs w:val="24"/>
          <w:lang w:val="uk-UA"/>
        </w:rPr>
        <w:t xml:space="preserve"> </w:t>
      </w:r>
      <w:r w:rsidR="0017169F" w:rsidRPr="000A38E5">
        <w:rPr>
          <w:szCs w:val="24"/>
          <w:lang w:val="uk-UA"/>
        </w:rPr>
        <w:t>і на основі цього більшість навіть розкритикувала національні суди</w:t>
      </w:r>
      <w:r w:rsidR="00831F5B" w:rsidRPr="00E93710">
        <w:rPr>
          <w:szCs w:val="24"/>
          <w:lang w:val="uk-UA"/>
        </w:rPr>
        <w:t xml:space="preserve"> </w:t>
      </w:r>
      <w:r w:rsidR="0017169F" w:rsidRPr="000A38E5">
        <w:rPr>
          <w:szCs w:val="24"/>
          <w:lang w:val="uk-UA"/>
        </w:rPr>
        <w:t>за те, що вони у своєму обґрунтуванні не прийняли до уваги</w:t>
      </w:r>
      <w:r w:rsidR="00831F5B" w:rsidRPr="00E93710">
        <w:rPr>
          <w:szCs w:val="24"/>
          <w:lang w:val="uk-UA"/>
        </w:rPr>
        <w:t xml:space="preserve"> </w:t>
      </w:r>
      <w:r w:rsidR="0017169F" w:rsidRPr="000A38E5">
        <w:rPr>
          <w:szCs w:val="24"/>
          <w:lang w:val="uk-UA"/>
        </w:rPr>
        <w:t>«наведену вище можливу плутанину</w:t>
      </w:r>
      <w:r w:rsidR="00831F5B" w:rsidRPr="00E93710">
        <w:rPr>
          <w:szCs w:val="24"/>
          <w:lang w:val="uk-UA"/>
        </w:rPr>
        <w:t xml:space="preserve"> </w:t>
      </w:r>
      <w:r w:rsidR="0017169F" w:rsidRPr="000A38E5">
        <w:rPr>
          <w:szCs w:val="24"/>
          <w:lang w:val="uk-UA"/>
        </w:rPr>
        <w:t>з боку заявників щодо джерела</w:t>
      </w:r>
      <w:r w:rsidR="00831F5B" w:rsidRPr="00E93710">
        <w:rPr>
          <w:szCs w:val="24"/>
          <w:lang w:val="uk-UA"/>
        </w:rPr>
        <w:t xml:space="preserve"> </w:t>
      </w:r>
      <w:r w:rsidR="0017169F" w:rsidRPr="000A38E5">
        <w:rPr>
          <w:szCs w:val="24"/>
          <w:lang w:val="uk-UA"/>
        </w:rPr>
        <w:t>цього наказу та того, як його виконати».</w:t>
      </w:r>
      <w:r w:rsidR="00831F5B" w:rsidRPr="00E93710">
        <w:rPr>
          <w:szCs w:val="24"/>
          <w:vertAlign w:val="superscript"/>
          <w:lang w:val="uk-UA"/>
        </w:rPr>
        <w:footnoteReference w:id="27"/>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26</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17169F" w:rsidRPr="000A38E5">
        <w:rPr>
          <w:szCs w:val="24"/>
          <w:lang w:val="uk-UA"/>
        </w:rPr>
        <w:t>Тим не менш, у нежиттєздатному з точки зору логіки обґрунтуванні</w:t>
      </w:r>
      <w:r w:rsidR="00831F5B" w:rsidRPr="00E93710">
        <w:rPr>
          <w:szCs w:val="24"/>
          <w:lang w:val="uk-UA"/>
        </w:rPr>
        <w:t xml:space="preserve">, </w:t>
      </w:r>
      <w:r w:rsidR="0017169F" w:rsidRPr="000A38E5">
        <w:rPr>
          <w:szCs w:val="24"/>
          <w:lang w:val="uk-UA"/>
        </w:rPr>
        <w:t>більшість після цього прийняла фактичні висновки національних судів</w:t>
      </w:r>
      <w:r w:rsidR="00831F5B" w:rsidRPr="00E93710">
        <w:rPr>
          <w:szCs w:val="24"/>
          <w:lang w:val="uk-UA"/>
        </w:rPr>
        <w:t xml:space="preserve"> </w:t>
      </w:r>
      <w:r w:rsidR="0017169F" w:rsidRPr="000A38E5">
        <w:rPr>
          <w:szCs w:val="24"/>
          <w:lang w:val="uk-UA"/>
        </w:rPr>
        <w:t>про те, що заявники не виконали наказ міліції розійтися</w:t>
      </w:r>
      <w:r w:rsidR="00831F5B"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27</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17169F" w:rsidRPr="000A38E5">
        <w:rPr>
          <w:szCs w:val="24"/>
          <w:lang w:val="uk-UA"/>
        </w:rPr>
        <w:t>Більшість надала два аргументи у підтримку своєї оцінки доказів</w:t>
      </w:r>
      <w:r w:rsidR="00831F5B" w:rsidRPr="00E93710">
        <w:rPr>
          <w:szCs w:val="24"/>
          <w:lang w:val="uk-UA"/>
        </w:rPr>
        <w:t xml:space="preserve">: </w:t>
      </w:r>
      <w:r w:rsidR="0017169F" w:rsidRPr="000A38E5">
        <w:rPr>
          <w:szCs w:val="24"/>
          <w:lang w:val="uk-UA"/>
        </w:rPr>
        <w:t>що «заявники не могли не знати,</w:t>
      </w:r>
      <w:r w:rsidR="00831F5B" w:rsidRPr="00E93710">
        <w:rPr>
          <w:szCs w:val="24"/>
          <w:lang w:val="uk-UA"/>
        </w:rPr>
        <w:t xml:space="preserve"> </w:t>
      </w:r>
      <w:r w:rsidR="0017169F" w:rsidRPr="000A38E5">
        <w:rPr>
          <w:szCs w:val="24"/>
          <w:lang w:val="uk-UA"/>
        </w:rPr>
        <w:t>що міліція могла бути використана для запобігання їх втручанню</w:t>
      </w:r>
      <w:r w:rsidR="00831F5B" w:rsidRPr="00E93710">
        <w:rPr>
          <w:szCs w:val="24"/>
          <w:lang w:val="uk-UA"/>
        </w:rPr>
        <w:t xml:space="preserve"> </w:t>
      </w:r>
      <w:r w:rsidR="0017169F" w:rsidRPr="000A38E5">
        <w:rPr>
          <w:szCs w:val="24"/>
          <w:lang w:val="uk-UA"/>
        </w:rPr>
        <w:t>у повалення дерев та будівництво»</w:t>
      </w:r>
      <w:r w:rsidR="00831F5B" w:rsidRPr="00E93710">
        <w:rPr>
          <w:szCs w:val="24"/>
          <w:lang w:val="uk-UA"/>
        </w:rPr>
        <w:t xml:space="preserve"> </w:t>
      </w:r>
      <w:r w:rsidR="0017169F" w:rsidRPr="000A38E5">
        <w:rPr>
          <w:szCs w:val="24"/>
          <w:lang w:val="uk-UA"/>
        </w:rPr>
        <w:t>і що «власні докази заявників</w:t>
      </w:r>
      <w:r w:rsidR="00831F5B" w:rsidRPr="00E93710">
        <w:rPr>
          <w:szCs w:val="24"/>
          <w:lang w:val="uk-UA"/>
        </w:rPr>
        <w:t xml:space="preserve"> </w:t>
      </w:r>
      <w:r w:rsidR="0017169F" w:rsidRPr="000A38E5">
        <w:rPr>
          <w:szCs w:val="24"/>
          <w:lang w:val="uk-UA"/>
        </w:rPr>
        <w:t>підтримують висновок, що деякі протестуючі</w:t>
      </w:r>
      <w:r w:rsidR="00831F5B" w:rsidRPr="00E93710">
        <w:rPr>
          <w:szCs w:val="24"/>
          <w:lang w:val="uk-UA"/>
        </w:rPr>
        <w:t xml:space="preserve"> </w:t>
      </w:r>
      <w:r w:rsidR="0017169F" w:rsidRPr="000A38E5">
        <w:rPr>
          <w:szCs w:val="24"/>
          <w:lang w:val="uk-UA"/>
        </w:rPr>
        <w:t>дійсно намагалися перешкоджати зусиллям міліції</w:t>
      </w:r>
      <w:r w:rsidR="00831F5B" w:rsidRPr="00E93710">
        <w:rPr>
          <w:szCs w:val="24"/>
          <w:lang w:val="uk-UA"/>
        </w:rPr>
        <w:t xml:space="preserve"> </w:t>
      </w:r>
      <w:r w:rsidR="0017169F" w:rsidRPr="000A38E5">
        <w:rPr>
          <w:szCs w:val="24"/>
          <w:lang w:val="uk-UA"/>
        </w:rPr>
        <w:t>видалити їх з місця подій, принаймні пасивно</w:t>
      </w:r>
      <w:r w:rsidR="00831F5B" w:rsidRPr="00E93710">
        <w:rPr>
          <w:szCs w:val="24"/>
          <w:lang w:val="uk-UA"/>
        </w:rPr>
        <w:t xml:space="preserve">, </w:t>
      </w:r>
      <w:r w:rsidR="0017169F" w:rsidRPr="000A38E5">
        <w:rPr>
          <w:szCs w:val="24"/>
          <w:lang w:val="uk-UA"/>
        </w:rPr>
        <w:t>коли вони волокли ноги»</w:t>
      </w:r>
      <w:r w:rsidR="00831F5B" w:rsidRPr="00E93710">
        <w:rPr>
          <w:szCs w:val="24"/>
          <w:vertAlign w:val="superscript"/>
          <w:lang w:val="uk-UA"/>
        </w:rPr>
        <w:footnoteReference w:id="28"/>
      </w:r>
      <w:r w:rsidR="00831F5B" w:rsidRPr="00E93710">
        <w:rPr>
          <w:szCs w:val="24"/>
          <w:lang w:val="uk-UA"/>
        </w:rPr>
        <w:t xml:space="preserve">. </w:t>
      </w:r>
      <w:r w:rsidR="0017169F" w:rsidRPr="000A38E5">
        <w:rPr>
          <w:szCs w:val="24"/>
          <w:lang w:val="uk-UA"/>
        </w:rPr>
        <w:t>Жоден з цих аргументів не є переконливим</w:t>
      </w:r>
      <w:r w:rsidR="00831F5B"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28</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8F5B65" w:rsidRPr="000A38E5">
        <w:rPr>
          <w:szCs w:val="24"/>
          <w:lang w:val="uk-UA"/>
        </w:rPr>
        <w:t>Припущення, що заявники «не могли не знати, що міліція</w:t>
      </w:r>
      <w:r w:rsidR="00831F5B" w:rsidRPr="00E93710">
        <w:rPr>
          <w:szCs w:val="24"/>
          <w:lang w:val="uk-UA"/>
        </w:rPr>
        <w:t xml:space="preserve"> </w:t>
      </w:r>
      <w:r w:rsidR="008F5B65" w:rsidRPr="000A38E5">
        <w:rPr>
          <w:szCs w:val="24"/>
          <w:lang w:val="uk-UA"/>
        </w:rPr>
        <w:t>могла бути використана»</w:t>
      </w:r>
      <w:r w:rsidR="00831F5B" w:rsidRPr="00E93710">
        <w:rPr>
          <w:szCs w:val="24"/>
          <w:lang w:val="uk-UA"/>
        </w:rPr>
        <w:t xml:space="preserve"> </w:t>
      </w:r>
      <w:r w:rsidR="008F5B65" w:rsidRPr="000A38E5">
        <w:rPr>
          <w:szCs w:val="24"/>
          <w:lang w:val="uk-UA"/>
        </w:rPr>
        <w:t>для того, щоб зупинити їх, не є належною підставою</w:t>
      </w:r>
      <w:r w:rsidR="00831F5B" w:rsidRPr="00E93710">
        <w:rPr>
          <w:szCs w:val="24"/>
          <w:lang w:val="uk-UA"/>
        </w:rPr>
        <w:t xml:space="preserve"> </w:t>
      </w:r>
      <w:r w:rsidR="008F5B65" w:rsidRPr="000A38E5">
        <w:rPr>
          <w:szCs w:val="24"/>
          <w:lang w:val="uk-UA"/>
        </w:rPr>
        <w:t>для обвинувачення їх в адміністративному порушенні, забезпеченому у статті</w:t>
      </w:r>
      <w:r w:rsidR="00831F5B" w:rsidRPr="00E93710">
        <w:rPr>
          <w:szCs w:val="24"/>
          <w:lang w:val="uk-UA"/>
        </w:rPr>
        <w:t xml:space="preserve"> 185 </w:t>
      </w:r>
      <w:r w:rsidR="008F5B65" w:rsidRPr="000A38E5">
        <w:rPr>
          <w:szCs w:val="24"/>
          <w:lang w:val="uk-UA"/>
        </w:rPr>
        <w:t>Кодексу адміністративних правопорушень</w:t>
      </w:r>
      <w:r w:rsidR="00831F5B" w:rsidRPr="00E93710">
        <w:rPr>
          <w:szCs w:val="24"/>
          <w:lang w:val="uk-UA"/>
        </w:rPr>
        <w:t xml:space="preserve">, </w:t>
      </w:r>
      <w:r w:rsidR="008F5B65" w:rsidRPr="000A38E5">
        <w:rPr>
          <w:szCs w:val="24"/>
          <w:lang w:val="uk-UA"/>
        </w:rPr>
        <w:t>покарання за яке передбачало штраф або затримання на строк до п’ятнадцяти діб</w:t>
      </w:r>
      <w:r w:rsidR="00831F5B" w:rsidRPr="00E93710">
        <w:rPr>
          <w:szCs w:val="24"/>
          <w:vertAlign w:val="superscript"/>
          <w:lang w:val="uk-UA"/>
        </w:rPr>
        <w:footnoteReference w:id="29"/>
      </w:r>
      <w:r w:rsidR="00831F5B" w:rsidRPr="00E93710">
        <w:rPr>
          <w:szCs w:val="24"/>
          <w:lang w:val="uk-UA"/>
        </w:rPr>
        <w:t xml:space="preserve">. </w:t>
      </w:r>
      <w:r w:rsidR="008F5B65" w:rsidRPr="000A38E5">
        <w:rPr>
          <w:szCs w:val="24"/>
          <w:lang w:val="uk-UA"/>
        </w:rPr>
        <w:t>Це правопорушення вимагає не тільки видання «законного» наказу міліції</w:t>
      </w:r>
      <w:r w:rsidR="00831F5B" w:rsidRPr="00E93710">
        <w:rPr>
          <w:szCs w:val="24"/>
          <w:lang w:val="uk-UA"/>
        </w:rPr>
        <w:t xml:space="preserve">, </w:t>
      </w:r>
      <w:r w:rsidR="008F5B65" w:rsidRPr="000A38E5">
        <w:rPr>
          <w:szCs w:val="24"/>
          <w:lang w:val="uk-UA"/>
        </w:rPr>
        <w:t>а також «злісної» непокори з боку осіб, яким наказ адресований</w:t>
      </w:r>
      <w:r w:rsidR="00831F5B" w:rsidRPr="00E93710">
        <w:rPr>
          <w:szCs w:val="24"/>
          <w:lang w:val="uk-UA"/>
        </w:rPr>
        <w:t xml:space="preserve">. </w:t>
      </w:r>
      <w:r w:rsidR="008F5B65" w:rsidRPr="000A38E5">
        <w:rPr>
          <w:szCs w:val="24"/>
          <w:lang w:val="uk-UA"/>
        </w:rPr>
        <w:t>Недостатньо, щоб особа знала, що до неї може бути адресована дія міліціонера</w:t>
      </w:r>
      <w:r w:rsidR="00831F5B" w:rsidRPr="00E93710">
        <w:rPr>
          <w:szCs w:val="24"/>
          <w:lang w:val="uk-UA"/>
        </w:rPr>
        <w:t xml:space="preserve">. </w:t>
      </w:r>
      <w:r w:rsidR="008F5B65" w:rsidRPr="000A38E5">
        <w:rPr>
          <w:szCs w:val="24"/>
          <w:lang w:val="uk-UA"/>
        </w:rPr>
        <w:t>Повинен був існувати чутний, ясний та здійснимий наказ</w:t>
      </w:r>
      <w:r w:rsidR="00831F5B" w:rsidRPr="00E93710">
        <w:rPr>
          <w:szCs w:val="24"/>
          <w:lang w:val="uk-UA"/>
        </w:rPr>
        <w:t xml:space="preserve"> </w:t>
      </w:r>
      <w:r w:rsidR="008F5B65" w:rsidRPr="000A38E5">
        <w:rPr>
          <w:szCs w:val="24"/>
          <w:lang w:val="uk-UA"/>
        </w:rPr>
        <w:t>міліції</w:t>
      </w:r>
      <w:r w:rsidR="00831F5B" w:rsidRPr="00E93710">
        <w:rPr>
          <w:szCs w:val="24"/>
          <w:lang w:val="uk-UA"/>
        </w:rPr>
        <w:t xml:space="preserve">, </w:t>
      </w:r>
      <w:r w:rsidR="008F5B65" w:rsidRPr="000A38E5">
        <w:rPr>
          <w:szCs w:val="24"/>
          <w:lang w:val="uk-UA"/>
        </w:rPr>
        <w:t>адресований заявникам, а в даній справі це було не так</w:t>
      </w:r>
      <w:r w:rsidR="00DA38DB" w:rsidRPr="00E93710">
        <w:rPr>
          <w:szCs w:val="24"/>
          <w:lang w:val="uk-UA"/>
        </w:rPr>
        <w:t>,</w:t>
      </w:r>
      <w:r w:rsidR="00831F5B" w:rsidRPr="00E93710">
        <w:rPr>
          <w:szCs w:val="24"/>
          <w:lang w:val="uk-UA"/>
        </w:rPr>
        <w:t xml:space="preserve"> </w:t>
      </w:r>
      <w:r w:rsidR="008F5B65" w:rsidRPr="000A38E5">
        <w:rPr>
          <w:szCs w:val="24"/>
          <w:lang w:val="uk-UA"/>
        </w:rPr>
        <w:t>як вже визнала оцінка фактів Судом</w:t>
      </w:r>
      <w:r w:rsidR="00831F5B" w:rsidRPr="00E93710">
        <w:rPr>
          <w:szCs w:val="24"/>
          <w:vertAlign w:val="superscript"/>
          <w:lang w:val="uk-UA"/>
        </w:rPr>
        <w:footnoteReference w:id="30"/>
      </w:r>
      <w:r w:rsidR="00831F5B" w:rsidRPr="00E93710">
        <w:rPr>
          <w:szCs w:val="24"/>
          <w:lang w:val="uk-UA"/>
        </w:rPr>
        <w:t xml:space="preserve">. </w:t>
      </w:r>
      <w:r w:rsidR="00B45A9A" w:rsidRPr="000A38E5">
        <w:rPr>
          <w:szCs w:val="24"/>
          <w:lang w:val="uk-UA"/>
        </w:rPr>
        <w:t>Наданий більшістю опис хаотичного характеру контексту,</w:t>
      </w:r>
      <w:r w:rsidR="00831F5B" w:rsidRPr="00E93710">
        <w:rPr>
          <w:szCs w:val="24"/>
          <w:lang w:val="uk-UA"/>
        </w:rPr>
        <w:t xml:space="preserve"> </w:t>
      </w:r>
      <w:r w:rsidR="00B45A9A" w:rsidRPr="000A38E5">
        <w:rPr>
          <w:szCs w:val="24"/>
          <w:lang w:val="uk-UA"/>
        </w:rPr>
        <w:t>в якому був даний міліцейський наказ, суперечить</w:t>
      </w:r>
      <w:r w:rsidR="00831F5B" w:rsidRPr="00E93710">
        <w:rPr>
          <w:szCs w:val="24"/>
          <w:lang w:val="uk-UA"/>
        </w:rPr>
        <w:t xml:space="preserve"> </w:t>
      </w:r>
      <w:r w:rsidR="00B45A9A" w:rsidRPr="000A38E5">
        <w:rPr>
          <w:szCs w:val="24"/>
          <w:lang w:val="uk-UA"/>
        </w:rPr>
        <w:t>висновку більшості про те, що заявники зрозуміли</w:t>
      </w:r>
      <w:r w:rsidR="00831F5B" w:rsidRPr="00E93710">
        <w:rPr>
          <w:szCs w:val="24"/>
          <w:lang w:val="uk-UA"/>
        </w:rPr>
        <w:t xml:space="preserve"> </w:t>
      </w:r>
      <w:r w:rsidR="00B45A9A" w:rsidRPr="000A38E5">
        <w:rPr>
          <w:szCs w:val="24"/>
          <w:lang w:val="uk-UA"/>
        </w:rPr>
        <w:t>наказ міліції та «злісно» не виконували наказ розійтися</w:t>
      </w:r>
      <w:r w:rsidR="00831F5B" w:rsidRPr="00E93710">
        <w:rPr>
          <w:szCs w:val="24"/>
          <w:vertAlign w:val="superscript"/>
          <w:lang w:val="uk-UA"/>
        </w:rPr>
        <w:footnoteReference w:id="31"/>
      </w:r>
      <w:r w:rsidR="00831F5B"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29</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FB1B2A" w:rsidRPr="000A38E5">
        <w:rPr>
          <w:szCs w:val="24"/>
          <w:lang w:val="uk-UA"/>
        </w:rPr>
        <w:t>Крім того, той факт, що деякі протестуючі «намагалися перешкоджати</w:t>
      </w:r>
      <w:r w:rsidR="00831F5B" w:rsidRPr="00E93710">
        <w:rPr>
          <w:szCs w:val="24"/>
          <w:lang w:val="uk-UA"/>
        </w:rPr>
        <w:t xml:space="preserve"> </w:t>
      </w:r>
      <w:r w:rsidR="00FB1B2A" w:rsidRPr="000A38E5">
        <w:rPr>
          <w:szCs w:val="24"/>
          <w:lang w:val="uk-UA"/>
        </w:rPr>
        <w:t>спробам міліції видалити їх з місця подій</w:t>
      </w:r>
      <w:r w:rsidR="00831F5B" w:rsidRPr="00E93710">
        <w:rPr>
          <w:szCs w:val="24"/>
          <w:lang w:val="uk-UA"/>
        </w:rPr>
        <w:t xml:space="preserve">, </w:t>
      </w:r>
      <w:r w:rsidR="00FB1B2A" w:rsidRPr="000A38E5">
        <w:rPr>
          <w:szCs w:val="24"/>
          <w:lang w:val="uk-UA"/>
        </w:rPr>
        <w:t>принаймні пасивно, через те, що волокли ноги»,</w:t>
      </w:r>
      <w:r w:rsidR="00831F5B" w:rsidRPr="00E93710">
        <w:rPr>
          <w:szCs w:val="24"/>
          <w:vertAlign w:val="superscript"/>
          <w:lang w:val="uk-UA"/>
        </w:rPr>
        <w:footnoteReference w:id="32"/>
      </w:r>
      <w:r w:rsidR="00831F5B" w:rsidRPr="00E93710">
        <w:rPr>
          <w:szCs w:val="24"/>
          <w:lang w:val="uk-UA"/>
        </w:rPr>
        <w:t xml:space="preserve"> </w:t>
      </w:r>
      <w:r w:rsidR="00FB1B2A" w:rsidRPr="000A38E5">
        <w:rPr>
          <w:szCs w:val="24"/>
          <w:lang w:val="uk-UA"/>
        </w:rPr>
        <w:t>є також недостатнім для обвинувачення заявників у вищезазначеному правопорушенні</w:t>
      </w:r>
      <w:r w:rsidR="00831F5B" w:rsidRPr="00E93710">
        <w:rPr>
          <w:szCs w:val="24"/>
          <w:lang w:val="uk-UA"/>
        </w:rPr>
        <w:t xml:space="preserve">. </w:t>
      </w:r>
      <w:r w:rsidR="00FB1B2A" w:rsidRPr="000A38E5">
        <w:rPr>
          <w:szCs w:val="24"/>
          <w:lang w:val="uk-UA"/>
        </w:rPr>
        <w:t>Немає ніяких доказів, окрім звітів міліції, які б доводили, що заявники дійсно вели себе так</w:t>
      </w:r>
      <w:r w:rsidR="00831F5B" w:rsidRPr="00E93710">
        <w:rPr>
          <w:szCs w:val="24"/>
          <w:vertAlign w:val="superscript"/>
          <w:lang w:val="uk-UA"/>
        </w:rPr>
        <w:footnoteReference w:id="33"/>
      </w:r>
      <w:r w:rsidR="00831F5B" w:rsidRPr="00E93710">
        <w:rPr>
          <w:szCs w:val="24"/>
          <w:lang w:val="uk-UA"/>
        </w:rPr>
        <w:t xml:space="preserve">. </w:t>
      </w:r>
      <w:r w:rsidR="00FB1B2A" w:rsidRPr="000A38E5">
        <w:rPr>
          <w:szCs w:val="24"/>
          <w:lang w:val="uk-UA"/>
        </w:rPr>
        <w:t>Обвинувачення заявників у «злісній непокорі»</w:t>
      </w:r>
      <w:r w:rsidR="00831F5B" w:rsidRPr="00E93710">
        <w:rPr>
          <w:szCs w:val="24"/>
          <w:lang w:val="uk-UA"/>
        </w:rPr>
        <w:t xml:space="preserve"> </w:t>
      </w:r>
      <w:r w:rsidR="00FB1B2A" w:rsidRPr="000A38E5">
        <w:rPr>
          <w:szCs w:val="24"/>
          <w:lang w:val="uk-UA"/>
        </w:rPr>
        <w:t>на основі поводження третіх осіб</w:t>
      </w:r>
      <w:r w:rsidR="00831F5B" w:rsidRPr="00E93710">
        <w:rPr>
          <w:szCs w:val="24"/>
          <w:lang w:val="uk-UA"/>
        </w:rPr>
        <w:t xml:space="preserve">, </w:t>
      </w:r>
      <w:r w:rsidR="00FB1B2A" w:rsidRPr="000A38E5">
        <w:rPr>
          <w:szCs w:val="24"/>
          <w:lang w:val="uk-UA"/>
        </w:rPr>
        <w:t>ніби існує колективна вина з боку усіх учасників демонстрації</w:t>
      </w:r>
      <w:r w:rsidR="00831F5B" w:rsidRPr="00E93710">
        <w:rPr>
          <w:szCs w:val="24"/>
          <w:lang w:val="uk-UA"/>
        </w:rPr>
        <w:t xml:space="preserve">, </w:t>
      </w:r>
      <w:r w:rsidR="00FB1B2A" w:rsidRPr="000A38E5">
        <w:rPr>
          <w:szCs w:val="24"/>
          <w:lang w:val="uk-UA"/>
        </w:rPr>
        <w:t>порушує основоположний принцип індивідуальної кримінальної відповідальності</w:t>
      </w:r>
      <w:r w:rsidR="00831F5B"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30</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FB1B2A" w:rsidRPr="000A38E5">
        <w:rPr>
          <w:szCs w:val="24"/>
          <w:lang w:val="uk-UA"/>
        </w:rPr>
        <w:t>Навіть якщо припустити, що мав місце «законний» наказ</w:t>
      </w:r>
      <w:r w:rsidR="00831F5B" w:rsidRPr="00E93710">
        <w:rPr>
          <w:szCs w:val="24"/>
          <w:lang w:val="uk-UA"/>
        </w:rPr>
        <w:t xml:space="preserve">, </w:t>
      </w:r>
      <w:r w:rsidR="00FB1B2A" w:rsidRPr="000A38E5">
        <w:rPr>
          <w:szCs w:val="24"/>
          <w:lang w:val="uk-UA"/>
        </w:rPr>
        <w:t>тобто, він був чутним, і що третій, четвертий та п’ятий заявники</w:t>
      </w:r>
      <w:r w:rsidR="00831F5B" w:rsidRPr="00E93710">
        <w:rPr>
          <w:szCs w:val="24"/>
          <w:lang w:val="uk-UA"/>
        </w:rPr>
        <w:t xml:space="preserve"> </w:t>
      </w:r>
      <w:r w:rsidR="00FB1B2A" w:rsidRPr="000A38E5">
        <w:rPr>
          <w:szCs w:val="24"/>
          <w:lang w:val="uk-UA"/>
        </w:rPr>
        <w:t>зрозуміли його</w:t>
      </w:r>
      <w:r w:rsidR="00831F5B" w:rsidRPr="00E93710">
        <w:rPr>
          <w:szCs w:val="24"/>
          <w:lang w:val="uk-UA"/>
        </w:rPr>
        <w:t xml:space="preserve">, </w:t>
      </w:r>
      <w:r w:rsidR="00FB1B2A" w:rsidRPr="000A38E5">
        <w:rPr>
          <w:szCs w:val="24"/>
          <w:lang w:val="uk-UA"/>
        </w:rPr>
        <w:t>вони не повинні були отримати будь-яку кримінальну санкцію</w:t>
      </w:r>
      <w:r w:rsidR="00831F5B" w:rsidRPr="00E93710">
        <w:rPr>
          <w:szCs w:val="24"/>
          <w:lang w:val="uk-UA"/>
        </w:rPr>
        <w:t xml:space="preserve">, </w:t>
      </w:r>
      <w:r w:rsidR="003B07B5" w:rsidRPr="000A38E5">
        <w:rPr>
          <w:szCs w:val="24"/>
          <w:lang w:val="uk-UA"/>
        </w:rPr>
        <w:t>оскільки не було ніяких доказів їх «злісного» наміру</w:t>
      </w:r>
      <w:r w:rsidR="00831F5B" w:rsidRPr="00E93710">
        <w:rPr>
          <w:szCs w:val="24"/>
          <w:lang w:val="uk-UA"/>
        </w:rPr>
        <w:t xml:space="preserve">. </w:t>
      </w:r>
      <w:r w:rsidR="003B07B5" w:rsidRPr="000A38E5">
        <w:rPr>
          <w:szCs w:val="24"/>
          <w:lang w:val="uk-UA"/>
        </w:rPr>
        <w:t>З доступних Суду матеріалів очевидно, що їх намір</w:t>
      </w:r>
      <w:r w:rsidR="00831F5B" w:rsidRPr="00E93710">
        <w:rPr>
          <w:szCs w:val="24"/>
          <w:lang w:val="uk-UA"/>
        </w:rPr>
        <w:t xml:space="preserve"> </w:t>
      </w:r>
      <w:r w:rsidR="003B07B5" w:rsidRPr="000A38E5">
        <w:rPr>
          <w:szCs w:val="24"/>
          <w:lang w:val="uk-UA"/>
        </w:rPr>
        <w:t>полягав у зверненні уваги громадськості</w:t>
      </w:r>
      <w:r w:rsidR="00831F5B" w:rsidRPr="00E93710">
        <w:rPr>
          <w:szCs w:val="24"/>
          <w:lang w:val="uk-UA"/>
        </w:rPr>
        <w:t xml:space="preserve"> </w:t>
      </w:r>
      <w:r w:rsidR="003B07B5" w:rsidRPr="000A38E5">
        <w:rPr>
          <w:szCs w:val="24"/>
          <w:lang w:val="uk-UA"/>
        </w:rPr>
        <w:t>та органів влади до питань загального інтересу</w:t>
      </w:r>
      <w:r w:rsidR="00831F5B"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31</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3B07B5" w:rsidRPr="000A38E5">
        <w:rPr>
          <w:szCs w:val="24"/>
          <w:lang w:val="uk-UA"/>
        </w:rPr>
        <w:t>Нарешті, більшість намагається зменшити важливість</w:t>
      </w:r>
      <w:r w:rsidR="00831F5B" w:rsidRPr="00E93710">
        <w:rPr>
          <w:szCs w:val="24"/>
          <w:lang w:val="uk-UA"/>
        </w:rPr>
        <w:t xml:space="preserve"> </w:t>
      </w:r>
      <w:r w:rsidR="003B07B5" w:rsidRPr="000A38E5">
        <w:rPr>
          <w:szCs w:val="24"/>
          <w:lang w:val="uk-UA"/>
        </w:rPr>
        <w:t>негативних наслідків кримінального засудження</w:t>
      </w:r>
      <w:r w:rsidR="00831F5B" w:rsidRPr="00E93710">
        <w:rPr>
          <w:szCs w:val="24"/>
          <w:lang w:val="uk-UA"/>
        </w:rPr>
        <w:t xml:space="preserve"> </w:t>
      </w:r>
      <w:r w:rsidR="003B07B5" w:rsidRPr="000A38E5">
        <w:rPr>
          <w:szCs w:val="24"/>
          <w:lang w:val="uk-UA"/>
        </w:rPr>
        <w:t>третього, четвертого та п’ятого заявників, стверджуючи,</w:t>
      </w:r>
      <w:r w:rsidR="00831F5B" w:rsidRPr="00E93710">
        <w:rPr>
          <w:szCs w:val="24"/>
          <w:lang w:val="uk-UA"/>
        </w:rPr>
        <w:t xml:space="preserve"> </w:t>
      </w:r>
      <w:r w:rsidR="003B07B5" w:rsidRPr="000A38E5">
        <w:rPr>
          <w:szCs w:val="24"/>
          <w:lang w:val="uk-UA"/>
        </w:rPr>
        <w:t>що штрафи становили невеликі суми</w:t>
      </w:r>
      <w:r w:rsidR="00831F5B" w:rsidRPr="00E93710">
        <w:rPr>
          <w:szCs w:val="24"/>
          <w:lang w:val="uk-UA"/>
        </w:rPr>
        <w:t xml:space="preserve">. </w:t>
      </w:r>
      <w:r w:rsidR="008C3438" w:rsidRPr="000A38E5">
        <w:rPr>
          <w:szCs w:val="24"/>
          <w:lang w:val="uk-UA"/>
        </w:rPr>
        <w:t xml:space="preserve">Однак, при цьому більшість ігнорує </w:t>
      </w:r>
      <w:proofErr w:type="spellStart"/>
      <w:r w:rsidR="008C3438" w:rsidRPr="000A38E5">
        <w:rPr>
          <w:szCs w:val="24"/>
          <w:lang w:val="uk-UA"/>
        </w:rPr>
        <w:t>прецедентне</w:t>
      </w:r>
      <w:proofErr w:type="spellEnd"/>
      <w:r w:rsidR="008C3438" w:rsidRPr="000A38E5">
        <w:rPr>
          <w:szCs w:val="24"/>
          <w:lang w:val="uk-UA"/>
        </w:rPr>
        <w:t xml:space="preserve"> право Суду</w:t>
      </w:r>
      <w:r w:rsidR="00831F5B" w:rsidRPr="00E93710">
        <w:rPr>
          <w:szCs w:val="24"/>
          <w:lang w:val="uk-UA"/>
        </w:rPr>
        <w:t xml:space="preserve">, </w:t>
      </w:r>
      <w:r w:rsidR="008C3438" w:rsidRPr="000A38E5">
        <w:rPr>
          <w:szCs w:val="24"/>
          <w:lang w:val="uk-UA"/>
        </w:rPr>
        <w:t>яке постановило, що</w:t>
      </w:r>
      <w:r w:rsidR="00831F5B" w:rsidRPr="00E93710">
        <w:rPr>
          <w:szCs w:val="24"/>
          <w:lang w:val="uk-UA"/>
        </w:rPr>
        <w:t xml:space="preserve"> </w:t>
      </w:r>
      <w:r w:rsidR="008C3438" w:rsidRPr="000A38E5">
        <w:rPr>
          <w:szCs w:val="24"/>
          <w:lang w:val="uk-UA"/>
        </w:rPr>
        <w:t>«коли накладені на учасників демонстрації санкції є кримінальними за характером</w:t>
      </w:r>
      <w:r w:rsidR="00831F5B" w:rsidRPr="00E93710">
        <w:rPr>
          <w:szCs w:val="24"/>
          <w:lang w:val="uk-UA"/>
        </w:rPr>
        <w:t xml:space="preserve">, </w:t>
      </w:r>
      <w:r w:rsidR="000802E3" w:rsidRPr="000A38E5">
        <w:rPr>
          <w:szCs w:val="24"/>
          <w:lang w:val="uk-UA"/>
        </w:rPr>
        <w:t>вони потребують особливого виправдання</w:t>
      </w:r>
      <w:r w:rsidR="00F41606" w:rsidRPr="00E93710">
        <w:rPr>
          <w:szCs w:val="24"/>
          <w:lang w:val="uk-UA"/>
        </w:rPr>
        <w:t xml:space="preserve"> ...</w:t>
      </w:r>
      <w:r w:rsidR="00831F5B" w:rsidRPr="00E93710">
        <w:rPr>
          <w:szCs w:val="24"/>
          <w:lang w:val="uk-UA"/>
        </w:rPr>
        <w:t xml:space="preserve"> </w:t>
      </w:r>
      <w:r w:rsidR="000802E3" w:rsidRPr="000A38E5">
        <w:rPr>
          <w:szCs w:val="24"/>
          <w:lang w:val="uk-UA"/>
        </w:rPr>
        <w:t>тому Суд повинен розглянути з особливою ретельністю</w:t>
      </w:r>
      <w:r w:rsidR="00831F5B" w:rsidRPr="00E93710">
        <w:rPr>
          <w:szCs w:val="24"/>
          <w:lang w:val="uk-UA"/>
        </w:rPr>
        <w:t xml:space="preserve"> </w:t>
      </w:r>
      <w:r w:rsidR="000802E3" w:rsidRPr="000A38E5">
        <w:rPr>
          <w:szCs w:val="24"/>
          <w:lang w:val="uk-UA"/>
        </w:rPr>
        <w:lastRenderedPageBreak/>
        <w:t>справи, в яких санкції, накладені національними органами влади</w:t>
      </w:r>
      <w:r w:rsidR="00831F5B" w:rsidRPr="00E93710">
        <w:rPr>
          <w:szCs w:val="24"/>
          <w:lang w:val="uk-UA"/>
        </w:rPr>
        <w:t xml:space="preserve"> </w:t>
      </w:r>
      <w:r w:rsidR="000802E3" w:rsidRPr="000A38E5">
        <w:rPr>
          <w:szCs w:val="24"/>
          <w:lang w:val="uk-UA"/>
        </w:rPr>
        <w:t>за ненасильницьку поведінку, включають позбавлення волі».</w:t>
      </w:r>
      <w:r w:rsidR="00831F5B" w:rsidRPr="00E93710">
        <w:rPr>
          <w:szCs w:val="24"/>
          <w:vertAlign w:val="superscript"/>
          <w:lang w:val="uk-UA"/>
        </w:rPr>
        <w:footnoteReference w:id="34"/>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32</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0802E3" w:rsidRPr="000A38E5">
        <w:rPr>
          <w:szCs w:val="24"/>
          <w:lang w:val="uk-UA"/>
        </w:rPr>
        <w:t>Відповідно до такого ретельного контролю</w:t>
      </w:r>
      <w:r w:rsidR="00831F5B" w:rsidRPr="00E93710">
        <w:rPr>
          <w:szCs w:val="24"/>
          <w:lang w:val="uk-UA"/>
        </w:rPr>
        <w:t xml:space="preserve">, </w:t>
      </w:r>
      <w:r w:rsidR="000802E3" w:rsidRPr="000A38E5">
        <w:rPr>
          <w:szCs w:val="24"/>
          <w:lang w:val="uk-UA"/>
        </w:rPr>
        <w:t>обставини протесту не приводять до необхідності будь-якого кримінального покарання</w:t>
      </w:r>
      <w:r w:rsidR="00831F5B" w:rsidRPr="00E93710">
        <w:rPr>
          <w:szCs w:val="24"/>
          <w:lang w:val="uk-UA"/>
        </w:rPr>
        <w:t xml:space="preserve">: </w:t>
      </w:r>
      <w:r w:rsidR="000802E3" w:rsidRPr="000A38E5">
        <w:rPr>
          <w:szCs w:val="24"/>
          <w:lang w:val="uk-UA"/>
        </w:rPr>
        <w:t>третій, четвертий та п’ятий заявники поводилися мирно</w:t>
      </w:r>
      <w:r w:rsidR="00831F5B" w:rsidRPr="00E93710">
        <w:rPr>
          <w:szCs w:val="24"/>
          <w:lang w:val="uk-UA"/>
        </w:rPr>
        <w:t xml:space="preserve">, </w:t>
      </w:r>
      <w:r w:rsidR="000802E3" w:rsidRPr="000A38E5">
        <w:rPr>
          <w:szCs w:val="24"/>
          <w:lang w:val="uk-UA"/>
        </w:rPr>
        <w:t>не мали зброї та були оточені охоронцями</w:t>
      </w:r>
      <w:r w:rsidR="00831F5B" w:rsidRPr="00E93710">
        <w:rPr>
          <w:szCs w:val="24"/>
          <w:lang w:val="uk-UA"/>
        </w:rPr>
        <w:t xml:space="preserve">, </w:t>
      </w:r>
      <w:r w:rsidR="000802E3" w:rsidRPr="000A38E5">
        <w:rPr>
          <w:szCs w:val="24"/>
          <w:lang w:val="uk-UA"/>
        </w:rPr>
        <w:t>вони не представляли загрози жодній особі або майну</w:t>
      </w:r>
      <w:r w:rsidR="00831F5B" w:rsidRPr="00E93710">
        <w:rPr>
          <w:szCs w:val="24"/>
          <w:lang w:val="uk-UA"/>
        </w:rPr>
        <w:t>.</w:t>
      </w:r>
    </w:p>
    <w:p w:rsidR="00F41606" w:rsidRPr="000A38E5" w:rsidRDefault="00831F5B" w:rsidP="00852217">
      <w:pPr>
        <w:pStyle w:val="OpiHi"/>
        <w:rPr>
          <w:lang w:val="uk-UA"/>
        </w:rPr>
      </w:pPr>
      <w:proofErr w:type="spellStart"/>
      <w:r w:rsidRPr="00E93710">
        <w:rPr>
          <w:lang w:val="uk-UA"/>
        </w:rPr>
        <w:t>ii</w:t>
      </w:r>
      <w:proofErr w:type="spellEnd"/>
      <w:r w:rsidRPr="00E93710">
        <w:rPr>
          <w:lang w:val="uk-UA"/>
        </w:rPr>
        <w:t>.</w:t>
      </w:r>
      <w:r w:rsidR="00334477" w:rsidRPr="000A38E5">
        <w:rPr>
          <w:lang w:val="uk-UA"/>
        </w:rPr>
        <w:t xml:space="preserve"> </w:t>
      </w:r>
      <w:r w:rsidR="000802E3" w:rsidRPr="000A38E5">
        <w:rPr>
          <w:lang w:val="uk-UA"/>
        </w:rPr>
        <w:t>шостий заявник</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33</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0802E3" w:rsidRPr="000A38E5">
        <w:rPr>
          <w:szCs w:val="24"/>
          <w:lang w:val="uk-UA"/>
        </w:rPr>
        <w:t>Більшість також припустила, що десятиденне позбавлення волі, застосоване до шостого заявника,</w:t>
      </w:r>
      <w:r w:rsidR="00831F5B" w:rsidRPr="00E93710">
        <w:rPr>
          <w:szCs w:val="24"/>
          <w:lang w:val="uk-UA"/>
        </w:rPr>
        <w:t xml:space="preserve"> </w:t>
      </w:r>
      <w:r w:rsidR="000802E3" w:rsidRPr="000A38E5">
        <w:rPr>
          <w:szCs w:val="24"/>
          <w:lang w:val="uk-UA"/>
        </w:rPr>
        <w:t>робить виправданим втручання у його свободу зібрання</w:t>
      </w:r>
      <w:r w:rsidR="00831F5B" w:rsidRPr="00E93710">
        <w:rPr>
          <w:szCs w:val="24"/>
          <w:lang w:val="uk-UA"/>
        </w:rPr>
        <w:t xml:space="preserve">. </w:t>
      </w:r>
      <w:r w:rsidR="00457F6A" w:rsidRPr="000A38E5">
        <w:rPr>
          <w:szCs w:val="24"/>
          <w:lang w:val="uk-UA"/>
        </w:rPr>
        <w:t>Мене вражає, що більшість вважає цей же вирок</w:t>
      </w:r>
      <w:r w:rsidR="00831F5B" w:rsidRPr="00E93710">
        <w:rPr>
          <w:szCs w:val="24"/>
          <w:lang w:val="uk-UA"/>
        </w:rPr>
        <w:t xml:space="preserve">, </w:t>
      </w:r>
      <w:r w:rsidR="00457F6A" w:rsidRPr="000A38E5">
        <w:rPr>
          <w:szCs w:val="24"/>
          <w:lang w:val="uk-UA"/>
        </w:rPr>
        <w:t>накладений на першого та другого заявників за аналогічне порушення, невиправданим</w:t>
      </w:r>
      <w:r w:rsidR="00831F5B" w:rsidRPr="00E93710">
        <w:rPr>
          <w:szCs w:val="24"/>
          <w:vertAlign w:val="superscript"/>
          <w:lang w:val="uk-UA"/>
        </w:rPr>
        <w:footnoteReference w:id="35"/>
      </w:r>
      <w:r w:rsidR="00831F5B" w:rsidRPr="00E93710">
        <w:rPr>
          <w:szCs w:val="24"/>
          <w:lang w:val="uk-UA"/>
        </w:rPr>
        <w:t xml:space="preserve">. </w:t>
      </w:r>
      <w:r w:rsidR="007828DB" w:rsidRPr="000A38E5">
        <w:rPr>
          <w:szCs w:val="24"/>
          <w:lang w:val="uk-UA"/>
        </w:rPr>
        <w:t>Ця позиція є незрозумілою, приймаючи до уваги, що більшість</w:t>
      </w:r>
      <w:r w:rsidR="00831F5B" w:rsidRPr="00E93710">
        <w:rPr>
          <w:szCs w:val="24"/>
          <w:lang w:val="uk-UA"/>
        </w:rPr>
        <w:t xml:space="preserve"> </w:t>
      </w:r>
      <w:r w:rsidR="007828DB" w:rsidRPr="000A38E5">
        <w:rPr>
          <w:szCs w:val="24"/>
          <w:lang w:val="uk-UA"/>
        </w:rPr>
        <w:t>не впевнена щодо поводження, за яке критикує шостого заявника</w:t>
      </w:r>
      <w:r w:rsidR="00831F5B" w:rsidRPr="00E93710">
        <w:rPr>
          <w:szCs w:val="24"/>
          <w:lang w:val="uk-UA"/>
        </w:rPr>
        <w:t xml:space="preserve">, </w:t>
      </w:r>
      <w:r w:rsidR="007828DB" w:rsidRPr="000A38E5">
        <w:rPr>
          <w:szCs w:val="24"/>
          <w:lang w:val="uk-UA"/>
        </w:rPr>
        <w:t>оскільки вона зазначає, що заявник опирався міліції</w:t>
      </w:r>
      <w:r w:rsidR="00831F5B" w:rsidRPr="00E93710">
        <w:rPr>
          <w:szCs w:val="24"/>
          <w:lang w:val="uk-UA"/>
        </w:rPr>
        <w:t xml:space="preserve"> </w:t>
      </w:r>
      <w:r w:rsidR="00AC4733" w:rsidRPr="00E93710">
        <w:rPr>
          <w:szCs w:val="24"/>
          <w:lang w:val="uk-UA"/>
        </w:rPr>
        <w:t>«</w:t>
      </w:r>
      <w:r w:rsidR="00AC4733" w:rsidRPr="000A38E5">
        <w:rPr>
          <w:szCs w:val="24"/>
          <w:lang w:val="uk-UA"/>
        </w:rPr>
        <w:t>принаймні, пасивно, а може, навіть активно</w:t>
      </w:r>
      <w:r w:rsidR="00AC4733" w:rsidRPr="00E93710">
        <w:rPr>
          <w:szCs w:val="24"/>
          <w:lang w:val="uk-UA"/>
        </w:rPr>
        <w:t>»</w:t>
      </w:r>
      <w:r w:rsidR="00831F5B" w:rsidRPr="00E93710">
        <w:rPr>
          <w:szCs w:val="24"/>
          <w:vertAlign w:val="superscript"/>
          <w:lang w:val="uk-UA"/>
        </w:rPr>
        <w:footnoteReference w:id="36"/>
      </w:r>
      <w:r w:rsidR="00831F5B" w:rsidRPr="00E93710">
        <w:rPr>
          <w:szCs w:val="24"/>
          <w:lang w:val="uk-UA"/>
        </w:rPr>
        <w:t xml:space="preserve">. </w:t>
      </w:r>
      <w:r w:rsidR="00AC4733" w:rsidRPr="000A38E5">
        <w:rPr>
          <w:szCs w:val="24"/>
          <w:lang w:val="uk-UA"/>
        </w:rPr>
        <w:t>Факт полягає в тому, що національні рішення не згадують ступеню безпорядку, до якого привело поводження цього заявника</w:t>
      </w:r>
      <w:r w:rsidR="00831F5B" w:rsidRPr="00E93710">
        <w:rPr>
          <w:szCs w:val="24"/>
          <w:lang w:val="uk-UA"/>
        </w:rPr>
        <w:t xml:space="preserve">. </w:t>
      </w:r>
      <w:r w:rsidR="00AC4733" w:rsidRPr="000A38E5">
        <w:rPr>
          <w:szCs w:val="24"/>
          <w:lang w:val="uk-UA"/>
        </w:rPr>
        <w:t>Тому, найменшим, що могла та повинна була зробити більшість,</w:t>
      </w:r>
      <w:r w:rsidR="00831F5B" w:rsidRPr="00E93710">
        <w:rPr>
          <w:szCs w:val="24"/>
          <w:lang w:val="uk-UA"/>
        </w:rPr>
        <w:t xml:space="preserve"> </w:t>
      </w:r>
      <w:r w:rsidR="00AC4733" w:rsidRPr="000A38E5">
        <w:rPr>
          <w:szCs w:val="24"/>
          <w:lang w:val="uk-UA"/>
        </w:rPr>
        <w:t>було припущення того, що заявник займався пасивним перешкоджанням</w:t>
      </w:r>
      <w:r w:rsidR="00831F5B"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34</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AC4733" w:rsidRPr="000A38E5">
        <w:rPr>
          <w:szCs w:val="24"/>
          <w:lang w:val="uk-UA"/>
        </w:rPr>
        <w:t>Крім того, неочікуваним є те, що більшість</w:t>
      </w:r>
      <w:r w:rsidR="00831F5B" w:rsidRPr="00E93710">
        <w:rPr>
          <w:szCs w:val="24"/>
          <w:lang w:val="uk-UA"/>
        </w:rPr>
        <w:t xml:space="preserve"> </w:t>
      </w:r>
      <w:r w:rsidR="00555CC3" w:rsidRPr="000A38E5">
        <w:rPr>
          <w:szCs w:val="24"/>
          <w:lang w:val="uk-UA"/>
        </w:rPr>
        <w:t>цензурувала заявника за те, що він не відмовився від попередніх тверджень</w:t>
      </w:r>
      <w:r w:rsidR="00831F5B" w:rsidRPr="00E93710">
        <w:rPr>
          <w:szCs w:val="24"/>
          <w:lang w:val="uk-UA"/>
        </w:rPr>
        <w:t xml:space="preserve"> (</w:t>
      </w:r>
      <w:r w:rsidR="00555CC3" w:rsidRPr="000A38E5">
        <w:rPr>
          <w:szCs w:val="24"/>
          <w:lang w:val="uk-UA"/>
        </w:rPr>
        <w:t>даних міліції</w:t>
      </w:r>
      <w:r w:rsidR="00831F5B" w:rsidRPr="00E93710">
        <w:rPr>
          <w:szCs w:val="24"/>
          <w:lang w:val="uk-UA"/>
        </w:rPr>
        <w:t>)</w:t>
      </w:r>
      <w:r w:rsidR="00AF74B4" w:rsidRPr="000A38E5">
        <w:rPr>
          <w:szCs w:val="24"/>
          <w:lang w:val="uk-UA"/>
        </w:rPr>
        <w:t>,</w:t>
      </w:r>
      <w:r w:rsidR="00831F5B" w:rsidRPr="00E93710">
        <w:rPr>
          <w:szCs w:val="24"/>
          <w:lang w:val="uk-UA"/>
        </w:rPr>
        <w:t xml:space="preserve"> </w:t>
      </w:r>
      <w:r w:rsidR="00AF74B4" w:rsidRPr="000A38E5">
        <w:rPr>
          <w:szCs w:val="24"/>
          <w:lang w:val="uk-UA"/>
        </w:rPr>
        <w:t>коли він був приведений до суду першої інстанції,</w:t>
      </w:r>
      <w:r w:rsidR="00831F5B" w:rsidRPr="00E93710">
        <w:rPr>
          <w:szCs w:val="24"/>
          <w:lang w:val="uk-UA"/>
        </w:rPr>
        <w:t xml:space="preserve"> </w:t>
      </w:r>
      <w:r w:rsidR="00AF74B4" w:rsidRPr="000A38E5">
        <w:rPr>
          <w:szCs w:val="24"/>
          <w:lang w:val="uk-UA"/>
        </w:rPr>
        <w:t>та за «ненадання гарантій у цьому відношенні»</w:t>
      </w:r>
      <w:r w:rsidR="00831F5B" w:rsidRPr="00E93710">
        <w:rPr>
          <w:szCs w:val="24"/>
          <w:vertAlign w:val="superscript"/>
          <w:lang w:val="uk-UA"/>
        </w:rPr>
        <w:footnoteReference w:id="37"/>
      </w:r>
      <w:r w:rsidR="00831F5B" w:rsidRPr="00E93710">
        <w:rPr>
          <w:szCs w:val="24"/>
          <w:lang w:val="uk-UA"/>
        </w:rPr>
        <w:t xml:space="preserve">. </w:t>
      </w:r>
      <w:r w:rsidR="00AF74B4" w:rsidRPr="000A38E5">
        <w:rPr>
          <w:szCs w:val="24"/>
          <w:lang w:val="uk-UA"/>
        </w:rPr>
        <w:t>Немає ніяких доказів того, що суддя першої інстанції запитав заявника,</w:t>
      </w:r>
      <w:r w:rsidR="00831F5B" w:rsidRPr="00E93710">
        <w:rPr>
          <w:szCs w:val="24"/>
          <w:lang w:val="uk-UA"/>
        </w:rPr>
        <w:t xml:space="preserve"> </w:t>
      </w:r>
      <w:r w:rsidR="00AF74B4" w:rsidRPr="000A38E5">
        <w:rPr>
          <w:szCs w:val="24"/>
          <w:lang w:val="uk-UA"/>
        </w:rPr>
        <w:t xml:space="preserve">чи він планував продовжувати свої </w:t>
      </w:r>
      <w:proofErr w:type="spellStart"/>
      <w:r w:rsidR="00AF74B4" w:rsidRPr="000A38E5">
        <w:rPr>
          <w:szCs w:val="24"/>
          <w:lang w:val="uk-UA"/>
        </w:rPr>
        <w:t>стверджувані</w:t>
      </w:r>
      <w:proofErr w:type="spellEnd"/>
      <w:r w:rsidR="00AF74B4" w:rsidRPr="000A38E5">
        <w:rPr>
          <w:szCs w:val="24"/>
          <w:lang w:val="uk-UA"/>
        </w:rPr>
        <w:t xml:space="preserve"> обструктивні дії,</w:t>
      </w:r>
      <w:r w:rsidR="00831F5B" w:rsidRPr="00E93710">
        <w:rPr>
          <w:szCs w:val="24"/>
          <w:lang w:val="uk-UA"/>
        </w:rPr>
        <w:t xml:space="preserve"> </w:t>
      </w:r>
      <w:r w:rsidR="00AF74B4" w:rsidRPr="000A38E5">
        <w:rPr>
          <w:szCs w:val="24"/>
          <w:lang w:val="uk-UA"/>
        </w:rPr>
        <w:t>або зробив твердження в ході суду та за власною ініціативою,</w:t>
      </w:r>
      <w:r w:rsidR="00831F5B" w:rsidRPr="00E93710">
        <w:rPr>
          <w:szCs w:val="24"/>
          <w:lang w:val="uk-UA"/>
        </w:rPr>
        <w:t xml:space="preserve"> </w:t>
      </w:r>
      <w:r w:rsidR="00AF74B4" w:rsidRPr="000A38E5">
        <w:rPr>
          <w:szCs w:val="24"/>
          <w:lang w:val="uk-UA"/>
        </w:rPr>
        <w:t>чітко підтверджуючи свій намір продовжувати поводження</w:t>
      </w:r>
      <w:r w:rsidR="00831F5B" w:rsidRPr="00E93710">
        <w:rPr>
          <w:szCs w:val="24"/>
          <w:lang w:val="uk-UA"/>
        </w:rPr>
        <w:t xml:space="preserve">. </w:t>
      </w:r>
      <w:r w:rsidR="00092381" w:rsidRPr="000A38E5">
        <w:rPr>
          <w:szCs w:val="24"/>
          <w:lang w:val="uk-UA"/>
        </w:rPr>
        <w:t>Як визнається, він зробив твердження у цьому відношенні міліції,</w:t>
      </w:r>
      <w:r w:rsidR="00831F5B" w:rsidRPr="00E93710">
        <w:rPr>
          <w:szCs w:val="24"/>
          <w:lang w:val="uk-UA"/>
        </w:rPr>
        <w:t xml:space="preserve"> </w:t>
      </w:r>
      <w:r w:rsidR="00092381" w:rsidRPr="000A38E5">
        <w:rPr>
          <w:szCs w:val="24"/>
          <w:lang w:val="uk-UA"/>
        </w:rPr>
        <w:t>коли його видаляли з місця подій</w:t>
      </w:r>
      <w:r w:rsidR="00831F5B" w:rsidRPr="00E93710">
        <w:rPr>
          <w:szCs w:val="24"/>
          <w:vertAlign w:val="superscript"/>
          <w:lang w:val="uk-UA"/>
        </w:rPr>
        <w:footnoteReference w:id="38"/>
      </w:r>
      <w:r w:rsidR="00831F5B" w:rsidRPr="00E93710">
        <w:rPr>
          <w:szCs w:val="24"/>
          <w:lang w:val="uk-UA"/>
        </w:rPr>
        <w:t xml:space="preserve">. </w:t>
      </w:r>
      <w:r w:rsidR="00092381" w:rsidRPr="000A38E5">
        <w:rPr>
          <w:szCs w:val="24"/>
          <w:lang w:val="uk-UA"/>
        </w:rPr>
        <w:t>Однак, ніщо не вказує, що він наполягав на цьому поводженні у кінці судового процесу</w:t>
      </w:r>
      <w:r w:rsidR="00831F5B"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35</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C31363" w:rsidRPr="000A38E5">
        <w:rPr>
          <w:szCs w:val="24"/>
          <w:lang w:val="uk-UA"/>
        </w:rPr>
        <w:t>Репресивний тон більшості помітний не тільки у тому,</w:t>
      </w:r>
      <w:r w:rsidR="00831F5B" w:rsidRPr="00E93710">
        <w:rPr>
          <w:szCs w:val="24"/>
          <w:lang w:val="uk-UA"/>
        </w:rPr>
        <w:t xml:space="preserve"> </w:t>
      </w:r>
      <w:r w:rsidR="00C31363" w:rsidRPr="000A38E5">
        <w:rPr>
          <w:szCs w:val="24"/>
          <w:lang w:val="uk-UA"/>
        </w:rPr>
        <w:t>як вона оцінює ризик повторного порушення,</w:t>
      </w:r>
      <w:r w:rsidR="00831F5B" w:rsidRPr="00E93710">
        <w:rPr>
          <w:szCs w:val="24"/>
          <w:lang w:val="uk-UA"/>
        </w:rPr>
        <w:t xml:space="preserve"> </w:t>
      </w:r>
      <w:r w:rsidR="00C31363" w:rsidRPr="000A38E5">
        <w:rPr>
          <w:szCs w:val="24"/>
          <w:lang w:val="uk-UA"/>
        </w:rPr>
        <w:t>який представляє заявник</w:t>
      </w:r>
      <w:r w:rsidR="00831F5B" w:rsidRPr="00E93710">
        <w:rPr>
          <w:szCs w:val="24"/>
          <w:lang w:val="uk-UA"/>
        </w:rPr>
        <w:t xml:space="preserve">, </w:t>
      </w:r>
      <w:r w:rsidR="00C31363" w:rsidRPr="000A38E5">
        <w:rPr>
          <w:szCs w:val="24"/>
          <w:lang w:val="uk-UA"/>
        </w:rPr>
        <w:t>а й у характері її оцінки його процесуальної поведінки</w:t>
      </w:r>
      <w:r w:rsidR="00831F5B" w:rsidRPr="00E93710">
        <w:rPr>
          <w:szCs w:val="24"/>
          <w:lang w:val="uk-UA"/>
        </w:rPr>
        <w:t xml:space="preserve">. </w:t>
      </w:r>
      <w:r w:rsidR="00C31363" w:rsidRPr="000A38E5">
        <w:rPr>
          <w:szCs w:val="24"/>
          <w:lang w:val="uk-UA"/>
        </w:rPr>
        <w:t>Окрім розпливчастого зауваження щодо</w:t>
      </w:r>
      <w:r w:rsidR="00831F5B" w:rsidRPr="00E93710">
        <w:rPr>
          <w:szCs w:val="24"/>
          <w:lang w:val="uk-UA"/>
        </w:rPr>
        <w:t xml:space="preserve"> </w:t>
      </w:r>
      <w:r w:rsidR="00F52FF1" w:rsidRPr="000A38E5">
        <w:rPr>
          <w:szCs w:val="24"/>
          <w:lang w:val="uk-UA"/>
        </w:rPr>
        <w:t>«</w:t>
      </w:r>
      <w:r w:rsidR="00532F8D" w:rsidRPr="000A38E5">
        <w:rPr>
          <w:szCs w:val="24"/>
          <w:lang w:val="uk-UA"/>
        </w:rPr>
        <w:t>безперспективної</w:t>
      </w:r>
      <w:r w:rsidR="00F52FF1" w:rsidRPr="000A38E5">
        <w:rPr>
          <w:szCs w:val="24"/>
          <w:lang w:val="uk-UA"/>
        </w:rPr>
        <w:t xml:space="preserve"> позиції, яку він зайняв у національних судах взагалі</w:t>
      </w:r>
      <w:r w:rsidR="00F52FF1" w:rsidRPr="00E93710">
        <w:rPr>
          <w:szCs w:val="24"/>
          <w:lang w:val="uk-UA"/>
        </w:rPr>
        <w:t>»</w:t>
      </w:r>
      <w:r w:rsidR="00831F5B" w:rsidRPr="00E93710">
        <w:rPr>
          <w:szCs w:val="24"/>
          <w:vertAlign w:val="superscript"/>
          <w:lang w:val="uk-UA"/>
        </w:rPr>
        <w:footnoteReference w:id="39"/>
      </w:r>
      <w:r w:rsidR="00831F5B" w:rsidRPr="00E93710">
        <w:rPr>
          <w:szCs w:val="24"/>
          <w:lang w:val="uk-UA"/>
        </w:rPr>
        <w:t xml:space="preserve">, </w:t>
      </w:r>
      <w:r w:rsidR="00F52FF1" w:rsidRPr="000A38E5">
        <w:rPr>
          <w:szCs w:val="24"/>
          <w:lang w:val="uk-UA"/>
        </w:rPr>
        <w:t>більшість неправа у своїй оцінці процесуальних обов’язків заявника</w:t>
      </w:r>
      <w:r w:rsidR="00831F5B" w:rsidRPr="00E93710">
        <w:rPr>
          <w:szCs w:val="24"/>
          <w:lang w:val="uk-UA"/>
        </w:rPr>
        <w:t xml:space="preserve">. </w:t>
      </w:r>
      <w:r w:rsidR="00F52FF1" w:rsidRPr="000A38E5">
        <w:rPr>
          <w:szCs w:val="24"/>
          <w:lang w:val="uk-UA"/>
        </w:rPr>
        <w:t>Відповідно до закріпленого у Конвенції принципу негайності</w:t>
      </w:r>
      <w:r w:rsidR="00831F5B" w:rsidRPr="00E93710">
        <w:rPr>
          <w:szCs w:val="24"/>
          <w:vertAlign w:val="superscript"/>
          <w:lang w:val="uk-UA"/>
        </w:rPr>
        <w:footnoteReference w:id="40"/>
      </w:r>
      <w:r w:rsidR="00831F5B" w:rsidRPr="00E93710">
        <w:rPr>
          <w:szCs w:val="24"/>
          <w:lang w:val="uk-UA"/>
        </w:rPr>
        <w:t xml:space="preserve">, </w:t>
      </w:r>
      <w:r w:rsidR="00F52FF1" w:rsidRPr="000A38E5">
        <w:rPr>
          <w:szCs w:val="24"/>
          <w:lang w:val="uk-UA"/>
        </w:rPr>
        <w:t>відповідач не повинен відмовлятися від тверджень,</w:t>
      </w:r>
      <w:r w:rsidR="00831F5B" w:rsidRPr="00E93710">
        <w:rPr>
          <w:szCs w:val="24"/>
          <w:lang w:val="uk-UA"/>
        </w:rPr>
        <w:t xml:space="preserve"> </w:t>
      </w:r>
      <w:r w:rsidR="00F52FF1" w:rsidRPr="000A38E5">
        <w:rPr>
          <w:szCs w:val="24"/>
          <w:lang w:val="uk-UA"/>
        </w:rPr>
        <w:t>з якими навіть не стикався протягом судового слухання,</w:t>
      </w:r>
      <w:r w:rsidR="00831F5B" w:rsidRPr="00E93710">
        <w:rPr>
          <w:szCs w:val="24"/>
          <w:lang w:val="uk-UA"/>
        </w:rPr>
        <w:t xml:space="preserve"> </w:t>
      </w:r>
      <w:r w:rsidR="00F52FF1" w:rsidRPr="000A38E5">
        <w:rPr>
          <w:szCs w:val="24"/>
          <w:lang w:val="uk-UA"/>
        </w:rPr>
        <w:t>тим більше – від тверджень, які він нібито зробив у міліції,</w:t>
      </w:r>
      <w:r w:rsidR="00831F5B" w:rsidRPr="00E93710">
        <w:rPr>
          <w:szCs w:val="24"/>
          <w:lang w:val="uk-UA"/>
        </w:rPr>
        <w:t xml:space="preserve"> </w:t>
      </w:r>
      <w:r w:rsidR="00F52FF1" w:rsidRPr="000A38E5">
        <w:rPr>
          <w:szCs w:val="24"/>
          <w:lang w:val="uk-UA"/>
        </w:rPr>
        <w:t>за невідомих обставин та без юридичного представника</w:t>
      </w:r>
      <w:r w:rsidR="00831F5B" w:rsidRPr="00E93710">
        <w:rPr>
          <w:szCs w:val="24"/>
          <w:lang w:val="uk-UA"/>
        </w:rPr>
        <w:t xml:space="preserve">. </w:t>
      </w:r>
      <w:r w:rsidR="00F52FF1" w:rsidRPr="000A38E5">
        <w:rPr>
          <w:szCs w:val="24"/>
          <w:lang w:val="uk-UA"/>
        </w:rPr>
        <w:t>Більшість заходить занадто далеко, коли приписує заявникові</w:t>
      </w:r>
      <w:r w:rsidR="00831F5B" w:rsidRPr="00E93710">
        <w:rPr>
          <w:szCs w:val="24"/>
          <w:lang w:val="uk-UA"/>
        </w:rPr>
        <w:t xml:space="preserve"> </w:t>
      </w:r>
      <w:r w:rsidR="00F52FF1" w:rsidRPr="000A38E5">
        <w:rPr>
          <w:szCs w:val="24"/>
          <w:lang w:val="uk-UA"/>
        </w:rPr>
        <w:t>«намір повторного скоєння правопорушення»</w:t>
      </w:r>
      <w:r w:rsidR="00831F5B" w:rsidRPr="00E93710">
        <w:rPr>
          <w:szCs w:val="24"/>
          <w:vertAlign w:val="superscript"/>
          <w:lang w:val="uk-UA"/>
        </w:rPr>
        <w:footnoteReference w:id="41"/>
      </w:r>
      <w:r w:rsidR="00831F5B" w:rsidRPr="00E93710">
        <w:rPr>
          <w:szCs w:val="24"/>
          <w:lang w:val="uk-UA"/>
        </w:rPr>
        <w:t xml:space="preserve"> </w:t>
      </w:r>
      <w:r w:rsidR="00F52FF1" w:rsidRPr="000A38E5">
        <w:rPr>
          <w:szCs w:val="24"/>
          <w:lang w:val="uk-UA"/>
        </w:rPr>
        <w:t xml:space="preserve">на підставі цих </w:t>
      </w:r>
      <w:proofErr w:type="spellStart"/>
      <w:r w:rsidR="00F52FF1" w:rsidRPr="000A38E5">
        <w:rPr>
          <w:szCs w:val="24"/>
          <w:lang w:val="uk-UA"/>
        </w:rPr>
        <w:t>стверджуваних</w:t>
      </w:r>
      <w:proofErr w:type="spellEnd"/>
      <w:r w:rsidR="00F52FF1" w:rsidRPr="000A38E5">
        <w:rPr>
          <w:szCs w:val="24"/>
          <w:lang w:val="uk-UA"/>
        </w:rPr>
        <w:t xml:space="preserve"> тверджень на досудовій стадії</w:t>
      </w:r>
      <w:r w:rsidR="00831F5B" w:rsidRPr="00E93710">
        <w:rPr>
          <w:szCs w:val="24"/>
          <w:lang w:val="uk-UA"/>
        </w:rPr>
        <w:t xml:space="preserve">, </w:t>
      </w:r>
      <w:r w:rsidR="00F52FF1" w:rsidRPr="000A38E5">
        <w:rPr>
          <w:szCs w:val="24"/>
          <w:lang w:val="uk-UA"/>
        </w:rPr>
        <w:t>як</w:t>
      </w:r>
      <w:r w:rsidR="00AC2647" w:rsidRPr="000A38E5">
        <w:rPr>
          <w:szCs w:val="24"/>
          <w:lang w:val="uk-UA"/>
        </w:rPr>
        <w:t>і</w:t>
      </w:r>
      <w:r w:rsidR="00F52FF1" w:rsidRPr="000A38E5">
        <w:rPr>
          <w:szCs w:val="24"/>
          <w:lang w:val="uk-UA"/>
        </w:rPr>
        <w:t xml:space="preserve"> не були підтверджені на суді</w:t>
      </w:r>
      <w:r w:rsidR="00831F5B" w:rsidRPr="00E93710">
        <w:rPr>
          <w:szCs w:val="24"/>
          <w:lang w:val="uk-UA"/>
        </w:rPr>
        <w:t xml:space="preserve">. </w:t>
      </w:r>
      <w:r w:rsidR="00F52FF1" w:rsidRPr="000A38E5">
        <w:rPr>
          <w:szCs w:val="24"/>
          <w:lang w:val="uk-UA"/>
        </w:rPr>
        <w:t xml:space="preserve">Будучи святіше </w:t>
      </w:r>
      <w:r w:rsidR="00FF5220" w:rsidRPr="000A38E5">
        <w:rPr>
          <w:szCs w:val="24"/>
          <w:lang w:val="uk-UA"/>
        </w:rPr>
        <w:t>П</w:t>
      </w:r>
      <w:r w:rsidR="00F52FF1" w:rsidRPr="000A38E5">
        <w:rPr>
          <w:szCs w:val="24"/>
          <w:lang w:val="uk-UA"/>
        </w:rPr>
        <w:t>апи Римського</w:t>
      </w:r>
      <w:r w:rsidR="00831F5B" w:rsidRPr="00E93710">
        <w:rPr>
          <w:szCs w:val="24"/>
          <w:lang w:val="uk-UA"/>
        </w:rPr>
        <w:t xml:space="preserve">, </w:t>
      </w:r>
      <w:r w:rsidR="00F52FF1" w:rsidRPr="000A38E5">
        <w:rPr>
          <w:szCs w:val="24"/>
          <w:lang w:val="uk-UA"/>
        </w:rPr>
        <w:t>більшість вимагає, щоб заявник «відмовився»</w:t>
      </w:r>
      <w:r w:rsidR="00831F5B" w:rsidRPr="00E93710">
        <w:rPr>
          <w:szCs w:val="24"/>
          <w:vertAlign w:val="superscript"/>
          <w:lang w:val="uk-UA"/>
        </w:rPr>
        <w:footnoteReference w:id="42"/>
      </w:r>
      <w:r w:rsidR="00831F5B" w:rsidRPr="00E93710">
        <w:rPr>
          <w:szCs w:val="24"/>
          <w:lang w:val="uk-UA"/>
        </w:rPr>
        <w:t xml:space="preserve"> </w:t>
      </w:r>
      <w:r w:rsidR="00F52FF1" w:rsidRPr="000A38E5">
        <w:rPr>
          <w:szCs w:val="24"/>
          <w:lang w:val="uk-UA"/>
        </w:rPr>
        <w:t>від своїх досудових тверджень та навіть надав якісь «гарантії»,</w:t>
      </w:r>
      <w:r w:rsidR="00831F5B" w:rsidRPr="00E93710">
        <w:rPr>
          <w:szCs w:val="24"/>
          <w:vertAlign w:val="superscript"/>
          <w:lang w:val="uk-UA"/>
        </w:rPr>
        <w:footnoteReference w:id="43"/>
      </w:r>
      <w:r w:rsidR="00831F5B" w:rsidRPr="00E93710">
        <w:rPr>
          <w:szCs w:val="24"/>
          <w:lang w:val="uk-UA"/>
        </w:rPr>
        <w:t xml:space="preserve"> </w:t>
      </w:r>
      <w:r w:rsidR="00F52FF1" w:rsidRPr="000A38E5">
        <w:rPr>
          <w:szCs w:val="24"/>
          <w:lang w:val="uk-UA"/>
        </w:rPr>
        <w:t>на які не посилалися національні суди</w:t>
      </w:r>
      <w:r w:rsidR="00831F5B" w:rsidRPr="00E93710">
        <w:rPr>
          <w:szCs w:val="24"/>
          <w:lang w:val="uk-UA"/>
        </w:rPr>
        <w:t xml:space="preserve"> </w:t>
      </w:r>
      <w:r w:rsidR="00F52FF1" w:rsidRPr="000A38E5">
        <w:rPr>
          <w:szCs w:val="24"/>
          <w:lang w:val="uk-UA"/>
        </w:rPr>
        <w:t>ані в рішенні суду першої інстанції, ані в рішенні апеляційного суду</w:t>
      </w:r>
      <w:r w:rsidR="00831F5B" w:rsidRPr="00E93710">
        <w:rPr>
          <w:szCs w:val="24"/>
          <w:vertAlign w:val="superscript"/>
          <w:lang w:val="uk-UA"/>
        </w:rPr>
        <w:footnoteReference w:id="44"/>
      </w:r>
      <w:r w:rsidR="00831F5B" w:rsidRPr="00E93710">
        <w:rPr>
          <w:szCs w:val="24"/>
          <w:lang w:val="uk-UA"/>
        </w:rPr>
        <w:t>.</w:t>
      </w:r>
    </w:p>
    <w:p w:rsidR="00831F5B" w:rsidRPr="00E93710" w:rsidRDefault="004E7608" w:rsidP="00852217">
      <w:pPr>
        <w:pStyle w:val="OpiPara"/>
        <w:rPr>
          <w:szCs w:val="24"/>
          <w:lang w:val="uk-UA"/>
        </w:rPr>
      </w:pPr>
      <w:r w:rsidRPr="00E93710">
        <w:rPr>
          <w:szCs w:val="24"/>
          <w:lang w:val="uk-UA"/>
        </w:rPr>
        <w:lastRenderedPageBreak/>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36</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B61A4A" w:rsidRPr="000A38E5">
        <w:rPr>
          <w:szCs w:val="24"/>
          <w:lang w:val="uk-UA"/>
        </w:rPr>
        <w:t>Відповідно до Кодексу адміністративних правопорушень</w:t>
      </w:r>
      <w:r w:rsidR="00831F5B" w:rsidRPr="00E93710">
        <w:rPr>
          <w:szCs w:val="24"/>
          <w:lang w:val="uk-UA"/>
        </w:rPr>
        <w:t xml:space="preserve">, </w:t>
      </w:r>
      <w:r w:rsidR="00B61A4A" w:rsidRPr="000A38E5">
        <w:rPr>
          <w:szCs w:val="24"/>
          <w:lang w:val="uk-UA"/>
        </w:rPr>
        <w:t>адміністративне затримання може застосовуватися лише у виняткових випадках</w:t>
      </w:r>
      <w:r w:rsidR="00831F5B" w:rsidRPr="00E93710">
        <w:rPr>
          <w:szCs w:val="24"/>
          <w:vertAlign w:val="superscript"/>
          <w:lang w:val="uk-UA"/>
        </w:rPr>
        <w:footnoteReference w:id="45"/>
      </w:r>
      <w:r w:rsidR="00831F5B" w:rsidRPr="00E93710">
        <w:rPr>
          <w:szCs w:val="24"/>
          <w:lang w:val="uk-UA"/>
        </w:rPr>
        <w:t xml:space="preserve">. </w:t>
      </w:r>
      <w:r w:rsidR="003415CC" w:rsidRPr="000A38E5">
        <w:rPr>
          <w:szCs w:val="24"/>
          <w:lang w:val="uk-UA"/>
        </w:rPr>
        <w:t>Суд першої інстанції не пояснив винятковий характер справ заявників,</w:t>
      </w:r>
      <w:r w:rsidR="00831F5B" w:rsidRPr="00E93710">
        <w:rPr>
          <w:szCs w:val="24"/>
          <w:lang w:val="uk-UA"/>
        </w:rPr>
        <w:t xml:space="preserve"> </w:t>
      </w:r>
      <w:r w:rsidR="003415CC" w:rsidRPr="000A38E5">
        <w:rPr>
          <w:szCs w:val="24"/>
          <w:lang w:val="uk-UA"/>
        </w:rPr>
        <w:t>який міг би виправдати тяжкість покарання</w:t>
      </w:r>
      <w:r w:rsidR="00831F5B" w:rsidRPr="00E93710">
        <w:rPr>
          <w:szCs w:val="24"/>
          <w:lang w:val="uk-UA"/>
        </w:rPr>
        <w:t xml:space="preserve">. </w:t>
      </w:r>
      <w:r w:rsidR="003415CC" w:rsidRPr="000A38E5">
        <w:rPr>
          <w:szCs w:val="24"/>
          <w:lang w:val="uk-UA"/>
        </w:rPr>
        <w:t>У своїй апеляції шостий заявник не попросив про пом’якшення свого вироку</w:t>
      </w:r>
      <w:r w:rsidR="00831F5B" w:rsidRPr="00E93710">
        <w:rPr>
          <w:szCs w:val="24"/>
          <w:lang w:val="uk-UA"/>
        </w:rPr>
        <w:t xml:space="preserve">, </w:t>
      </w:r>
      <w:r w:rsidR="003415CC" w:rsidRPr="000A38E5">
        <w:rPr>
          <w:szCs w:val="24"/>
          <w:lang w:val="uk-UA"/>
        </w:rPr>
        <w:t>наполягаючи на своїй невинуватості</w:t>
      </w:r>
      <w:r w:rsidR="00831F5B" w:rsidRPr="00E93710">
        <w:rPr>
          <w:szCs w:val="24"/>
          <w:lang w:val="uk-UA"/>
        </w:rPr>
        <w:t xml:space="preserve">. </w:t>
      </w:r>
      <w:r w:rsidR="003415CC" w:rsidRPr="000A38E5">
        <w:rPr>
          <w:szCs w:val="24"/>
          <w:lang w:val="uk-UA"/>
        </w:rPr>
        <w:t>Апеляційний суд розглянув його справу 15 вересня</w:t>
      </w:r>
      <w:r w:rsidR="00831F5B" w:rsidRPr="00E93710">
        <w:rPr>
          <w:szCs w:val="24"/>
          <w:lang w:val="uk-UA"/>
        </w:rPr>
        <w:t xml:space="preserve"> 2010</w:t>
      </w:r>
      <w:r w:rsidR="003415CC" w:rsidRPr="000A38E5">
        <w:rPr>
          <w:szCs w:val="24"/>
          <w:lang w:val="uk-UA"/>
        </w:rPr>
        <w:t xml:space="preserve"> р.</w:t>
      </w:r>
      <w:r w:rsidR="00831F5B" w:rsidRPr="00E93710">
        <w:rPr>
          <w:szCs w:val="24"/>
          <w:lang w:val="uk-UA"/>
        </w:rPr>
        <w:t xml:space="preserve">, </w:t>
      </w:r>
      <w:r w:rsidR="003415CC" w:rsidRPr="000A38E5">
        <w:rPr>
          <w:szCs w:val="24"/>
          <w:lang w:val="uk-UA"/>
        </w:rPr>
        <w:t xml:space="preserve">майже через два місяці </w:t>
      </w:r>
      <w:r w:rsidR="00674B97" w:rsidRPr="000A38E5">
        <w:rPr>
          <w:szCs w:val="24"/>
          <w:lang w:val="uk-UA"/>
        </w:rPr>
        <w:t>після</w:t>
      </w:r>
      <w:r w:rsidR="003415CC" w:rsidRPr="000A38E5">
        <w:rPr>
          <w:szCs w:val="24"/>
          <w:lang w:val="uk-UA"/>
        </w:rPr>
        <w:t xml:space="preserve"> того, як заявник відбув</w:t>
      </w:r>
      <w:r w:rsidR="00831F5B" w:rsidRPr="00E93710">
        <w:rPr>
          <w:szCs w:val="24"/>
          <w:lang w:val="uk-UA"/>
        </w:rPr>
        <w:t xml:space="preserve"> </w:t>
      </w:r>
      <w:r w:rsidR="003415CC" w:rsidRPr="000A38E5">
        <w:rPr>
          <w:szCs w:val="24"/>
          <w:lang w:val="uk-UA"/>
        </w:rPr>
        <w:t>свій десятиденний строк у повному обсязі</w:t>
      </w:r>
      <w:r w:rsidR="00831F5B" w:rsidRPr="00E93710">
        <w:rPr>
          <w:szCs w:val="24"/>
          <w:lang w:val="uk-UA"/>
        </w:rPr>
        <w:t xml:space="preserve">. </w:t>
      </w:r>
      <w:r w:rsidR="003415CC" w:rsidRPr="000A38E5">
        <w:rPr>
          <w:szCs w:val="24"/>
          <w:lang w:val="uk-UA"/>
        </w:rPr>
        <w:t>Тому пом’якшення його вироку на цій стадії</w:t>
      </w:r>
      <w:r w:rsidR="00831F5B" w:rsidRPr="00E93710">
        <w:rPr>
          <w:szCs w:val="24"/>
          <w:lang w:val="uk-UA"/>
        </w:rPr>
        <w:t xml:space="preserve"> </w:t>
      </w:r>
      <w:r w:rsidR="003415CC" w:rsidRPr="000A38E5">
        <w:rPr>
          <w:szCs w:val="24"/>
          <w:lang w:val="uk-UA"/>
        </w:rPr>
        <w:t>не могло б ефективно виправити</w:t>
      </w:r>
      <w:r w:rsidR="00831F5B" w:rsidRPr="00E93710">
        <w:rPr>
          <w:szCs w:val="24"/>
          <w:lang w:val="uk-UA"/>
        </w:rPr>
        <w:t xml:space="preserve"> </w:t>
      </w:r>
      <w:r w:rsidR="003415CC" w:rsidRPr="000A38E5">
        <w:rPr>
          <w:szCs w:val="24"/>
          <w:lang w:val="uk-UA"/>
        </w:rPr>
        <w:t>вплив непоясненої тяжкості</w:t>
      </w:r>
      <w:r w:rsidR="00831F5B" w:rsidRPr="00E93710">
        <w:rPr>
          <w:szCs w:val="24"/>
          <w:lang w:val="uk-UA"/>
        </w:rPr>
        <w:t xml:space="preserve"> </w:t>
      </w:r>
      <w:r w:rsidR="003415CC" w:rsidRPr="000A38E5">
        <w:rPr>
          <w:szCs w:val="24"/>
          <w:lang w:val="uk-UA"/>
        </w:rPr>
        <w:t>покарання, накладеного судом першої інстанції</w:t>
      </w:r>
      <w:r w:rsidR="00831F5B" w:rsidRPr="00E93710">
        <w:rPr>
          <w:szCs w:val="24"/>
          <w:vertAlign w:val="superscript"/>
          <w:lang w:val="uk-UA"/>
        </w:rPr>
        <w:footnoteReference w:id="46"/>
      </w:r>
      <w:r w:rsidR="00831F5B" w:rsidRPr="00E93710">
        <w:rPr>
          <w:szCs w:val="24"/>
          <w:lang w:val="uk-UA"/>
        </w:rPr>
        <w:t xml:space="preserve">. </w:t>
      </w:r>
      <w:r w:rsidR="003415CC" w:rsidRPr="000A38E5">
        <w:rPr>
          <w:szCs w:val="24"/>
          <w:lang w:val="uk-UA"/>
        </w:rPr>
        <w:t>Більшість визнає цей факт, але обвинувачує заявника</w:t>
      </w:r>
      <w:r w:rsidR="00831F5B" w:rsidRPr="00E93710">
        <w:rPr>
          <w:szCs w:val="24"/>
          <w:lang w:val="uk-UA"/>
        </w:rPr>
        <w:t xml:space="preserve"> </w:t>
      </w:r>
      <w:r w:rsidR="003415CC" w:rsidRPr="000A38E5">
        <w:rPr>
          <w:szCs w:val="24"/>
          <w:lang w:val="uk-UA"/>
        </w:rPr>
        <w:t>за те, що він скористався своїм процесуальним правом оскаржити засудження</w:t>
      </w:r>
      <w:r w:rsidR="00831F5B" w:rsidRPr="00E93710">
        <w:rPr>
          <w:szCs w:val="24"/>
          <w:lang w:val="uk-UA"/>
        </w:rPr>
        <w:t xml:space="preserve"> </w:t>
      </w:r>
      <w:r w:rsidR="003415CC" w:rsidRPr="000A38E5">
        <w:rPr>
          <w:szCs w:val="24"/>
          <w:lang w:val="uk-UA"/>
        </w:rPr>
        <w:t>та просити про виправдання</w:t>
      </w:r>
      <w:r w:rsidR="00831F5B" w:rsidRPr="00E93710">
        <w:rPr>
          <w:szCs w:val="24"/>
          <w:vertAlign w:val="superscript"/>
          <w:lang w:val="uk-UA"/>
        </w:rPr>
        <w:footnoteReference w:id="47"/>
      </w:r>
      <w:r w:rsidR="00831F5B" w:rsidRPr="00E93710">
        <w:rPr>
          <w:szCs w:val="24"/>
          <w:lang w:val="uk-UA"/>
        </w:rPr>
        <w:t xml:space="preserve">. </w:t>
      </w:r>
      <w:r w:rsidR="007159DF" w:rsidRPr="000A38E5">
        <w:rPr>
          <w:szCs w:val="24"/>
          <w:lang w:val="uk-UA"/>
        </w:rPr>
        <w:t>Це є неприйнятною доганою у суді, тим більше – у суді з прав людини</w:t>
      </w:r>
      <w:r w:rsidR="00831F5B"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37</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7159DF" w:rsidRPr="000A38E5">
        <w:rPr>
          <w:szCs w:val="24"/>
          <w:lang w:val="uk-UA"/>
        </w:rPr>
        <w:t>Нарешті, у принципі</w:t>
      </w:r>
      <w:r w:rsidR="00831F5B" w:rsidRPr="00E93710">
        <w:rPr>
          <w:szCs w:val="24"/>
          <w:lang w:val="uk-UA"/>
        </w:rPr>
        <w:t xml:space="preserve">, </w:t>
      </w:r>
      <w:r w:rsidR="007159DF" w:rsidRPr="000A38E5">
        <w:rPr>
          <w:szCs w:val="24"/>
          <w:lang w:val="uk-UA"/>
        </w:rPr>
        <w:t>позбавлення волі за відмову залишити місце протесту</w:t>
      </w:r>
      <w:r w:rsidR="00831F5B" w:rsidRPr="00E93710">
        <w:rPr>
          <w:szCs w:val="24"/>
          <w:lang w:val="uk-UA"/>
        </w:rPr>
        <w:t xml:space="preserve"> </w:t>
      </w:r>
      <w:r w:rsidR="007159DF" w:rsidRPr="000A38E5">
        <w:rPr>
          <w:szCs w:val="24"/>
          <w:lang w:val="uk-UA"/>
        </w:rPr>
        <w:t>повинно вважатися непропорційним, незалежно від тривалості вироку</w:t>
      </w:r>
      <w:r w:rsidR="00831F5B" w:rsidRPr="00E93710">
        <w:rPr>
          <w:szCs w:val="24"/>
          <w:lang w:val="uk-UA"/>
        </w:rPr>
        <w:t xml:space="preserve">. </w:t>
      </w:r>
      <w:r w:rsidR="007159DF" w:rsidRPr="000A38E5">
        <w:rPr>
          <w:szCs w:val="24"/>
          <w:lang w:val="uk-UA"/>
        </w:rPr>
        <w:t>«Мирна демонстрація, у принципі, не повинна підлягати</w:t>
      </w:r>
      <w:r w:rsidR="00831F5B" w:rsidRPr="00E93710">
        <w:rPr>
          <w:szCs w:val="24"/>
          <w:lang w:val="uk-UA"/>
        </w:rPr>
        <w:t xml:space="preserve"> </w:t>
      </w:r>
      <w:r w:rsidR="007159DF" w:rsidRPr="000A38E5">
        <w:rPr>
          <w:szCs w:val="24"/>
          <w:lang w:val="uk-UA"/>
        </w:rPr>
        <w:t>загрозі кримінального покарання</w:t>
      </w:r>
      <w:r w:rsidR="00831F5B" w:rsidRPr="00E93710">
        <w:rPr>
          <w:szCs w:val="24"/>
          <w:lang w:val="uk-UA"/>
        </w:rPr>
        <w:t xml:space="preserve">, </w:t>
      </w:r>
      <w:r w:rsidR="007159DF" w:rsidRPr="000A38E5">
        <w:rPr>
          <w:szCs w:val="24"/>
          <w:lang w:val="uk-UA"/>
        </w:rPr>
        <w:t>зокрема – позбавленню волі»</w:t>
      </w:r>
      <w:r w:rsidR="00831F5B" w:rsidRPr="00E93710">
        <w:rPr>
          <w:szCs w:val="24"/>
          <w:vertAlign w:val="superscript"/>
          <w:lang w:val="uk-UA"/>
        </w:rPr>
        <w:footnoteReference w:id="48"/>
      </w:r>
      <w:r w:rsidR="00505A70"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38</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126506" w:rsidRPr="000A38E5">
        <w:rPr>
          <w:szCs w:val="24"/>
          <w:lang w:val="uk-UA"/>
        </w:rPr>
        <w:t>Ніщо не вказує, що заявник поводився жорстоко</w:t>
      </w:r>
      <w:r w:rsidR="00831F5B" w:rsidRPr="00E93710">
        <w:rPr>
          <w:szCs w:val="24"/>
          <w:lang w:val="uk-UA"/>
        </w:rPr>
        <w:t xml:space="preserve"> </w:t>
      </w:r>
      <w:r w:rsidR="00126506" w:rsidRPr="000A38E5">
        <w:rPr>
          <w:szCs w:val="24"/>
          <w:lang w:val="uk-UA"/>
        </w:rPr>
        <w:t>або агресивно протягом протесту</w:t>
      </w:r>
      <w:r w:rsidR="00831F5B" w:rsidRPr="00E93710">
        <w:rPr>
          <w:szCs w:val="24"/>
          <w:lang w:val="uk-UA"/>
        </w:rPr>
        <w:t xml:space="preserve"> </w:t>
      </w:r>
      <w:r w:rsidR="00126506" w:rsidRPr="000A38E5">
        <w:rPr>
          <w:szCs w:val="24"/>
          <w:lang w:val="uk-UA"/>
        </w:rPr>
        <w:t>або протягом опору зусиллям міліції щодо його видалення</w:t>
      </w:r>
      <w:r w:rsidR="00831F5B" w:rsidRPr="00E93710">
        <w:rPr>
          <w:szCs w:val="24"/>
          <w:lang w:val="uk-UA"/>
        </w:rPr>
        <w:t xml:space="preserve">. </w:t>
      </w:r>
      <w:proofErr w:type="spellStart"/>
      <w:r w:rsidR="00126506" w:rsidRPr="000A38E5">
        <w:rPr>
          <w:szCs w:val="24"/>
          <w:lang w:val="uk-UA"/>
        </w:rPr>
        <w:t>Стверджувану</w:t>
      </w:r>
      <w:proofErr w:type="spellEnd"/>
      <w:r w:rsidR="00126506" w:rsidRPr="000A38E5">
        <w:rPr>
          <w:szCs w:val="24"/>
          <w:lang w:val="uk-UA"/>
        </w:rPr>
        <w:t xml:space="preserve"> відмову заявника виконати наказ міліції</w:t>
      </w:r>
      <w:r w:rsidR="00831F5B" w:rsidRPr="00E93710">
        <w:rPr>
          <w:szCs w:val="24"/>
          <w:lang w:val="uk-UA"/>
        </w:rPr>
        <w:t xml:space="preserve"> </w:t>
      </w:r>
      <w:r w:rsidR="00126506" w:rsidRPr="000A38E5">
        <w:rPr>
          <w:szCs w:val="24"/>
          <w:lang w:val="uk-UA"/>
        </w:rPr>
        <w:t>дійсно слід розглядати, як продовження його протесту</w:t>
      </w:r>
      <w:r w:rsidR="00831F5B" w:rsidRPr="00E93710">
        <w:rPr>
          <w:szCs w:val="24"/>
          <w:lang w:val="uk-UA"/>
        </w:rPr>
        <w:t xml:space="preserve">. </w:t>
      </w:r>
      <w:r w:rsidR="00126506" w:rsidRPr="000A38E5">
        <w:rPr>
          <w:szCs w:val="24"/>
          <w:lang w:val="uk-UA"/>
        </w:rPr>
        <w:t>За відсутності будь-яких ознак насилля з боку шостого заявника</w:t>
      </w:r>
      <w:r w:rsidR="00831F5B" w:rsidRPr="00E93710">
        <w:rPr>
          <w:szCs w:val="24"/>
          <w:lang w:val="uk-UA"/>
        </w:rPr>
        <w:t xml:space="preserve"> </w:t>
      </w:r>
      <w:r w:rsidR="00D27A8A" w:rsidRPr="000A38E5">
        <w:rPr>
          <w:szCs w:val="24"/>
          <w:lang w:val="uk-UA"/>
        </w:rPr>
        <w:t>позбавлення волі будь-якої тривалості у цьому контексті не може бути виправданим</w:t>
      </w:r>
      <w:r w:rsidR="00831F5B"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39</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B61E4D" w:rsidRPr="000A38E5">
        <w:rPr>
          <w:szCs w:val="24"/>
          <w:lang w:val="uk-UA"/>
        </w:rPr>
        <w:t>На відміну від кримінальних засуджень</w:t>
      </w:r>
      <w:r w:rsidR="00831F5B" w:rsidRPr="00E93710">
        <w:rPr>
          <w:szCs w:val="24"/>
          <w:lang w:val="uk-UA"/>
        </w:rPr>
        <w:t xml:space="preserve">, </w:t>
      </w:r>
      <w:r w:rsidR="00B61E4D" w:rsidRPr="000A38E5">
        <w:rPr>
          <w:szCs w:val="24"/>
          <w:lang w:val="uk-UA"/>
        </w:rPr>
        <w:t>насилля та агресія при спробах видалити заявників з місця протесту</w:t>
      </w:r>
      <w:r w:rsidR="00831F5B" w:rsidRPr="00E93710">
        <w:rPr>
          <w:szCs w:val="24"/>
          <w:lang w:val="uk-UA"/>
        </w:rPr>
        <w:t xml:space="preserve"> </w:t>
      </w:r>
      <w:r w:rsidR="00B61E4D" w:rsidRPr="000A38E5">
        <w:rPr>
          <w:szCs w:val="24"/>
          <w:lang w:val="uk-UA"/>
        </w:rPr>
        <w:t>не можуть вважатися необхідними у демократичному суспільстві</w:t>
      </w:r>
      <w:r w:rsidR="00831F5B" w:rsidRPr="00E93710">
        <w:rPr>
          <w:szCs w:val="24"/>
          <w:lang w:val="uk-UA"/>
        </w:rPr>
        <w:t xml:space="preserve">. </w:t>
      </w:r>
      <w:r w:rsidR="00B61E4D" w:rsidRPr="000A38E5">
        <w:rPr>
          <w:szCs w:val="24"/>
          <w:lang w:val="uk-UA"/>
        </w:rPr>
        <w:t>За словами заявників, у період з 20 травня</w:t>
      </w:r>
      <w:r w:rsidR="00831F5B" w:rsidRPr="00E93710">
        <w:rPr>
          <w:szCs w:val="24"/>
          <w:lang w:val="uk-UA"/>
        </w:rPr>
        <w:t xml:space="preserve"> </w:t>
      </w:r>
      <w:r w:rsidR="00B61E4D" w:rsidRPr="000A38E5">
        <w:rPr>
          <w:szCs w:val="24"/>
          <w:lang w:val="uk-UA"/>
        </w:rPr>
        <w:t>до 6 червня</w:t>
      </w:r>
      <w:r w:rsidR="00831F5B" w:rsidRPr="00E93710">
        <w:rPr>
          <w:szCs w:val="24"/>
          <w:lang w:val="uk-UA"/>
        </w:rPr>
        <w:t xml:space="preserve"> 2010 </w:t>
      </w:r>
      <w:r w:rsidR="00B61E4D" w:rsidRPr="000A38E5">
        <w:rPr>
          <w:szCs w:val="24"/>
          <w:lang w:val="uk-UA"/>
        </w:rPr>
        <w:t>р. вони зазнали фізичного насилля з боку робітників та охоронців</w:t>
      </w:r>
      <w:r w:rsidR="00831F5B" w:rsidRPr="00E93710">
        <w:rPr>
          <w:szCs w:val="24"/>
          <w:lang w:val="uk-UA"/>
        </w:rPr>
        <w:t xml:space="preserve">, </w:t>
      </w:r>
      <w:r w:rsidR="000221FA" w:rsidRPr="000A38E5">
        <w:rPr>
          <w:szCs w:val="24"/>
          <w:lang w:val="uk-UA"/>
        </w:rPr>
        <w:t>а також усних загроз</w:t>
      </w:r>
      <w:r w:rsidR="00831F5B" w:rsidRPr="00E93710">
        <w:rPr>
          <w:szCs w:val="24"/>
          <w:vertAlign w:val="superscript"/>
          <w:lang w:val="uk-UA"/>
        </w:rPr>
        <w:footnoteReference w:id="49"/>
      </w:r>
      <w:r w:rsidR="00831F5B" w:rsidRPr="00E93710">
        <w:rPr>
          <w:szCs w:val="24"/>
          <w:lang w:val="uk-UA"/>
        </w:rPr>
        <w:t xml:space="preserve">. </w:t>
      </w:r>
      <w:r w:rsidR="000221FA" w:rsidRPr="000A38E5">
        <w:rPr>
          <w:szCs w:val="24"/>
          <w:lang w:val="uk-UA"/>
        </w:rPr>
        <w:t>На мою думку, ці випадки насилля не були належним чином взяті до уваги</w:t>
      </w:r>
      <w:r w:rsidR="00831F5B" w:rsidRPr="00E93710">
        <w:rPr>
          <w:szCs w:val="24"/>
          <w:lang w:val="uk-UA"/>
        </w:rPr>
        <w:t>.</w:t>
      </w:r>
    </w:p>
    <w:p w:rsidR="00831F5B" w:rsidRPr="00E93710"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40</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5E43E3" w:rsidRPr="000A38E5">
        <w:rPr>
          <w:szCs w:val="24"/>
          <w:lang w:val="uk-UA"/>
        </w:rPr>
        <w:t>Хоча деяке фізичне втручання може бути прийнятним в якості останнього засобу</w:t>
      </w:r>
      <w:r w:rsidR="00831F5B" w:rsidRPr="00E93710">
        <w:rPr>
          <w:szCs w:val="24"/>
          <w:lang w:val="uk-UA"/>
        </w:rPr>
        <w:t xml:space="preserve"> </w:t>
      </w:r>
      <w:r w:rsidR="005E43E3" w:rsidRPr="000A38E5">
        <w:rPr>
          <w:szCs w:val="24"/>
          <w:lang w:val="uk-UA"/>
        </w:rPr>
        <w:t>фізичного видалення протестуючих з місця, яке вони відмовляються покидати</w:t>
      </w:r>
      <w:r w:rsidR="00831F5B" w:rsidRPr="00E93710">
        <w:rPr>
          <w:szCs w:val="24"/>
          <w:lang w:val="uk-UA"/>
        </w:rPr>
        <w:t xml:space="preserve">, </w:t>
      </w:r>
      <w:r w:rsidR="005E43E3" w:rsidRPr="000A38E5">
        <w:rPr>
          <w:szCs w:val="24"/>
          <w:lang w:val="uk-UA"/>
        </w:rPr>
        <w:t>відеозаписи, фотографії, медичні докази та твердження свідків</w:t>
      </w:r>
      <w:r w:rsidR="00831F5B" w:rsidRPr="00E93710">
        <w:rPr>
          <w:szCs w:val="24"/>
          <w:lang w:val="uk-UA"/>
        </w:rPr>
        <w:t xml:space="preserve"> </w:t>
      </w:r>
      <w:r w:rsidR="005E43E3" w:rsidRPr="000A38E5">
        <w:rPr>
          <w:szCs w:val="24"/>
          <w:lang w:val="uk-UA"/>
        </w:rPr>
        <w:t>чітко демонструють, що рівень сили, застосованої у цій справі, бу</w:t>
      </w:r>
      <w:r w:rsidR="00F76B8E" w:rsidRPr="000A38E5">
        <w:rPr>
          <w:szCs w:val="24"/>
          <w:lang w:val="uk-UA"/>
        </w:rPr>
        <w:t>в</w:t>
      </w:r>
      <w:r w:rsidR="005E43E3" w:rsidRPr="000A38E5">
        <w:rPr>
          <w:szCs w:val="24"/>
          <w:lang w:val="uk-UA"/>
        </w:rPr>
        <w:t xml:space="preserve"> настільки надмірний,</w:t>
      </w:r>
      <w:r w:rsidR="00831F5B" w:rsidRPr="00E93710">
        <w:rPr>
          <w:szCs w:val="24"/>
          <w:lang w:val="uk-UA"/>
        </w:rPr>
        <w:t xml:space="preserve"> </w:t>
      </w:r>
      <w:r w:rsidR="005E43E3" w:rsidRPr="000A38E5">
        <w:rPr>
          <w:szCs w:val="24"/>
          <w:lang w:val="uk-UA"/>
        </w:rPr>
        <w:t>що це призвело до травм учасників</w:t>
      </w:r>
      <w:r w:rsidR="00831F5B" w:rsidRPr="00E93710">
        <w:rPr>
          <w:szCs w:val="24"/>
          <w:lang w:val="uk-UA"/>
        </w:rPr>
        <w:t xml:space="preserve">. </w:t>
      </w:r>
      <w:r w:rsidR="001D3F97" w:rsidRPr="000A38E5">
        <w:rPr>
          <w:szCs w:val="24"/>
          <w:lang w:val="uk-UA"/>
        </w:rPr>
        <w:t>Приймаючи до уваги, що ніхто з заявників не був озброєний та не загрожував застосуванням насилля,</w:t>
      </w:r>
      <w:r w:rsidR="00831F5B" w:rsidRPr="00E93710">
        <w:rPr>
          <w:szCs w:val="24"/>
          <w:lang w:val="uk-UA"/>
        </w:rPr>
        <w:t xml:space="preserve"> </w:t>
      </w:r>
      <w:r w:rsidR="001D3F97" w:rsidRPr="000A38E5">
        <w:rPr>
          <w:szCs w:val="24"/>
          <w:lang w:val="uk-UA"/>
        </w:rPr>
        <w:t>і що кількість учасників протесту не була більшою,</w:t>
      </w:r>
      <w:r w:rsidR="00831F5B" w:rsidRPr="00E93710">
        <w:rPr>
          <w:szCs w:val="24"/>
          <w:lang w:val="uk-UA"/>
        </w:rPr>
        <w:t xml:space="preserve"> </w:t>
      </w:r>
      <w:r w:rsidR="001D3F97" w:rsidRPr="000A38E5">
        <w:rPr>
          <w:szCs w:val="24"/>
          <w:lang w:val="uk-UA"/>
        </w:rPr>
        <w:t>ніж кількість охоронців та міліціонерів</w:t>
      </w:r>
      <w:r w:rsidR="00831F5B" w:rsidRPr="00E93710">
        <w:rPr>
          <w:szCs w:val="24"/>
          <w:lang w:val="uk-UA"/>
        </w:rPr>
        <w:t xml:space="preserve">, </w:t>
      </w:r>
      <w:r w:rsidR="001D3F97" w:rsidRPr="000A38E5">
        <w:rPr>
          <w:szCs w:val="24"/>
          <w:lang w:val="uk-UA"/>
        </w:rPr>
        <w:t>я не можу підтримати позицію, що їх засудження було «необхідним у демократичному суспільстві»</w:t>
      </w:r>
      <w:r w:rsidR="00831F5B" w:rsidRPr="00E93710">
        <w:rPr>
          <w:szCs w:val="24"/>
          <w:lang w:val="uk-UA"/>
        </w:rPr>
        <w:t>.</w:t>
      </w:r>
    </w:p>
    <w:p w:rsidR="00831F5B" w:rsidRPr="00E93710" w:rsidRDefault="001D3F97" w:rsidP="00852217">
      <w:pPr>
        <w:pStyle w:val="OpiPara"/>
        <w:rPr>
          <w:szCs w:val="24"/>
          <w:lang w:val="uk-UA"/>
        </w:rPr>
      </w:pPr>
      <w:r w:rsidRPr="000A38E5">
        <w:rPr>
          <w:szCs w:val="24"/>
          <w:lang w:val="uk-UA"/>
        </w:rPr>
        <w:t>Відповідно, мало місце порушення статті 11 Конвенції у зв’язку з арештом, засудженням та покаранням заявників з третього до шостого</w:t>
      </w:r>
      <w:r w:rsidR="00831F5B" w:rsidRPr="00E93710">
        <w:rPr>
          <w:szCs w:val="24"/>
          <w:lang w:val="uk-UA"/>
        </w:rPr>
        <w:t>.</w:t>
      </w:r>
    </w:p>
    <w:p w:rsidR="00F41606" w:rsidRPr="000A38E5" w:rsidRDefault="00F41606" w:rsidP="00852217">
      <w:pPr>
        <w:pStyle w:val="OpiH1"/>
        <w:rPr>
          <w:lang w:val="uk-UA"/>
        </w:rPr>
      </w:pPr>
      <w:r w:rsidRPr="00E93710">
        <w:rPr>
          <w:lang w:val="uk-UA"/>
        </w:rPr>
        <w:t>IV.</w:t>
      </w:r>
      <w:r w:rsidR="0019756B" w:rsidRPr="00E93710">
        <w:rPr>
          <w:lang w:val="uk-UA"/>
        </w:rPr>
        <w:t> </w:t>
      </w:r>
      <w:r w:rsidR="0019756B" w:rsidRPr="000A38E5">
        <w:rPr>
          <w:lang w:val="uk-UA"/>
        </w:rPr>
        <w:t>Висновок</w:t>
      </w:r>
    </w:p>
    <w:p w:rsidR="00831F5B" w:rsidRDefault="004E7608" w:rsidP="00852217">
      <w:pPr>
        <w:pStyle w:val="OpiPara"/>
        <w:rPr>
          <w:szCs w:val="24"/>
          <w:lang w:val="uk-UA"/>
        </w:rPr>
      </w:pPr>
      <w:r w:rsidRPr="00E93710">
        <w:rPr>
          <w:szCs w:val="24"/>
          <w:lang w:val="uk-UA"/>
        </w:rPr>
        <w:fldChar w:fldCharType="begin"/>
      </w:r>
      <w:r w:rsidR="00831F5B" w:rsidRPr="00E93710">
        <w:rPr>
          <w:szCs w:val="24"/>
          <w:lang w:val="uk-UA"/>
        </w:rPr>
        <w:instrText xml:space="preserve"> SEQ level0 \*arabic </w:instrText>
      </w:r>
      <w:r w:rsidRPr="00E93710">
        <w:rPr>
          <w:szCs w:val="24"/>
          <w:lang w:val="uk-UA"/>
        </w:rPr>
        <w:fldChar w:fldCharType="separate"/>
      </w:r>
      <w:r w:rsidR="0075299E" w:rsidRPr="00E93710">
        <w:rPr>
          <w:noProof/>
          <w:szCs w:val="24"/>
          <w:lang w:val="uk-UA"/>
        </w:rPr>
        <w:t>41</w:t>
      </w:r>
      <w:r w:rsidRPr="00E93710">
        <w:rPr>
          <w:szCs w:val="24"/>
          <w:lang w:val="uk-UA"/>
        </w:rPr>
        <w:fldChar w:fldCharType="end"/>
      </w:r>
      <w:r w:rsidR="00831F5B" w:rsidRPr="00E93710">
        <w:rPr>
          <w:szCs w:val="24"/>
          <w:lang w:val="uk-UA"/>
        </w:rPr>
        <w:t>.</w:t>
      </w:r>
      <w:r w:rsidR="00334477" w:rsidRPr="000A38E5">
        <w:rPr>
          <w:szCs w:val="24"/>
          <w:lang w:val="uk-UA"/>
        </w:rPr>
        <w:t xml:space="preserve"> </w:t>
      </w:r>
      <w:r w:rsidR="0019756B" w:rsidRPr="000A38E5">
        <w:rPr>
          <w:szCs w:val="24"/>
          <w:lang w:val="uk-UA"/>
        </w:rPr>
        <w:t>Ця справа є надзвичайно важливою</w:t>
      </w:r>
      <w:r w:rsidR="00831F5B" w:rsidRPr="00E93710">
        <w:rPr>
          <w:szCs w:val="24"/>
          <w:lang w:val="uk-UA"/>
        </w:rPr>
        <w:t xml:space="preserve">, </w:t>
      </w:r>
      <w:r w:rsidR="0019756B" w:rsidRPr="000A38E5">
        <w:rPr>
          <w:szCs w:val="24"/>
          <w:lang w:val="uk-UA"/>
        </w:rPr>
        <w:t>через позицію Суду по відношенню до</w:t>
      </w:r>
      <w:r w:rsidR="00831F5B" w:rsidRPr="000A38E5">
        <w:rPr>
          <w:szCs w:val="24"/>
          <w:lang w:val="uk-UA"/>
        </w:rPr>
        <w:t xml:space="preserve"> </w:t>
      </w:r>
      <w:r w:rsidR="0019756B" w:rsidRPr="000A38E5">
        <w:rPr>
          <w:szCs w:val="24"/>
          <w:lang w:val="uk-UA"/>
        </w:rPr>
        <w:t>відповідальності держави-відповідача за дії приватних охоронців</w:t>
      </w:r>
      <w:r w:rsidR="00831F5B" w:rsidRPr="000A38E5">
        <w:rPr>
          <w:szCs w:val="24"/>
          <w:lang w:val="uk-UA"/>
        </w:rPr>
        <w:t xml:space="preserve"> </w:t>
      </w:r>
      <w:r w:rsidR="0092056B" w:rsidRPr="000A38E5">
        <w:rPr>
          <w:szCs w:val="24"/>
          <w:lang w:val="uk-UA"/>
        </w:rPr>
        <w:t>при їх втручанні у право на демонстрацію</w:t>
      </w:r>
      <w:r w:rsidR="00831F5B" w:rsidRPr="000A38E5">
        <w:rPr>
          <w:szCs w:val="24"/>
          <w:lang w:val="uk-UA"/>
        </w:rPr>
        <w:t xml:space="preserve">. </w:t>
      </w:r>
      <w:r w:rsidR="0092056B" w:rsidRPr="000A38E5">
        <w:rPr>
          <w:szCs w:val="24"/>
          <w:lang w:val="uk-UA"/>
        </w:rPr>
        <w:t>На жаль, за цим правильним рішенням не прослідувала така ж правильна оцінка</w:t>
      </w:r>
      <w:r w:rsidR="00831F5B" w:rsidRPr="000A38E5">
        <w:rPr>
          <w:szCs w:val="24"/>
          <w:lang w:val="uk-UA"/>
        </w:rPr>
        <w:t xml:space="preserve"> </w:t>
      </w:r>
      <w:r w:rsidR="0092056B" w:rsidRPr="000A38E5">
        <w:rPr>
          <w:szCs w:val="24"/>
          <w:lang w:val="uk-UA"/>
        </w:rPr>
        <w:t>фактів</w:t>
      </w:r>
      <w:r w:rsidR="00831F5B" w:rsidRPr="000A38E5">
        <w:rPr>
          <w:szCs w:val="24"/>
          <w:lang w:val="uk-UA"/>
        </w:rPr>
        <w:t xml:space="preserve">, </w:t>
      </w:r>
      <w:r w:rsidR="003C5E88" w:rsidRPr="000A38E5">
        <w:rPr>
          <w:szCs w:val="24"/>
          <w:lang w:val="uk-UA"/>
        </w:rPr>
        <w:t>що демонструвало вражаючу логічну непослідовність,</w:t>
      </w:r>
      <w:r w:rsidR="00831F5B" w:rsidRPr="000A38E5">
        <w:rPr>
          <w:szCs w:val="24"/>
          <w:lang w:val="uk-UA"/>
        </w:rPr>
        <w:t xml:space="preserve"> </w:t>
      </w:r>
      <w:r w:rsidR="003C5E88" w:rsidRPr="000A38E5">
        <w:rPr>
          <w:szCs w:val="24"/>
          <w:lang w:val="uk-UA"/>
        </w:rPr>
        <w:t>яку усугубляла неправильна оцінка</w:t>
      </w:r>
      <w:r w:rsidR="00831F5B" w:rsidRPr="000A38E5">
        <w:rPr>
          <w:szCs w:val="24"/>
          <w:lang w:val="uk-UA"/>
        </w:rPr>
        <w:t xml:space="preserve"> </w:t>
      </w:r>
      <w:r w:rsidR="003C5E88" w:rsidRPr="000A38E5">
        <w:rPr>
          <w:szCs w:val="24"/>
          <w:lang w:val="uk-UA"/>
        </w:rPr>
        <w:t>процесуальних обов’язків шостого заявника</w:t>
      </w:r>
      <w:r w:rsidR="00831F5B" w:rsidRPr="000A38E5">
        <w:rPr>
          <w:szCs w:val="24"/>
          <w:lang w:val="uk-UA"/>
        </w:rPr>
        <w:t xml:space="preserve">. </w:t>
      </w:r>
      <w:r w:rsidR="00532F8D" w:rsidRPr="000A38E5">
        <w:rPr>
          <w:szCs w:val="24"/>
          <w:lang w:val="uk-UA"/>
        </w:rPr>
        <w:t>Я боюся, щ</w:t>
      </w:r>
      <w:r w:rsidR="003C5E88" w:rsidRPr="000A38E5">
        <w:rPr>
          <w:szCs w:val="24"/>
          <w:lang w:val="uk-UA"/>
        </w:rPr>
        <w:t>о репресивний тон деяких уривків рішення</w:t>
      </w:r>
      <w:r w:rsidR="00831F5B" w:rsidRPr="00E93710">
        <w:rPr>
          <w:szCs w:val="24"/>
          <w:lang w:val="uk-UA"/>
        </w:rPr>
        <w:t xml:space="preserve"> </w:t>
      </w:r>
      <w:bookmarkStart w:id="87" w:name="_GoBack"/>
      <w:bookmarkEnd w:id="87"/>
      <w:r w:rsidR="003C5E88" w:rsidRPr="000A38E5">
        <w:rPr>
          <w:szCs w:val="24"/>
          <w:lang w:val="uk-UA"/>
        </w:rPr>
        <w:t>є лише ознакою неліберальних настроїв, які виникають у Страсбур</w:t>
      </w:r>
      <w:r w:rsidR="00F75930" w:rsidRPr="000A38E5">
        <w:rPr>
          <w:szCs w:val="24"/>
          <w:lang w:val="uk-UA"/>
        </w:rPr>
        <w:t>зі</w:t>
      </w:r>
      <w:r w:rsidR="00831F5B" w:rsidRPr="00E93710">
        <w:rPr>
          <w:szCs w:val="24"/>
          <w:lang w:val="uk-UA"/>
        </w:rPr>
        <w:t>.</w:t>
      </w:r>
    </w:p>
    <w:p w:rsidR="0005679A" w:rsidRDefault="0005679A" w:rsidP="00852217">
      <w:pPr>
        <w:pStyle w:val="OpiPara"/>
        <w:rPr>
          <w:szCs w:val="24"/>
          <w:lang w:val="uk-UA"/>
        </w:rPr>
      </w:pPr>
    </w:p>
    <w:p w:rsidR="0005679A" w:rsidRDefault="0005679A" w:rsidP="00852217">
      <w:pPr>
        <w:pStyle w:val="OpiPara"/>
        <w:rPr>
          <w:szCs w:val="24"/>
          <w:lang w:val="uk-UA"/>
        </w:rPr>
      </w:pPr>
    </w:p>
    <w:p w:rsidR="0005679A" w:rsidRPr="0005679A" w:rsidRDefault="004E7608" w:rsidP="00852217">
      <w:pPr>
        <w:pStyle w:val="OpiPara"/>
        <w:rPr>
          <w:i/>
          <w:iCs/>
          <w:szCs w:val="24"/>
          <w:lang w:val="uk-UA"/>
        </w:rPr>
      </w:pPr>
      <w:r w:rsidRPr="004E7608">
        <w:rPr>
          <w:i/>
          <w:iCs/>
          <w:szCs w:val="24"/>
          <w:lang w:val="uk-UA"/>
        </w:rPr>
        <w:t>Переклад Харківської правозахисної групи.</w:t>
      </w:r>
    </w:p>
    <w:sectPr w:rsidR="0005679A" w:rsidRPr="0005679A" w:rsidSect="00DE1FF9">
      <w:headerReference w:type="even" r:id="rId18"/>
      <w:headerReference w:type="default" r:id="rId19"/>
      <w:footnotePr>
        <w:numRestart w:val="eachSect"/>
      </w:footnotePr>
      <w:pgSz w:w="11906" w:h="16838" w:code="9"/>
      <w:pgMar w:top="851" w:right="851" w:bottom="851" w:left="851" w:header="1701"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301" w:rsidRPr="008D5A13" w:rsidRDefault="00AE5301" w:rsidP="0098410D">
      <w:r w:rsidRPr="008D5A13">
        <w:separator/>
      </w:r>
    </w:p>
  </w:endnote>
  <w:endnote w:type="continuationSeparator" w:id="0">
    <w:p w:rsidR="00AE5301" w:rsidRPr="008D5A13" w:rsidRDefault="00AE5301" w:rsidP="0098410D">
      <w:r w:rsidRPr="008D5A13">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oteworthy-Light">
    <w:altName w:val="Times New Roman"/>
    <w:charset w:val="00"/>
    <w:family w:val="auto"/>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6A" w:rsidRPr="00150BFA" w:rsidRDefault="00B75984" w:rsidP="00D83351">
    <w:pPr>
      <w:jc w:val="center"/>
    </w:pPr>
    <w:r w:rsidRPr="004E7608">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61.1pt;height:48.55pt;visibility:visible">
          <v:imagedata r:id="rId1" o:title="ECHR_CoverpageCS61_ECHR_Coverpage_Footer_COE_Black"/>
        </v:shape>
      </w:pict>
    </w:r>
  </w:p>
  <w:p w:rsidR="00D4256A" w:rsidRPr="008D5A13" w:rsidRDefault="00D4256A" w:rsidP="00D83351">
    <w:pPr>
      <w:pStyle w:val="af2"/>
      <w:jc w:val="center"/>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6A" w:rsidRDefault="00D4256A">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6A" w:rsidRPr="000B7195" w:rsidRDefault="00D4256A" w:rsidP="00D8335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301" w:rsidRPr="008D5A13" w:rsidRDefault="00AE5301" w:rsidP="0098410D">
      <w:r w:rsidRPr="008D5A13">
        <w:separator/>
      </w:r>
    </w:p>
  </w:footnote>
  <w:footnote w:type="continuationSeparator" w:id="0">
    <w:p w:rsidR="00AE5301" w:rsidRPr="008D5A13" w:rsidRDefault="00AE5301" w:rsidP="0098410D">
      <w:r w:rsidRPr="008D5A13">
        <w:continuationSeparator/>
      </w:r>
    </w:p>
  </w:footnote>
  <w:footnote w:id="1">
    <w:p w:rsidR="00D4256A" w:rsidRPr="002B531F" w:rsidRDefault="00D4256A" w:rsidP="00E93710">
      <w:pPr>
        <w:pStyle w:val="af5"/>
        <w:jc w:val="left"/>
        <w:rPr>
          <w:lang w:val="ru-RU"/>
        </w:rPr>
      </w:pPr>
      <w:r>
        <w:rPr>
          <w:rStyle w:val="af4"/>
        </w:rPr>
        <w:footnoteRef/>
      </w:r>
      <w:r w:rsidRPr="00E913A1">
        <w:rPr>
          <w:lang w:val="ru-RU"/>
        </w:rPr>
        <w:t xml:space="preserve"> </w:t>
      </w:r>
      <w:r>
        <w:rPr>
          <w:lang w:val="uk-UA"/>
        </w:rPr>
        <w:t>Це викладення ключових питань надається</w:t>
      </w:r>
      <w:r w:rsidRPr="00E913A1">
        <w:rPr>
          <w:lang w:val="ru-RU"/>
        </w:rPr>
        <w:t xml:space="preserve"> </w:t>
      </w:r>
      <w:r>
        <w:rPr>
          <w:lang w:val="uk-UA"/>
        </w:rPr>
        <w:t>лише для полегшення читання подальшого рішення</w:t>
      </w:r>
      <w:r w:rsidRPr="00E913A1">
        <w:rPr>
          <w:lang w:val="ru-RU"/>
        </w:rPr>
        <w:t xml:space="preserve">. </w:t>
      </w:r>
      <w:r>
        <w:rPr>
          <w:lang w:val="uk-UA"/>
        </w:rPr>
        <w:t>Тому воно є спрощеним та не може вважатися частиною обґрунтування Суду</w:t>
      </w:r>
      <w:r w:rsidRPr="002B531F">
        <w:rPr>
          <w:lang w:val="ru-RU"/>
        </w:rPr>
        <w:t>.</w:t>
      </w:r>
    </w:p>
  </w:footnote>
  <w:footnote w:id="2">
    <w:p w:rsidR="00D4256A" w:rsidRPr="002731E5" w:rsidRDefault="00D4256A" w:rsidP="00E93710">
      <w:pPr>
        <w:pStyle w:val="af5"/>
        <w:jc w:val="left"/>
        <w:rPr>
          <w:b/>
        </w:rPr>
      </w:pPr>
      <w:r w:rsidRPr="00121B3C">
        <w:rPr>
          <w:rStyle w:val="af4"/>
          <w:vertAlign w:val="baseline"/>
        </w:rPr>
        <w:footnoteRef/>
      </w:r>
      <w:r>
        <w:t xml:space="preserve">. </w:t>
      </w:r>
      <w:r>
        <w:rPr>
          <w:lang w:val="uk-UA"/>
        </w:rPr>
        <w:t>Див., наприклад</w:t>
      </w:r>
      <w:r w:rsidRPr="00121B3C">
        <w:t xml:space="preserve">, </w:t>
      </w:r>
      <w:hyperlink r:id="rId1" w:history="1">
        <w:r w:rsidRPr="00121B3C">
          <w:rPr>
            <w:rStyle w:val="af7"/>
            <w:color w:val="auto"/>
          </w:rPr>
          <w:t>https://www.youtube.com/watch?v=chOJV43g4Vw&amp;t=104s</w:t>
        </w:r>
      </w:hyperlink>
      <w:r w:rsidRPr="00121B3C">
        <w:t xml:space="preserve"> and </w:t>
      </w:r>
      <w:hyperlink r:id="rId2" w:history="1">
        <w:r w:rsidRPr="00121B3C">
          <w:rPr>
            <w:rStyle w:val="af7"/>
            <w:color w:val="auto"/>
          </w:rPr>
          <w:t>https://www.youtube.com/watch?v=aoYl6D2x0-w</w:t>
        </w:r>
      </w:hyperlink>
      <w:r w:rsidRPr="00121B3C">
        <w:t xml:space="preserve"> (</w:t>
      </w:r>
      <w:r w:rsidRPr="00E40A6F">
        <w:t>last visited on 11 June 2018).</w:t>
      </w:r>
    </w:p>
  </w:footnote>
  <w:footnote w:id="3">
    <w:p w:rsidR="00D4256A" w:rsidRPr="00FB6B8A" w:rsidRDefault="00D4256A" w:rsidP="00E93710">
      <w:pPr>
        <w:pStyle w:val="af5"/>
        <w:jc w:val="left"/>
      </w:pPr>
      <w:r w:rsidRPr="00FB6B8A">
        <w:rPr>
          <w:rStyle w:val="af4"/>
        </w:rPr>
        <w:footnoteRef/>
      </w:r>
      <w:r w:rsidRPr="00FB6B8A">
        <w:t xml:space="preserve"> §</w:t>
      </w:r>
      <w:r w:rsidRPr="00FB6B8A">
        <w:rPr>
          <w:rFonts w:eastAsia="Batang"/>
          <w:lang w:eastAsia="ko-KR"/>
        </w:rPr>
        <w:t xml:space="preserve"> 163 </w:t>
      </w:r>
      <w:r>
        <w:rPr>
          <w:rFonts w:eastAsia="Batang"/>
          <w:lang w:val="uk-UA" w:eastAsia="ko-KR"/>
        </w:rPr>
        <w:t>рішення</w:t>
      </w:r>
      <w:r w:rsidRPr="00FB6B8A">
        <w:rPr>
          <w:rFonts w:eastAsia="Batang"/>
          <w:lang w:eastAsia="ko-KR"/>
        </w:rPr>
        <w:t>.</w:t>
      </w:r>
    </w:p>
  </w:footnote>
  <w:footnote w:id="4">
    <w:p w:rsidR="00D4256A" w:rsidRPr="00FB6B8A" w:rsidRDefault="00D4256A" w:rsidP="00E93710">
      <w:pPr>
        <w:pStyle w:val="af5"/>
        <w:jc w:val="left"/>
      </w:pPr>
      <w:r w:rsidRPr="00FB6B8A">
        <w:rPr>
          <w:rStyle w:val="af4"/>
        </w:rPr>
        <w:footnoteRef/>
      </w:r>
      <w:r w:rsidRPr="00FB6B8A">
        <w:t xml:space="preserve"> § 164 </w:t>
      </w:r>
      <w:r>
        <w:rPr>
          <w:lang w:val="uk-UA"/>
        </w:rPr>
        <w:t>рішення</w:t>
      </w:r>
      <w:r w:rsidRPr="00FB6B8A">
        <w:t>.</w:t>
      </w:r>
    </w:p>
  </w:footnote>
  <w:footnote w:id="5">
    <w:p w:rsidR="00D4256A" w:rsidRPr="00FB6B8A" w:rsidRDefault="00D4256A" w:rsidP="00E93710">
      <w:pPr>
        <w:pStyle w:val="af5"/>
        <w:jc w:val="left"/>
      </w:pPr>
      <w:r w:rsidRPr="00FB6B8A">
        <w:rPr>
          <w:rStyle w:val="af4"/>
        </w:rPr>
        <w:footnoteRef/>
      </w:r>
      <w:r w:rsidRPr="00FB6B8A">
        <w:t xml:space="preserve"> </w:t>
      </w:r>
      <w:r>
        <w:rPr>
          <w:lang w:val="uk-UA"/>
        </w:rPr>
        <w:t>Див.</w:t>
      </w:r>
      <w:r w:rsidRPr="00FB6B8A">
        <w:t xml:space="preserve"> </w:t>
      </w:r>
      <w:proofErr w:type="spellStart"/>
      <w:proofErr w:type="gramStart"/>
      <w:r w:rsidRPr="00FB6B8A">
        <w:rPr>
          <w:i/>
        </w:rPr>
        <w:t>Sudarkov</w:t>
      </w:r>
      <w:proofErr w:type="spellEnd"/>
      <w:r w:rsidRPr="00FB6B8A">
        <w:rPr>
          <w:i/>
        </w:rPr>
        <w:t xml:space="preserve"> v. Russia</w:t>
      </w:r>
      <w:r w:rsidRPr="00FB6B8A">
        <w:t xml:space="preserve"> </w:t>
      </w:r>
      <w:r>
        <w:t>(</w:t>
      </w:r>
      <w:r>
        <w:rPr>
          <w:lang w:val="uk-UA"/>
        </w:rPr>
        <w:t>№</w:t>
      </w:r>
      <w:r w:rsidRPr="00FB6B8A">
        <w:t xml:space="preserve"> 3130/03, §§ 63 </w:t>
      </w:r>
      <w:r>
        <w:rPr>
          <w:lang w:val="uk-UA"/>
        </w:rPr>
        <w:t>та</w:t>
      </w:r>
      <w:r w:rsidRPr="00FB6B8A">
        <w:t xml:space="preserve"> 64, 10 </w:t>
      </w:r>
      <w:r>
        <w:rPr>
          <w:lang w:val="uk-UA"/>
        </w:rPr>
        <w:t>липня</w:t>
      </w:r>
      <w:r w:rsidRPr="00FB6B8A">
        <w:t xml:space="preserve"> 2008</w:t>
      </w:r>
      <w:r>
        <w:t>)</w:t>
      </w:r>
      <w:r w:rsidRPr="00FB6B8A">
        <w:t xml:space="preserve">, </w:t>
      </w:r>
      <w:r>
        <w:rPr>
          <w:lang w:val="uk-UA"/>
        </w:rPr>
        <w:t>в якій Суд визнав незаперечним наданий заявником опис</w:t>
      </w:r>
      <w:r w:rsidRPr="00FB6B8A">
        <w:t xml:space="preserve"> </w:t>
      </w:r>
      <w:r>
        <w:rPr>
          <w:lang w:val="uk-UA"/>
        </w:rPr>
        <w:t>умов його переведення до місця тримання під вартою</w:t>
      </w:r>
      <w:r w:rsidRPr="00FB6B8A">
        <w:t xml:space="preserve"> </w:t>
      </w:r>
      <w:r>
        <w:rPr>
          <w:lang w:val="uk-UA"/>
        </w:rPr>
        <w:t xml:space="preserve">в порушення статті </w:t>
      </w:r>
      <w:r w:rsidRPr="00FB6B8A">
        <w:t xml:space="preserve">3, </w:t>
      </w:r>
      <w:r>
        <w:rPr>
          <w:lang w:val="uk-UA"/>
        </w:rPr>
        <w:t>коли Уряд наводив знищення відповідних документів</w:t>
      </w:r>
      <w:r w:rsidRPr="00FB6B8A">
        <w:t xml:space="preserve"> </w:t>
      </w:r>
      <w:r>
        <w:rPr>
          <w:lang w:val="uk-UA"/>
        </w:rPr>
        <w:t>в якості підстави для ненадання відповідної інформації</w:t>
      </w:r>
      <w:r w:rsidRPr="00FB6B8A">
        <w:t>.</w:t>
      </w:r>
      <w:proofErr w:type="gramEnd"/>
    </w:p>
  </w:footnote>
  <w:footnote w:id="6">
    <w:p w:rsidR="00D4256A" w:rsidRPr="00FB6B8A" w:rsidRDefault="00D4256A" w:rsidP="00E93710">
      <w:pPr>
        <w:pStyle w:val="af5"/>
        <w:jc w:val="left"/>
      </w:pPr>
      <w:r w:rsidRPr="00FB6B8A">
        <w:rPr>
          <w:rStyle w:val="af4"/>
        </w:rPr>
        <w:footnoteRef/>
      </w:r>
      <w:r w:rsidRPr="00FB6B8A">
        <w:t xml:space="preserve"> §</w:t>
      </w:r>
      <w:r w:rsidRPr="00FB6B8A">
        <w:rPr>
          <w:rFonts w:eastAsia="Batang"/>
          <w:lang w:eastAsia="ko-KR"/>
        </w:rPr>
        <w:t xml:space="preserve"> 42 </w:t>
      </w:r>
      <w:r>
        <w:rPr>
          <w:rFonts w:eastAsia="Batang"/>
          <w:lang w:val="uk-UA" w:eastAsia="ko-KR"/>
        </w:rPr>
        <w:t>рішення</w:t>
      </w:r>
      <w:r w:rsidRPr="00FB6B8A">
        <w:rPr>
          <w:rFonts w:eastAsia="Batang"/>
          <w:lang w:eastAsia="ko-KR"/>
        </w:rPr>
        <w:t>.</w:t>
      </w:r>
    </w:p>
  </w:footnote>
  <w:footnote w:id="7">
    <w:p w:rsidR="00D4256A" w:rsidRPr="00FB6B8A" w:rsidRDefault="00D4256A" w:rsidP="00E93710">
      <w:pPr>
        <w:pStyle w:val="af5"/>
        <w:jc w:val="left"/>
      </w:pPr>
      <w:r w:rsidRPr="00FB6B8A">
        <w:rPr>
          <w:rStyle w:val="af4"/>
        </w:rPr>
        <w:footnoteRef/>
      </w:r>
      <w:r w:rsidRPr="00FB6B8A">
        <w:t xml:space="preserve"> </w:t>
      </w:r>
      <w:r>
        <w:rPr>
          <w:lang w:val="uk-UA"/>
        </w:rPr>
        <w:t>Див.</w:t>
      </w:r>
      <w:r w:rsidRPr="00FB6B8A">
        <w:t xml:space="preserve"> </w:t>
      </w:r>
      <w:r w:rsidRPr="00FB6B8A">
        <w:rPr>
          <w:i/>
        </w:rPr>
        <w:t>Denmark, Norway, Sweden and the Netherlands v. Greece</w:t>
      </w:r>
      <w:r w:rsidRPr="00FB6B8A">
        <w:t xml:space="preserve">, </w:t>
      </w:r>
      <w:r>
        <w:rPr>
          <w:lang w:val="uk-UA"/>
        </w:rPr>
        <w:t>№</w:t>
      </w:r>
      <w:r w:rsidRPr="00FB6B8A">
        <w:t xml:space="preserve"> 3321/67, 3322/67, 3323/67 </w:t>
      </w:r>
      <w:r>
        <w:rPr>
          <w:lang w:val="uk-UA"/>
        </w:rPr>
        <w:t>та</w:t>
      </w:r>
      <w:r w:rsidRPr="00FB6B8A">
        <w:t xml:space="preserve"> 3344/67, </w:t>
      </w:r>
      <w:r>
        <w:rPr>
          <w:lang w:val="uk-UA"/>
        </w:rPr>
        <w:t>Звіт Комісії від 5 листопада</w:t>
      </w:r>
      <w:r w:rsidRPr="00FB6B8A">
        <w:t xml:space="preserve"> 1969, </w:t>
      </w:r>
      <w:r>
        <w:rPr>
          <w:lang w:val="uk-UA"/>
        </w:rPr>
        <w:t>Щорічник</w:t>
      </w:r>
      <w:r w:rsidRPr="00FB6B8A">
        <w:t xml:space="preserve"> XII, </w:t>
      </w:r>
      <w:r>
        <w:rPr>
          <w:lang w:val="uk-UA"/>
        </w:rPr>
        <w:t>і</w:t>
      </w:r>
      <w:r w:rsidRPr="00FB6B8A">
        <w:t xml:space="preserve"> </w:t>
      </w:r>
      <w:r w:rsidRPr="00FB6B8A">
        <w:rPr>
          <w:i/>
        </w:rPr>
        <w:t>Peers v. Greece</w:t>
      </w:r>
      <w:r w:rsidRPr="00FB6B8A">
        <w:t xml:space="preserve">, </w:t>
      </w:r>
      <w:r>
        <w:rPr>
          <w:lang w:val="uk-UA"/>
        </w:rPr>
        <w:t>№</w:t>
      </w:r>
      <w:r w:rsidRPr="00FB6B8A">
        <w:t xml:space="preserve"> 28524/95, § 74, ECHR 2001-III.</w:t>
      </w:r>
    </w:p>
  </w:footnote>
  <w:footnote w:id="8">
    <w:p w:rsidR="00D4256A" w:rsidRPr="00C614CC" w:rsidRDefault="00D4256A" w:rsidP="00E93710">
      <w:pPr>
        <w:pStyle w:val="af5"/>
        <w:jc w:val="left"/>
      </w:pPr>
      <w:r w:rsidRPr="00FB6B8A">
        <w:rPr>
          <w:rStyle w:val="af4"/>
        </w:rPr>
        <w:footnoteRef/>
      </w:r>
      <w:r w:rsidRPr="00FB6B8A">
        <w:t xml:space="preserve"> §</w:t>
      </w:r>
      <w:r w:rsidRPr="00FB6B8A">
        <w:rPr>
          <w:rFonts w:eastAsia="Batang"/>
          <w:szCs w:val="24"/>
          <w:lang w:eastAsia="ko-KR"/>
        </w:rPr>
        <w:t xml:space="preserve"> 146 </w:t>
      </w:r>
      <w:r>
        <w:rPr>
          <w:rFonts w:eastAsia="Batang"/>
          <w:szCs w:val="24"/>
          <w:lang w:val="uk-UA" w:eastAsia="ko-KR"/>
        </w:rPr>
        <w:t>рішення</w:t>
      </w:r>
      <w:r w:rsidRPr="00FB6B8A">
        <w:rPr>
          <w:rFonts w:eastAsia="Batang"/>
          <w:szCs w:val="24"/>
          <w:lang w:eastAsia="ko-KR"/>
        </w:rPr>
        <w:t>.</w:t>
      </w:r>
    </w:p>
  </w:footnote>
  <w:footnote w:id="9">
    <w:p w:rsidR="00D4256A" w:rsidRPr="00DE4F15" w:rsidRDefault="00D4256A" w:rsidP="00E93710">
      <w:pPr>
        <w:pStyle w:val="af5"/>
        <w:jc w:val="left"/>
      </w:pPr>
      <w:r w:rsidRPr="00DE4F15">
        <w:rPr>
          <w:rStyle w:val="af4"/>
        </w:rPr>
        <w:footnoteRef/>
      </w:r>
      <w:r w:rsidRPr="00DE4F15">
        <w:t xml:space="preserve"> </w:t>
      </w:r>
      <w:r>
        <w:rPr>
          <w:lang w:val="uk-UA"/>
        </w:rPr>
        <w:t>Див.</w:t>
      </w:r>
      <w:r>
        <w:t xml:space="preserve"> </w:t>
      </w:r>
      <w:proofErr w:type="gramStart"/>
      <w:r w:rsidRPr="00DE4F15">
        <w:rPr>
          <w:i/>
        </w:rPr>
        <w:t xml:space="preserve">Denis </w:t>
      </w:r>
      <w:proofErr w:type="spellStart"/>
      <w:r w:rsidRPr="00DE4F15">
        <w:rPr>
          <w:i/>
        </w:rPr>
        <w:t>Vasilyev</w:t>
      </w:r>
      <w:proofErr w:type="spellEnd"/>
      <w:r w:rsidRPr="00DE4F15">
        <w:rPr>
          <w:i/>
        </w:rPr>
        <w:t xml:space="preserve"> v. Russia</w:t>
      </w:r>
      <w:r w:rsidRPr="00DE4F15">
        <w:t xml:space="preserve">, no. 32704/04, § 114, 17 </w:t>
      </w:r>
      <w:r>
        <w:rPr>
          <w:lang w:val="uk-UA"/>
        </w:rPr>
        <w:t>грудня</w:t>
      </w:r>
      <w:r w:rsidRPr="00DE4F15">
        <w:t xml:space="preserve"> 2009.</w:t>
      </w:r>
      <w:proofErr w:type="gramEnd"/>
    </w:p>
  </w:footnote>
  <w:footnote w:id="10">
    <w:p w:rsidR="00D4256A" w:rsidRPr="008C06C4" w:rsidRDefault="00D4256A" w:rsidP="00E93710">
      <w:pPr>
        <w:pStyle w:val="af5"/>
        <w:jc w:val="left"/>
      </w:pPr>
      <w:r w:rsidRPr="008C06C4">
        <w:rPr>
          <w:rStyle w:val="af4"/>
        </w:rPr>
        <w:footnoteRef/>
      </w:r>
      <w:r w:rsidRPr="008C06C4">
        <w:t xml:space="preserve"> § 42 </w:t>
      </w:r>
      <w:r>
        <w:rPr>
          <w:lang w:val="uk-UA"/>
        </w:rPr>
        <w:t>рішення</w:t>
      </w:r>
      <w:r w:rsidRPr="008C06C4">
        <w:t xml:space="preserve"> (“</w:t>
      </w:r>
      <w:r>
        <w:rPr>
          <w:lang w:val="uk-UA"/>
        </w:rPr>
        <w:t>Декілька міліціонерів спостерігають</w:t>
      </w:r>
      <w:r w:rsidRPr="008C06C4">
        <w:t>”).</w:t>
      </w:r>
    </w:p>
  </w:footnote>
  <w:footnote w:id="11">
    <w:p w:rsidR="00D4256A" w:rsidRPr="00FB6B8A" w:rsidRDefault="00D4256A" w:rsidP="00E93710">
      <w:pPr>
        <w:pStyle w:val="af5"/>
        <w:jc w:val="left"/>
      </w:pPr>
      <w:r w:rsidRPr="00DE4F15">
        <w:rPr>
          <w:rStyle w:val="af4"/>
        </w:rPr>
        <w:footnoteRef/>
      </w:r>
      <w:r w:rsidRPr="00DE4F15">
        <w:t xml:space="preserve"> §</w:t>
      </w:r>
      <w:r w:rsidRPr="00DE4F15">
        <w:rPr>
          <w:rFonts w:eastAsia="Batang"/>
          <w:lang w:eastAsia="ko-KR"/>
        </w:rPr>
        <w:t xml:space="preserve"> 154 </w:t>
      </w:r>
      <w:r>
        <w:rPr>
          <w:rFonts w:eastAsia="Batang"/>
          <w:lang w:val="uk-UA" w:eastAsia="ko-KR"/>
        </w:rPr>
        <w:t>рішення</w:t>
      </w:r>
      <w:r w:rsidRPr="00DE4F15">
        <w:rPr>
          <w:rFonts w:eastAsia="Batang"/>
          <w:lang w:eastAsia="ko-KR"/>
        </w:rPr>
        <w:t>.</w:t>
      </w:r>
    </w:p>
  </w:footnote>
  <w:footnote w:id="12">
    <w:p w:rsidR="00D4256A" w:rsidRPr="00FB6B8A" w:rsidRDefault="00D4256A" w:rsidP="00E93710">
      <w:pPr>
        <w:pStyle w:val="af5"/>
        <w:jc w:val="left"/>
      </w:pPr>
      <w:r w:rsidRPr="00FB6B8A">
        <w:rPr>
          <w:rStyle w:val="af4"/>
        </w:rPr>
        <w:footnoteRef/>
      </w:r>
      <w:r w:rsidRPr="00FB6B8A">
        <w:t xml:space="preserve"> §</w:t>
      </w:r>
      <w:r w:rsidRPr="00FB6B8A">
        <w:rPr>
          <w:rFonts w:eastAsia="Batang"/>
          <w:lang w:eastAsia="ko-KR"/>
        </w:rPr>
        <w:t xml:space="preserve"> 160 </w:t>
      </w:r>
      <w:r>
        <w:rPr>
          <w:rFonts w:eastAsia="Batang"/>
          <w:lang w:val="uk-UA" w:eastAsia="ko-KR"/>
        </w:rPr>
        <w:t>рішення</w:t>
      </w:r>
      <w:r w:rsidRPr="00FB6B8A">
        <w:rPr>
          <w:rFonts w:eastAsia="Batang"/>
          <w:lang w:eastAsia="ko-KR"/>
        </w:rPr>
        <w:t xml:space="preserve">. </w:t>
      </w:r>
    </w:p>
  </w:footnote>
  <w:footnote w:id="13">
    <w:p w:rsidR="00D4256A" w:rsidRPr="00FB6B8A" w:rsidRDefault="00D4256A" w:rsidP="00E93710">
      <w:pPr>
        <w:pStyle w:val="af5"/>
        <w:jc w:val="left"/>
      </w:pPr>
      <w:r w:rsidRPr="00FB6B8A">
        <w:rPr>
          <w:rStyle w:val="af4"/>
        </w:rPr>
        <w:footnoteRef/>
      </w:r>
      <w:r w:rsidRPr="00FB6B8A">
        <w:t xml:space="preserve"> §</w:t>
      </w:r>
      <w:r w:rsidRPr="00FB6B8A">
        <w:rPr>
          <w:rFonts w:eastAsia="Batang"/>
          <w:szCs w:val="24"/>
          <w:lang w:eastAsia="ko-KR"/>
        </w:rPr>
        <w:t xml:space="preserve"> 42 </w:t>
      </w:r>
      <w:r>
        <w:rPr>
          <w:rFonts w:eastAsia="Batang"/>
          <w:lang w:val="uk-UA" w:eastAsia="ko-KR"/>
        </w:rPr>
        <w:t>рішення</w:t>
      </w:r>
      <w:r w:rsidRPr="00FB6B8A">
        <w:rPr>
          <w:rFonts w:eastAsia="Batang"/>
          <w:szCs w:val="24"/>
          <w:lang w:eastAsia="ko-KR"/>
        </w:rPr>
        <w:t>.</w:t>
      </w:r>
    </w:p>
  </w:footnote>
  <w:footnote w:id="14">
    <w:p w:rsidR="00D4256A" w:rsidRPr="00C614CC" w:rsidRDefault="00D4256A" w:rsidP="00E93710">
      <w:pPr>
        <w:pStyle w:val="af5"/>
        <w:jc w:val="left"/>
      </w:pPr>
      <w:r w:rsidRPr="00FB6B8A">
        <w:rPr>
          <w:rStyle w:val="af4"/>
        </w:rPr>
        <w:footnoteRef/>
      </w:r>
      <w:r w:rsidRPr="00FB6B8A">
        <w:t xml:space="preserve"> </w:t>
      </w:r>
      <w:r w:rsidRPr="00C614CC">
        <w:t xml:space="preserve">§ 168 </w:t>
      </w:r>
      <w:r>
        <w:rPr>
          <w:rFonts w:eastAsia="Batang"/>
          <w:lang w:val="uk-UA" w:eastAsia="ko-KR"/>
        </w:rPr>
        <w:t>рішення</w:t>
      </w:r>
      <w:r w:rsidRPr="00C614CC">
        <w:t>.</w:t>
      </w:r>
    </w:p>
  </w:footnote>
  <w:footnote w:id="15">
    <w:p w:rsidR="00D4256A" w:rsidRPr="00FB6B8A" w:rsidRDefault="00D4256A" w:rsidP="00E93710">
      <w:pPr>
        <w:pStyle w:val="af5"/>
        <w:jc w:val="left"/>
      </w:pPr>
      <w:r w:rsidRPr="00FB6B8A">
        <w:rPr>
          <w:rStyle w:val="af4"/>
        </w:rPr>
        <w:footnoteRef/>
      </w:r>
      <w:r w:rsidRPr="00FB6B8A">
        <w:t xml:space="preserve"> § 279 </w:t>
      </w:r>
      <w:r>
        <w:rPr>
          <w:rFonts w:eastAsia="Batang"/>
          <w:lang w:val="uk-UA" w:eastAsia="ko-KR"/>
        </w:rPr>
        <w:t>рішення</w:t>
      </w:r>
      <w:r w:rsidRPr="00FB6B8A">
        <w:t>.</w:t>
      </w:r>
    </w:p>
  </w:footnote>
  <w:footnote w:id="16">
    <w:p w:rsidR="00D4256A" w:rsidRPr="00FB6B8A" w:rsidRDefault="00D4256A" w:rsidP="00E93710">
      <w:pPr>
        <w:pStyle w:val="af5"/>
        <w:jc w:val="left"/>
      </w:pPr>
      <w:r w:rsidRPr="00FB6B8A">
        <w:rPr>
          <w:rStyle w:val="af4"/>
        </w:rPr>
        <w:footnoteRef/>
      </w:r>
      <w:r w:rsidRPr="00FB6B8A">
        <w:t xml:space="preserve"> </w:t>
      </w:r>
      <w:r>
        <w:rPr>
          <w:lang w:val="uk-UA"/>
        </w:rPr>
        <w:t>Див.</w:t>
      </w:r>
      <w:r w:rsidRPr="00FB6B8A">
        <w:t xml:space="preserve"> </w:t>
      </w:r>
      <w:proofErr w:type="spellStart"/>
      <w:r w:rsidRPr="00FB6B8A">
        <w:rPr>
          <w:i/>
        </w:rPr>
        <w:t>Éva</w:t>
      </w:r>
      <w:proofErr w:type="spellEnd"/>
      <w:r w:rsidRPr="00FB6B8A">
        <w:rPr>
          <w:i/>
        </w:rPr>
        <w:t xml:space="preserve"> </w:t>
      </w:r>
      <w:proofErr w:type="spellStart"/>
      <w:r w:rsidRPr="00FB6B8A">
        <w:rPr>
          <w:i/>
        </w:rPr>
        <w:t>Molnár</w:t>
      </w:r>
      <w:proofErr w:type="spellEnd"/>
      <w:r w:rsidRPr="00FB6B8A">
        <w:rPr>
          <w:i/>
        </w:rPr>
        <w:t xml:space="preserve"> v. Hungary</w:t>
      </w:r>
      <w:r w:rsidRPr="00FB6B8A">
        <w:t xml:space="preserve">, </w:t>
      </w:r>
      <w:r>
        <w:rPr>
          <w:lang w:val="uk-UA"/>
        </w:rPr>
        <w:t>№</w:t>
      </w:r>
      <w:r w:rsidRPr="00FB6B8A">
        <w:t xml:space="preserve"> 10346/05, 7 </w:t>
      </w:r>
      <w:r>
        <w:rPr>
          <w:lang w:val="uk-UA"/>
        </w:rPr>
        <w:t>жовтня</w:t>
      </w:r>
      <w:r w:rsidRPr="00FB6B8A">
        <w:t xml:space="preserve"> 2008, </w:t>
      </w:r>
      <w:r>
        <w:rPr>
          <w:lang w:val="uk-UA"/>
        </w:rPr>
        <w:t>та рішення щодо прийнятності у справі</w:t>
      </w:r>
      <w:r w:rsidRPr="00FB6B8A">
        <w:t xml:space="preserve"> </w:t>
      </w:r>
      <w:r w:rsidRPr="00FB6B8A">
        <w:rPr>
          <w:i/>
        </w:rPr>
        <w:t xml:space="preserve">Lucas v. United Kingdom </w:t>
      </w:r>
      <w:r w:rsidRPr="008C06C4">
        <w:t>(</w:t>
      </w:r>
      <w:proofErr w:type="spellStart"/>
      <w:r w:rsidRPr="008C06C4">
        <w:t>dec</w:t>
      </w:r>
      <w:proofErr w:type="spellEnd"/>
      <w:r w:rsidRPr="008C06C4">
        <w:t>.)</w:t>
      </w:r>
      <w:r w:rsidRPr="003A544F">
        <w:t>,</w:t>
      </w:r>
      <w:r w:rsidRPr="00FB6B8A">
        <w:t xml:space="preserve"> </w:t>
      </w:r>
      <w:r>
        <w:rPr>
          <w:lang w:val="uk-UA"/>
        </w:rPr>
        <w:t>№</w:t>
      </w:r>
      <w:r w:rsidRPr="00FB6B8A">
        <w:t xml:space="preserve"> 39013/02, 18 </w:t>
      </w:r>
      <w:r>
        <w:rPr>
          <w:lang w:val="uk-UA"/>
        </w:rPr>
        <w:t>березня</w:t>
      </w:r>
      <w:r w:rsidRPr="00FB6B8A">
        <w:t xml:space="preserve"> 2003.</w:t>
      </w:r>
    </w:p>
  </w:footnote>
  <w:footnote w:id="17">
    <w:p w:rsidR="00D4256A" w:rsidRPr="00FB6B8A" w:rsidRDefault="00D4256A" w:rsidP="00E93710">
      <w:pPr>
        <w:pStyle w:val="af5"/>
        <w:jc w:val="left"/>
      </w:pPr>
      <w:r w:rsidRPr="00FB6B8A">
        <w:rPr>
          <w:rStyle w:val="af4"/>
        </w:rPr>
        <w:footnoteRef/>
      </w:r>
      <w:r w:rsidRPr="00FB6B8A">
        <w:t xml:space="preserve"> </w:t>
      </w:r>
      <w:r w:rsidRPr="00FB6B8A">
        <w:rPr>
          <w:i/>
        </w:rPr>
        <w:t>G v. Germany</w:t>
      </w:r>
      <w:r w:rsidRPr="00FB6B8A">
        <w:t xml:space="preserve">, </w:t>
      </w:r>
      <w:r>
        <w:rPr>
          <w:lang w:val="uk-UA"/>
        </w:rPr>
        <w:t>№</w:t>
      </w:r>
      <w:r w:rsidRPr="00FB6B8A">
        <w:t xml:space="preserve"> 13079/87, </w:t>
      </w:r>
      <w:r>
        <w:rPr>
          <w:lang w:val="uk-UA"/>
        </w:rPr>
        <w:t>рішення Комісії</w:t>
      </w:r>
      <w:r w:rsidRPr="00FB6B8A">
        <w:t>, DR 60.</w:t>
      </w:r>
    </w:p>
  </w:footnote>
  <w:footnote w:id="18">
    <w:p w:rsidR="00D4256A" w:rsidRPr="00FB6B8A" w:rsidRDefault="00D4256A" w:rsidP="00E93710">
      <w:pPr>
        <w:pStyle w:val="af5"/>
        <w:jc w:val="left"/>
      </w:pPr>
      <w:r w:rsidRPr="00FB6B8A">
        <w:rPr>
          <w:rStyle w:val="af4"/>
        </w:rPr>
        <w:footnoteRef/>
      </w:r>
      <w:r w:rsidRPr="00FB6B8A">
        <w:t xml:space="preserve"> </w:t>
      </w:r>
      <w:proofErr w:type="spellStart"/>
      <w:proofErr w:type="gramStart"/>
      <w:r w:rsidRPr="00FB6B8A">
        <w:rPr>
          <w:i/>
        </w:rPr>
        <w:t>Nurettin</w:t>
      </w:r>
      <w:proofErr w:type="spellEnd"/>
      <w:r w:rsidRPr="00FB6B8A">
        <w:rPr>
          <w:i/>
        </w:rPr>
        <w:t xml:space="preserve"> </w:t>
      </w:r>
      <w:proofErr w:type="spellStart"/>
      <w:r w:rsidRPr="00FB6B8A">
        <w:rPr>
          <w:i/>
        </w:rPr>
        <w:t>Aldemir</w:t>
      </w:r>
      <w:proofErr w:type="spellEnd"/>
      <w:r w:rsidRPr="00FB6B8A">
        <w:rPr>
          <w:i/>
        </w:rPr>
        <w:t xml:space="preserve"> and Others v. Turkey</w:t>
      </w:r>
      <w:r w:rsidRPr="00FB6B8A">
        <w:t xml:space="preserve">, </w:t>
      </w:r>
      <w:r>
        <w:rPr>
          <w:lang w:val="uk-UA"/>
        </w:rPr>
        <w:t>№№</w:t>
      </w:r>
      <w:r>
        <w:t xml:space="preserve"> </w:t>
      </w:r>
      <w:r w:rsidRPr="00FB6B8A">
        <w:t xml:space="preserve">32124/02, 32126/02, 32129/02, 32132/02, 32133/02, 32137/02 </w:t>
      </w:r>
      <w:r>
        <w:rPr>
          <w:lang w:val="uk-UA"/>
        </w:rPr>
        <w:t>та</w:t>
      </w:r>
      <w:r w:rsidRPr="00FB6B8A">
        <w:t xml:space="preserve"> 32138/02, 18 </w:t>
      </w:r>
      <w:r>
        <w:rPr>
          <w:lang w:val="uk-UA"/>
        </w:rPr>
        <w:t>грудня</w:t>
      </w:r>
      <w:r w:rsidRPr="00FB6B8A">
        <w:t xml:space="preserve"> 2007.</w:t>
      </w:r>
      <w:proofErr w:type="gramEnd"/>
    </w:p>
  </w:footnote>
  <w:footnote w:id="19">
    <w:p w:rsidR="00D4256A" w:rsidRPr="00FB6B8A" w:rsidRDefault="00D4256A" w:rsidP="00E93710">
      <w:pPr>
        <w:pStyle w:val="af5"/>
        <w:jc w:val="left"/>
      </w:pPr>
      <w:r w:rsidRPr="00FB6B8A">
        <w:rPr>
          <w:rStyle w:val="af4"/>
        </w:rPr>
        <w:footnoteRef/>
      </w:r>
      <w:r w:rsidRPr="00FB6B8A">
        <w:t xml:space="preserve"> </w:t>
      </w:r>
      <w:proofErr w:type="spellStart"/>
      <w:r w:rsidRPr="00FB6B8A">
        <w:rPr>
          <w:i/>
        </w:rPr>
        <w:t>Ezelin</w:t>
      </w:r>
      <w:proofErr w:type="spellEnd"/>
      <w:r w:rsidRPr="00FB6B8A">
        <w:rPr>
          <w:i/>
        </w:rPr>
        <w:t xml:space="preserve"> v France</w:t>
      </w:r>
      <w:r w:rsidRPr="00FB6B8A">
        <w:t xml:space="preserve">, </w:t>
      </w:r>
      <w:r>
        <w:rPr>
          <w:lang w:val="uk-UA"/>
        </w:rPr>
        <w:t>№</w:t>
      </w:r>
      <w:r w:rsidRPr="00FB6B8A">
        <w:t xml:space="preserve"> 11800/85, 26 </w:t>
      </w:r>
      <w:r>
        <w:rPr>
          <w:lang w:val="uk-UA"/>
        </w:rPr>
        <w:t>квітня</w:t>
      </w:r>
      <w:r w:rsidRPr="00FB6B8A">
        <w:t xml:space="preserve"> 1991.</w:t>
      </w:r>
    </w:p>
  </w:footnote>
  <w:footnote w:id="20">
    <w:p w:rsidR="00D4256A" w:rsidRPr="00FB6B8A" w:rsidRDefault="00D4256A" w:rsidP="00E93710">
      <w:pPr>
        <w:pStyle w:val="af5"/>
        <w:jc w:val="left"/>
      </w:pPr>
      <w:r w:rsidRPr="00FB6B8A">
        <w:rPr>
          <w:rStyle w:val="af4"/>
        </w:rPr>
        <w:footnoteRef/>
      </w:r>
      <w:r w:rsidRPr="00FB6B8A">
        <w:t xml:space="preserve"> </w:t>
      </w:r>
      <w:r>
        <w:rPr>
          <w:lang w:val="uk-UA"/>
        </w:rPr>
        <w:t>там же</w:t>
      </w:r>
      <w:r w:rsidRPr="00FB6B8A">
        <w:t xml:space="preserve"> </w:t>
      </w:r>
      <w:r w:rsidRPr="00FB6B8A">
        <w:rPr>
          <w:szCs w:val="24"/>
        </w:rPr>
        <w:t>§ 53.</w:t>
      </w:r>
    </w:p>
  </w:footnote>
  <w:footnote w:id="21">
    <w:p w:rsidR="00D4256A" w:rsidRPr="00FB6B8A" w:rsidRDefault="00D4256A" w:rsidP="00E93710">
      <w:pPr>
        <w:pStyle w:val="af5"/>
        <w:jc w:val="left"/>
      </w:pPr>
      <w:r w:rsidRPr="00FB6B8A">
        <w:rPr>
          <w:rStyle w:val="af4"/>
        </w:rPr>
        <w:footnoteRef/>
      </w:r>
      <w:r w:rsidRPr="00FB6B8A">
        <w:t xml:space="preserve"> </w:t>
      </w:r>
      <w:r w:rsidRPr="00FB6B8A">
        <w:rPr>
          <w:i/>
        </w:rPr>
        <w:t>Wilson, National Union of Journalists and Others v. the United Kingdom</w:t>
      </w:r>
      <w:r w:rsidRPr="00FB6B8A">
        <w:t xml:space="preserve">, </w:t>
      </w:r>
      <w:r>
        <w:rPr>
          <w:lang w:val="uk-UA"/>
        </w:rPr>
        <w:t>№№</w:t>
      </w:r>
      <w:r w:rsidRPr="00FB6B8A">
        <w:t xml:space="preserve"> 30668/96, 30671/96 </w:t>
      </w:r>
      <w:r>
        <w:rPr>
          <w:lang w:val="uk-UA"/>
        </w:rPr>
        <w:t>та</w:t>
      </w:r>
      <w:r w:rsidRPr="00FB6B8A">
        <w:t xml:space="preserve"> 30678/96, § 41, ECHR 2002-V.</w:t>
      </w:r>
    </w:p>
  </w:footnote>
  <w:footnote w:id="22">
    <w:p w:rsidR="00D4256A" w:rsidRPr="00FB6B8A" w:rsidRDefault="00D4256A" w:rsidP="00E93710">
      <w:pPr>
        <w:pStyle w:val="af5"/>
        <w:jc w:val="left"/>
      </w:pPr>
      <w:r w:rsidRPr="00FB6B8A">
        <w:rPr>
          <w:rStyle w:val="af4"/>
        </w:rPr>
        <w:footnoteRef/>
      </w:r>
      <w:r w:rsidRPr="00FB6B8A">
        <w:t xml:space="preserve"> </w:t>
      </w:r>
      <w:r>
        <w:rPr>
          <w:lang w:val="uk-UA"/>
        </w:rPr>
        <w:t>Див., наприклад</w:t>
      </w:r>
      <w:r w:rsidRPr="00FB6B8A">
        <w:t xml:space="preserve">, </w:t>
      </w:r>
      <w:proofErr w:type="spellStart"/>
      <w:r w:rsidRPr="00FB6B8A">
        <w:rPr>
          <w:i/>
        </w:rPr>
        <w:t>Coster</w:t>
      </w:r>
      <w:proofErr w:type="spellEnd"/>
      <w:r w:rsidRPr="00FB6B8A">
        <w:rPr>
          <w:i/>
        </w:rPr>
        <w:t xml:space="preserve"> v. </w:t>
      </w:r>
      <w:proofErr w:type="gramStart"/>
      <w:r w:rsidRPr="00FB6B8A">
        <w:rPr>
          <w:i/>
        </w:rPr>
        <w:t>the</w:t>
      </w:r>
      <w:proofErr w:type="gramEnd"/>
      <w:r w:rsidRPr="00FB6B8A">
        <w:rPr>
          <w:i/>
        </w:rPr>
        <w:t xml:space="preserve"> United Kingdom</w:t>
      </w:r>
      <w:r w:rsidRPr="00FB6B8A">
        <w:t xml:space="preserve"> [GC], </w:t>
      </w:r>
      <w:r>
        <w:rPr>
          <w:lang w:val="uk-UA"/>
        </w:rPr>
        <w:t>№</w:t>
      </w:r>
      <w:r w:rsidRPr="00FB6B8A">
        <w:t xml:space="preserve"> 24876/94, § 104, ECHR 2001, </w:t>
      </w:r>
      <w:r>
        <w:rPr>
          <w:lang w:val="uk-UA"/>
        </w:rPr>
        <w:t>та</w:t>
      </w:r>
      <w:r w:rsidRPr="00FB6B8A">
        <w:t xml:space="preserve"> </w:t>
      </w:r>
      <w:r w:rsidRPr="00FB6B8A">
        <w:rPr>
          <w:i/>
        </w:rPr>
        <w:t xml:space="preserve">S. and </w:t>
      </w:r>
      <w:proofErr w:type="spellStart"/>
      <w:r w:rsidRPr="00FB6B8A">
        <w:rPr>
          <w:i/>
        </w:rPr>
        <w:t>Marper</w:t>
      </w:r>
      <w:proofErr w:type="spellEnd"/>
      <w:r w:rsidRPr="00FB6B8A">
        <w:rPr>
          <w:i/>
        </w:rPr>
        <w:t xml:space="preserve"> v. the United Kingdom</w:t>
      </w:r>
      <w:r w:rsidRPr="00FB6B8A">
        <w:t xml:space="preserve"> [GC]</w:t>
      </w:r>
      <w:r>
        <w:t xml:space="preserve">, </w:t>
      </w:r>
      <w:r>
        <w:rPr>
          <w:lang w:val="uk-UA"/>
        </w:rPr>
        <w:t>№№</w:t>
      </w:r>
      <w:r>
        <w:t xml:space="preserve"> 30562/04 </w:t>
      </w:r>
      <w:r>
        <w:rPr>
          <w:lang w:val="uk-UA"/>
        </w:rPr>
        <w:t>та</w:t>
      </w:r>
      <w:r>
        <w:t xml:space="preserve"> 30566/04, § </w:t>
      </w:r>
      <w:r w:rsidRPr="00FB6B8A">
        <w:t>101, ECHR 2008.</w:t>
      </w:r>
    </w:p>
  </w:footnote>
  <w:footnote w:id="23">
    <w:p w:rsidR="00D4256A" w:rsidRPr="00FB6B8A" w:rsidRDefault="00D4256A" w:rsidP="00E93710">
      <w:pPr>
        <w:pStyle w:val="af5"/>
        <w:jc w:val="left"/>
      </w:pPr>
      <w:r w:rsidRPr="00FB6B8A">
        <w:rPr>
          <w:rStyle w:val="af4"/>
        </w:rPr>
        <w:footnoteRef/>
      </w:r>
      <w:r w:rsidRPr="00FB6B8A">
        <w:t xml:space="preserve"> </w:t>
      </w:r>
      <w:r>
        <w:rPr>
          <w:lang w:val="uk-UA"/>
        </w:rPr>
        <w:t>Див. Керівні принципи Венеціанської комісії та</w:t>
      </w:r>
      <w:r w:rsidRPr="00FB6B8A">
        <w:t xml:space="preserve"> </w:t>
      </w:r>
      <w:r>
        <w:rPr>
          <w:lang w:val="uk-UA"/>
        </w:rPr>
        <w:t>ОБСЄ</w:t>
      </w:r>
      <w:r w:rsidRPr="00FB6B8A">
        <w:t>/</w:t>
      </w:r>
      <w:r>
        <w:rPr>
          <w:lang w:val="uk-UA"/>
        </w:rPr>
        <w:t>БДІПЛ</w:t>
      </w:r>
      <w:r w:rsidRPr="00FB6B8A">
        <w:t xml:space="preserve"> </w:t>
      </w:r>
      <w:r>
        <w:rPr>
          <w:lang w:val="uk-UA"/>
        </w:rPr>
        <w:t>щодо свободи мирних зібрань</w:t>
      </w:r>
      <w:r w:rsidRPr="00FB6B8A">
        <w:t xml:space="preserve">, 2010, </w:t>
      </w:r>
      <w:r>
        <w:rPr>
          <w:lang w:val="uk-UA"/>
        </w:rPr>
        <w:t>друге видання, керівний принцип</w:t>
      </w:r>
      <w:r w:rsidRPr="00FB6B8A">
        <w:t xml:space="preserve"> 2.1, </w:t>
      </w:r>
      <w:r>
        <w:rPr>
          <w:lang w:val="uk-UA"/>
        </w:rPr>
        <w:t>та Доповідь Спеціального доповідача з права на свободу мирних зібрань та об’єднань</w:t>
      </w:r>
      <w:r w:rsidRPr="00FB6B8A">
        <w:t xml:space="preserve">, 24 </w:t>
      </w:r>
      <w:r>
        <w:rPr>
          <w:lang w:val="uk-UA"/>
        </w:rPr>
        <w:t>квітня</w:t>
      </w:r>
      <w:r w:rsidRPr="00FB6B8A">
        <w:t xml:space="preserve"> 2013, A/HRC/23/39, </w:t>
      </w:r>
      <w:r>
        <w:rPr>
          <w:lang w:val="uk-UA"/>
        </w:rPr>
        <w:t>пункт</w:t>
      </w:r>
      <w:r w:rsidRPr="00FB6B8A">
        <w:t xml:space="preserve"> 50. </w:t>
      </w:r>
      <w:r>
        <w:rPr>
          <w:lang w:val="uk-UA"/>
        </w:rPr>
        <w:t>Див. також мою думку у справі</w:t>
      </w:r>
      <w:r w:rsidRPr="00FB6B8A">
        <w:t xml:space="preserve"> </w:t>
      </w:r>
      <w:proofErr w:type="spellStart"/>
      <w:r w:rsidRPr="00FB6B8A">
        <w:rPr>
          <w:i/>
        </w:rPr>
        <w:t>Primov</w:t>
      </w:r>
      <w:proofErr w:type="spellEnd"/>
      <w:r w:rsidRPr="00FB6B8A">
        <w:rPr>
          <w:i/>
        </w:rPr>
        <w:t xml:space="preserve"> and Others v. </w:t>
      </w:r>
      <w:proofErr w:type="gramStart"/>
      <w:r w:rsidRPr="00FB6B8A">
        <w:rPr>
          <w:i/>
        </w:rPr>
        <w:t>Russia</w:t>
      </w:r>
      <w:r w:rsidRPr="00FB6B8A">
        <w:t xml:space="preserve">, </w:t>
      </w:r>
      <w:r>
        <w:rPr>
          <w:lang w:val="uk-UA"/>
        </w:rPr>
        <w:t>№</w:t>
      </w:r>
      <w:r>
        <w:t> </w:t>
      </w:r>
      <w:r w:rsidRPr="00FB6B8A">
        <w:t>17391/06, 12</w:t>
      </w:r>
      <w:r>
        <w:t> </w:t>
      </w:r>
      <w:r>
        <w:rPr>
          <w:lang w:val="uk-UA"/>
        </w:rPr>
        <w:t>червня</w:t>
      </w:r>
      <w:r w:rsidRPr="00FB6B8A">
        <w:t xml:space="preserve"> 2014.</w:t>
      </w:r>
      <w:proofErr w:type="gramEnd"/>
    </w:p>
  </w:footnote>
  <w:footnote w:id="24">
    <w:p w:rsidR="00D4256A" w:rsidRPr="00B45A9A" w:rsidRDefault="00D4256A" w:rsidP="00E93710">
      <w:pPr>
        <w:pStyle w:val="af5"/>
        <w:jc w:val="left"/>
        <w:rPr>
          <w:lang w:val="ru-RU"/>
        </w:rPr>
      </w:pPr>
      <w:r w:rsidRPr="00FB6B8A">
        <w:rPr>
          <w:rStyle w:val="af4"/>
        </w:rPr>
        <w:footnoteRef/>
      </w:r>
      <w:r w:rsidRPr="00B45A9A">
        <w:rPr>
          <w:lang w:val="ru-RU"/>
        </w:rPr>
        <w:t xml:space="preserve"> § 250 </w:t>
      </w:r>
      <w:proofErr w:type="gramStart"/>
      <w:r>
        <w:rPr>
          <w:lang w:val="uk-UA"/>
        </w:rPr>
        <w:t>р</w:t>
      </w:r>
      <w:proofErr w:type="gramEnd"/>
      <w:r>
        <w:rPr>
          <w:lang w:val="uk-UA"/>
        </w:rPr>
        <w:t>ішення</w:t>
      </w:r>
      <w:r w:rsidRPr="00B45A9A">
        <w:rPr>
          <w:lang w:val="ru-RU"/>
        </w:rPr>
        <w:t>.</w:t>
      </w:r>
    </w:p>
  </w:footnote>
  <w:footnote w:id="25">
    <w:p w:rsidR="00D4256A" w:rsidRPr="00B45A9A" w:rsidRDefault="00D4256A" w:rsidP="00E93710">
      <w:pPr>
        <w:pStyle w:val="af5"/>
        <w:jc w:val="left"/>
        <w:rPr>
          <w:lang w:val="ru-RU"/>
        </w:rPr>
      </w:pPr>
      <w:r w:rsidRPr="00FB6B8A">
        <w:rPr>
          <w:rStyle w:val="af4"/>
        </w:rPr>
        <w:footnoteRef/>
      </w:r>
      <w:r w:rsidRPr="00B45A9A">
        <w:rPr>
          <w:lang w:val="ru-RU"/>
        </w:rPr>
        <w:t xml:space="preserve"> </w:t>
      </w:r>
      <w:r>
        <w:rPr>
          <w:lang w:val="uk-UA"/>
        </w:rPr>
        <w:t>там же</w:t>
      </w:r>
      <w:r w:rsidRPr="00B45A9A">
        <w:rPr>
          <w:lang w:val="ru-RU"/>
        </w:rPr>
        <w:t>.</w:t>
      </w:r>
    </w:p>
  </w:footnote>
  <w:footnote w:id="26">
    <w:p w:rsidR="00D4256A" w:rsidRPr="00B45A9A" w:rsidRDefault="00D4256A" w:rsidP="00E93710">
      <w:pPr>
        <w:pStyle w:val="af5"/>
        <w:jc w:val="left"/>
        <w:rPr>
          <w:lang w:val="ru-RU"/>
        </w:rPr>
      </w:pPr>
      <w:r w:rsidRPr="00FB6B8A">
        <w:rPr>
          <w:rStyle w:val="af4"/>
        </w:rPr>
        <w:footnoteRef/>
      </w:r>
      <w:r w:rsidRPr="00B45A9A">
        <w:rPr>
          <w:lang w:val="ru-RU"/>
        </w:rPr>
        <w:t xml:space="preserve"> § 251 </w:t>
      </w:r>
      <w:proofErr w:type="gramStart"/>
      <w:r>
        <w:rPr>
          <w:lang w:val="uk-UA"/>
        </w:rPr>
        <w:t>р</w:t>
      </w:r>
      <w:proofErr w:type="gramEnd"/>
      <w:r>
        <w:rPr>
          <w:lang w:val="uk-UA"/>
        </w:rPr>
        <w:t>ішення</w:t>
      </w:r>
      <w:r w:rsidRPr="00B45A9A">
        <w:rPr>
          <w:lang w:val="ru-RU"/>
        </w:rPr>
        <w:t xml:space="preserve">. </w:t>
      </w:r>
    </w:p>
  </w:footnote>
  <w:footnote w:id="27">
    <w:p w:rsidR="00D4256A" w:rsidRPr="00B45A9A" w:rsidRDefault="00D4256A" w:rsidP="00E93710">
      <w:pPr>
        <w:pStyle w:val="af5"/>
        <w:jc w:val="left"/>
        <w:rPr>
          <w:lang w:val="ru-RU"/>
        </w:rPr>
      </w:pPr>
      <w:r w:rsidRPr="00FB6B8A">
        <w:rPr>
          <w:rStyle w:val="af4"/>
        </w:rPr>
        <w:footnoteRef/>
      </w:r>
      <w:r w:rsidRPr="00B45A9A">
        <w:rPr>
          <w:lang w:val="ru-RU"/>
        </w:rPr>
        <w:t xml:space="preserve"> § 254 </w:t>
      </w:r>
      <w:proofErr w:type="gramStart"/>
      <w:r>
        <w:rPr>
          <w:lang w:val="uk-UA"/>
        </w:rPr>
        <w:t>р</w:t>
      </w:r>
      <w:proofErr w:type="gramEnd"/>
      <w:r>
        <w:rPr>
          <w:lang w:val="uk-UA"/>
        </w:rPr>
        <w:t>ішення</w:t>
      </w:r>
      <w:r w:rsidRPr="00B45A9A">
        <w:rPr>
          <w:lang w:val="ru-RU"/>
        </w:rPr>
        <w:t xml:space="preserve">. </w:t>
      </w:r>
    </w:p>
  </w:footnote>
  <w:footnote w:id="28">
    <w:p w:rsidR="00D4256A" w:rsidRPr="0085000B" w:rsidRDefault="00D4256A" w:rsidP="00E93710">
      <w:pPr>
        <w:pStyle w:val="af5"/>
        <w:jc w:val="left"/>
        <w:rPr>
          <w:lang w:val="ru-RU"/>
        </w:rPr>
      </w:pPr>
      <w:r w:rsidRPr="00FB6B8A">
        <w:rPr>
          <w:rStyle w:val="af4"/>
        </w:rPr>
        <w:footnoteRef/>
      </w:r>
      <w:r w:rsidRPr="0085000B">
        <w:rPr>
          <w:lang w:val="ru-RU"/>
        </w:rPr>
        <w:t xml:space="preserve"> § 253 </w:t>
      </w:r>
      <w:proofErr w:type="gramStart"/>
      <w:r>
        <w:rPr>
          <w:lang w:val="uk-UA"/>
        </w:rPr>
        <w:t>р</w:t>
      </w:r>
      <w:proofErr w:type="gramEnd"/>
      <w:r>
        <w:rPr>
          <w:lang w:val="uk-UA"/>
        </w:rPr>
        <w:t>ішення</w:t>
      </w:r>
      <w:r w:rsidRPr="0085000B">
        <w:rPr>
          <w:lang w:val="ru-RU"/>
        </w:rPr>
        <w:t>.</w:t>
      </w:r>
    </w:p>
  </w:footnote>
  <w:footnote w:id="29">
    <w:p w:rsidR="00D4256A" w:rsidRPr="0085000B" w:rsidRDefault="00D4256A" w:rsidP="00E93710">
      <w:pPr>
        <w:pStyle w:val="af5"/>
        <w:jc w:val="left"/>
        <w:rPr>
          <w:lang w:val="ru-RU"/>
        </w:rPr>
      </w:pPr>
      <w:r w:rsidRPr="00FB6B8A">
        <w:rPr>
          <w:rStyle w:val="af4"/>
        </w:rPr>
        <w:footnoteRef/>
      </w:r>
      <w:r w:rsidRPr="0085000B">
        <w:rPr>
          <w:lang w:val="ru-RU"/>
        </w:rPr>
        <w:t xml:space="preserve"> § 97 </w:t>
      </w:r>
      <w:proofErr w:type="gramStart"/>
      <w:r>
        <w:rPr>
          <w:lang w:val="uk-UA"/>
        </w:rPr>
        <w:t>р</w:t>
      </w:r>
      <w:proofErr w:type="gramEnd"/>
      <w:r>
        <w:rPr>
          <w:lang w:val="uk-UA"/>
        </w:rPr>
        <w:t>ішення</w:t>
      </w:r>
      <w:r w:rsidRPr="0085000B">
        <w:rPr>
          <w:lang w:val="ru-RU"/>
        </w:rPr>
        <w:t>.</w:t>
      </w:r>
    </w:p>
  </w:footnote>
  <w:footnote w:id="30">
    <w:p w:rsidR="00D4256A" w:rsidRPr="00FB1B2A" w:rsidRDefault="00D4256A" w:rsidP="00E93710">
      <w:pPr>
        <w:pStyle w:val="af5"/>
        <w:jc w:val="left"/>
        <w:rPr>
          <w:lang w:val="ru-RU"/>
        </w:rPr>
      </w:pPr>
      <w:r w:rsidRPr="00FB6B8A">
        <w:rPr>
          <w:rStyle w:val="af4"/>
        </w:rPr>
        <w:footnoteRef/>
      </w:r>
      <w:r w:rsidRPr="0085000B">
        <w:rPr>
          <w:lang w:val="ru-RU"/>
        </w:rPr>
        <w:t xml:space="preserve"> </w:t>
      </w:r>
      <w:r>
        <w:rPr>
          <w:lang w:val="uk-UA"/>
        </w:rPr>
        <w:t>Принаймні, дивно, що з одного боку</w:t>
      </w:r>
      <w:r w:rsidRPr="0085000B">
        <w:rPr>
          <w:lang w:val="ru-RU"/>
        </w:rPr>
        <w:t xml:space="preserve"> </w:t>
      </w:r>
      <w:r>
        <w:rPr>
          <w:lang w:val="uk-UA"/>
        </w:rPr>
        <w:t>більшість не бажає відхилятися від фактичних висновків національних судів</w:t>
      </w:r>
      <w:r w:rsidRPr="0085000B">
        <w:rPr>
          <w:lang w:val="ru-RU"/>
        </w:rPr>
        <w:t xml:space="preserve"> (§ 253 </w:t>
      </w:r>
      <w:r>
        <w:rPr>
          <w:lang w:val="uk-UA"/>
        </w:rPr>
        <w:t>рішення</w:t>
      </w:r>
      <w:r w:rsidRPr="0085000B">
        <w:rPr>
          <w:lang w:val="ru-RU"/>
        </w:rPr>
        <w:t>)</w:t>
      </w:r>
      <w:r>
        <w:rPr>
          <w:lang w:val="uk-UA"/>
        </w:rPr>
        <w:t>,</w:t>
      </w:r>
      <w:r w:rsidRPr="0085000B">
        <w:rPr>
          <w:lang w:val="ru-RU"/>
        </w:rPr>
        <w:t xml:space="preserve"> </w:t>
      </w:r>
      <w:r>
        <w:rPr>
          <w:lang w:val="uk-UA"/>
        </w:rPr>
        <w:t>а з іншого, критикує ці ж суди за те, що вони не прийняли до уваги «можливу плутанину</w:t>
      </w:r>
      <w:r w:rsidRPr="0085000B">
        <w:rPr>
          <w:lang w:val="ru-RU"/>
        </w:rPr>
        <w:t xml:space="preserve"> </w:t>
      </w:r>
      <w:r>
        <w:rPr>
          <w:lang w:val="uk-UA"/>
        </w:rPr>
        <w:t>з боку заявників стосовно джерела наказів»</w:t>
      </w:r>
      <w:r w:rsidRPr="0085000B">
        <w:rPr>
          <w:lang w:val="ru-RU"/>
        </w:rPr>
        <w:t xml:space="preserve"> (§ 254 </w:t>
      </w:r>
      <w:r>
        <w:rPr>
          <w:lang w:val="uk-UA"/>
        </w:rPr>
        <w:t>рішення</w:t>
      </w:r>
      <w:r w:rsidRPr="0085000B">
        <w:rPr>
          <w:lang w:val="ru-RU"/>
        </w:rPr>
        <w:t xml:space="preserve">). </w:t>
      </w:r>
      <w:r>
        <w:rPr>
          <w:lang w:val="uk-UA"/>
        </w:rPr>
        <w:t>Така критика означатиме, що Суд відхиляється від цих фактичних висновків</w:t>
      </w:r>
      <w:r w:rsidRPr="00FB1B2A">
        <w:rPr>
          <w:lang w:val="ru-RU"/>
        </w:rPr>
        <w:t>.</w:t>
      </w:r>
    </w:p>
  </w:footnote>
  <w:footnote w:id="31">
    <w:p w:rsidR="00D4256A" w:rsidRPr="0085000B" w:rsidRDefault="00D4256A" w:rsidP="00E93710">
      <w:pPr>
        <w:pStyle w:val="af5"/>
        <w:jc w:val="left"/>
        <w:rPr>
          <w:lang w:val="ru-RU"/>
        </w:rPr>
      </w:pPr>
      <w:r w:rsidRPr="00FB6B8A">
        <w:rPr>
          <w:rStyle w:val="af4"/>
        </w:rPr>
        <w:footnoteRef/>
      </w:r>
      <w:r w:rsidRPr="0085000B">
        <w:rPr>
          <w:lang w:val="ru-RU"/>
        </w:rPr>
        <w:t xml:space="preserve"> § 259 </w:t>
      </w:r>
      <w:proofErr w:type="gramStart"/>
      <w:r>
        <w:rPr>
          <w:lang w:val="uk-UA"/>
        </w:rPr>
        <w:t>р</w:t>
      </w:r>
      <w:proofErr w:type="gramEnd"/>
      <w:r>
        <w:rPr>
          <w:lang w:val="uk-UA"/>
        </w:rPr>
        <w:t>ішення</w:t>
      </w:r>
      <w:r w:rsidRPr="0085000B">
        <w:rPr>
          <w:lang w:val="ru-RU"/>
        </w:rPr>
        <w:t xml:space="preserve">. </w:t>
      </w:r>
    </w:p>
  </w:footnote>
  <w:footnote w:id="32">
    <w:p w:rsidR="00D4256A" w:rsidRPr="0085000B" w:rsidRDefault="00D4256A" w:rsidP="00E93710">
      <w:pPr>
        <w:pStyle w:val="af5"/>
        <w:jc w:val="left"/>
        <w:rPr>
          <w:lang w:val="ru-RU"/>
        </w:rPr>
      </w:pPr>
      <w:r w:rsidRPr="00FB6B8A">
        <w:rPr>
          <w:rStyle w:val="af4"/>
        </w:rPr>
        <w:footnoteRef/>
      </w:r>
      <w:r w:rsidRPr="0085000B">
        <w:rPr>
          <w:lang w:val="ru-RU"/>
        </w:rPr>
        <w:t xml:space="preserve"> § 253 </w:t>
      </w:r>
      <w:proofErr w:type="gramStart"/>
      <w:r>
        <w:rPr>
          <w:lang w:val="uk-UA"/>
        </w:rPr>
        <w:t>р</w:t>
      </w:r>
      <w:proofErr w:type="gramEnd"/>
      <w:r>
        <w:rPr>
          <w:lang w:val="uk-UA"/>
        </w:rPr>
        <w:t>ішення</w:t>
      </w:r>
      <w:r w:rsidRPr="0085000B">
        <w:rPr>
          <w:lang w:val="ru-RU"/>
        </w:rPr>
        <w:t>.</w:t>
      </w:r>
    </w:p>
  </w:footnote>
  <w:footnote w:id="33">
    <w:p w:rsidR="00D4256A" w:rsidRPr="00605ED7" w:rsidRDefault="00D4256A" w:rsidP="00E93710">
      <w:pPr>
        <w:pStyle w:val="af5"/>
        <w:jc w:val="left"/>
        <w:rPr>
          <w:lang w:val="ru-RU"/>
        </w:rPr>
      </w:pPr>
      <w:r w:rsidRPr="00FB6B8A">
        <w:rPr>
          <w:rStyle w:val="af4"/>
        </w:rPr>
        <w:footnoteRef/>
      </w:r>
      <w:r w:rsidRPr="00605ED7">
        <w:rPr>
          <w:lang w:val="ru-RU"/>
        </w:rPr>
        <w:t xml:space="preserve"> </w:t>
      </w:r>
      <w:r>
        <w:rPr>
          <w:lang w:val="uk-UA"/>
        </w:rPr>
        <w:t>Багато говорить те, що у пунктах</w:t>
      </w:r>
      <w:r w:rsidRPr="00605ED7">
        <w:rPr>
          <w:lang w:val="ru-RU"/>
        </w:rPr>
        <w:t xml:space="preserve"> 248 </w:t>
      </w:r>
      <w:r>
        <w:rPr>
          <w:lang w:val="uk-UA"/>
        </w:rPr>
        <w:t>та</w:t>
      </w:r>
      <w:r w:rsidRPr="00605ED7">
        <w:rPr>
          <w:lang w:val="ru-RU"/>
        </w:rPr>
        <w:t xml:space="preserve"> 253, </w:t>
      </w:r>
      <w:r>
        <w:rPr>
          <w:lang w:val="uk-UA"/>
        </w:rPr>
        <w:t>у частині рішення, яка стосується права</w:t>
      </w:r>
      <w:r w:rsidRPr="00605ED7">
        <w:rPr>
          <w:lang w:val="ru-RU"/>
        </w:rPr>
        <w:t xml:space="preserve">, </w:t>
      </w:r>
      <w:r>
        <w:rPr>
          <w:lang w:val="uk-UA"/>
        </w:rPr>
        <w:t>більшість посилається не на міліцейські звіти, як означено у пункті</w:t>
      </w:r>
      <w:r w:rsidRPr="00605ED7">
        <w:rPr>
          <w:lang w:val="ru-RU"/>
        </w:rPr>
        <w:t xml:space="preserve"> 43, </w:t>
      </w:r>
      <w:r>
        <w:rPr>
          <w:lang w:val="uk-UA"/>
        </w:rPr>
        <w:t>а тільки на відеоматеріали, згадані у пункті</w:t>
      </w:r>
      <w:r>
        <w:t> </w:t>
      </w:r>
      <w:r w:rsidRPr="00605ED7">
        <w:rPr>
          <w:lang w:val="ru-RU"/>
        </w:rPr>
        <w:t xml:space="preserve">45. </w:t>
      </w:r>
      <w:r>
        <w:rPr>
          <w:lang w:val="uk-UA"/>
        </w:rPr>
        <w:t>Видається, що більшість сама не довіряє міліцейським звітам</w:t>
      </w:r>
      <w:r w:rsidRPr="00605ED7">
        <w:rPr>
          <w:lang w:val="ru-RU"/>
        </w:rPr>
        <w:t xml:space="preserve">. </w:t>
      </w:r>
    </w:p>
  </w:footnote>
  <w:footnote w:id="34">
    <w:p w:rsidR="00D4256A" w:rsidRPr="0085000B" w:rsidRDefault="00D4256A" w:rsidP="00E93710">
      <w:pPr>
        <w:pStyle w:val="af5"/>
        <w:jc w:val="left"/>
        <w:rPr>
          <w:lang w:val="ru-RU"/>
        </w:rPr>
      </w:pPr>
      <w:r w:rsidRPr="00FB6B8A">
        <w:rPr>
          <w:rStyle w:val="af4"/>
        </w:rPr>
        <w:footnoteRef/>
      </w:r>
      <w:r w:rsidRPr="0085000B">
        <w:rPr>
          <w:lang w:val="ru-RU"/>
        </w:rPr>
        <w:t xml:space="preserve"> </w:t>
      </w:r>
      <w:proofErr w:type="spellStart"/>
      <w:proofErr w:type="gramStart"/>
      <w:r w:rsidRPr="00FB6B8A">
        <w:rPr>
          <w:i/>
        </w:rPr>
        <w:t>Kudrevicius</w:t>
      </w:r>
      <w:proofErr w:type="spellEnd"/>
      <w:r w:rsidRPr="0085000B">
        <w:rPr>
          <w:i/>
          <w:lang w:val="ru-RU"/>
        </w:rPr>
        <w:t xml:space="preserve"> </w:t>
      </w:r>
      <w:r w:rsidRPr="00FB6B8A">
        <w:rPr>
          <w:i/>
        </w:rPr>
        <w:t>and</w:t>
      </w:r>
      <w:r w:rsidRPr="0085000B">
        <w:rPr>
          <w:i/>
          <w:lang w:val="ru-RU"/>
        </w:rPr>
        <w:t xml:space="preserve"> </w:t>
      </w:r>
      <w:r w:rsidRPr="00FB6B8A">
        <w:rPr>
          <w:i/>
        </w:rPr>
        <w:t>Others</w:t>
      </w:r>
      <w:r w:rsidRPr="0085000B">
        <w:rPr>
          <w:i/>
          <w:lang w:val="ru-RU"/>
        </w:rPr>
        <w:t xml:space="preserve"> </w:t>
      </w:r>
      <w:r w:rsidRPr="00FB6B8A">
        <w:rPr>
          <w:i/>
        </w:rPr>
        <w:t>v</w:t>
      </w:r>
      <w:r w:rsidRPr="0085000B">
        <w:rPr>
          <w:i/>
          <w:lang w:val="ru-RU"/>
        </w:rPr>
        <w:t xml:space="preserve">. </w:t>
      </w:r>
      <w:r w:rsidRPr="00FB6B8A">
        <w:rPr>
          <w:i/>
        </w:rPr>
        <w:t>Lithuania</w:t>
      </w:r>
      <w:r w:rsidRPr="0085000B">
        <w:rPr>
          <w:lang w:val="ru-RU"/>
        </w:rPr>
        <w:t xml:space="preserve"> [</w:t>
      </w:r>
      <w:r w:rsidRPr="00FB6B8A">
        <w:t>GC</w:t>
      </w:r>
      <w:r w:rsidRPr="0085000B">
        <w:rPr>
          <w:lang w:val="ru-RU"/>
        </w:rPr>
        <w:t xml:space="preserve">], </w:t>
      </w:r>
      <w:r>
        <w:rPr>
          <w:lang w:val="uk-UA"/>
        </w:rPr>
        <w:t>№</w:t>
      </w:r>
      <w:r w:rsidRPr="0085000B">
        <w:rPr>
          <w:lang w:val="ru-RU"/>
        </w:rPr>
        <w:t xml:space="preserve"> 37553/05, § 146, 15 </w:t>
      </w:r>
      <w:r>
        <w:rPr>
          <w:lang w:val="uk-UA"/>
        </w:rPr>
        <w:t>січня</w:t>
      </w:r>
      <w:r w:rsidRPr="0085000B">
        <w:rPr>
          <w:lang w:val="ru-RU"/>
        </w:rPr>
        <w:t xml:space="preserve"> 2015.</w:t>
      </w:r>
      <w:proofErr w:type="gramEnd"/>
      <w:r w:rsidRPr="0085000B">
        <w:rPr>
          <w:lang w:val="ru-RU"/>
        </w:rPr>
        <w:t xml:space="preserve"> </w:t>
      </w:r>
      <w:r>
        <w:rPr>
          <w:lang w:val="uk-UA"/>
        </w:rPr>
        <w:t>Внутрішні цитати опущені</w:t>
      </w:r>
      <w:r w:rsidRPr="0085000B">
        <w:rPr>
          <w:lang w:val="ru-RU"/>
        </w:rPr>
        <w:t xml:space="preserve">. </w:t>
      </w:r>
    </w:p>
  </w:footnote>
  <w:footnote w:id="35">
    <w:p w:rsidR="00D4256A" w:rsidRPr="0085000B" w:rsidRDefault="00D4256A" w:rsidP="00E93710">
      <w:pPr>
        <w:pStyle w:val="af5"/>
        <w:jc w:val="left"/>
        <w:rPr>
          <w:lang w:val="ru-RU"/>
        </w:rPr>
      </w:pPr>
      <w:r w:rsidRPr="00B9381F">
        <w:rPr>
          <w:rStyle w:val="af4"/>
        </w:rPr>
        <w:footnoteRef/>
      </w:r>
      <w:r w:rsidRPr="0085000B">
        <w:rPr>
          <w:lang w:val="ru-RU"/>
        </w:rPr>
        <w:t xml:space="preserve"> § 255 </w:t>
      </w:r>
      <w:proofErr w:type="gramStart"/>
      <w:r>
        <w:rPr>
          <w:lang w:val="uk-UA"/>
        </w:rPr>
        <w:t>р</w:t>
      </w:r>
      <w:proofErr w:type="gramEnd"/>
      <w:r>
        <w:rPr>
          <w:lang w:val="uk-UA"/>
        </w:rPr>
        <w:t>ішення</w:t>
      </w:r>
      <w:r w:rsidRPr="0085000B">
        <w:rPr>
          <w:lang w:val="ru-RU"/>
        </w:rPr>
        <w:t>.</w:t>
      </w:r>
    </w:p>
  </w:footnote>
  <w:footnote w:id="36">
    <w:p w:rsidR="00D4256A" w:rsidRPr="0085000B" w:rsidRDefault="00D4256A" w:rsidP="00E93710">
      <w:pPr>
        <w:pStyle w:val="af5"/>
        <w:jc w:val="left"/>
        <w:rPr>
          <w:lang w:val="ru-RU"/>
        </w:rPr>
      </w:pPr>
      <w:r w:rsidRPr="00FB6B8A">
        <w:rPr>
          <w:rStyle w:val="af4"/>
        </w:rPr>
        <w:footnoteRef/>
      </w:r>
      <w:r w:rsidRPr="0085000B">
        <w:rPr>
          <w:lang w:val="ru-RU"/>
        </w:rPr>
        <w:t xml:space="preserve"> § 261 </w:t>
      </w:r>
      <w:proofErr w:type="gramStart"/>
      <w:r>
        <w:rPr>
          <w:lang w:val="uk-UA"/>
        </w:rPr>
        <w:t>р</w:t>
      </w:r>
      <w:proofErr w:type="gramEnd"/>
      <w:r>
        <w:rPr>
          <w:lang w:val="uk-UA"/>
        </w:rPr>
        <w:t>ішення</w:t>
      </w:r>
      <w:r w:rsidRPr="0085000B">
        <w:rPr>
          <w:lang w:val="ru-RU"/>
        </w:rPr>
        <w:t xml:space="preserve">. </w:t>
      </w:r>
    </w:p>
  </w:footnote>
  <w:footnote w:id="37">
    <w:p w:rsidR="00D4256A" w:rsidRPr="0085000B" w:rsidRDefault="00D4256A" w:rsidP="00E93710">
      <w:pPr>
        <w:pStyle w:val="af5"/>
        <w:jc w:val="left"/>
        <w:rPr>
          <w:lang w:val="ru-RU"/>
        </w:rPr>
      </w:pPr>
      <w:r w:rsidRPr="00973A6D">
        <w:rPr>
          <w:rStyle w:val="af4"/>
        </w:rPr>
        <w:footnoteRef/>
      </w:r>
      <w:r w:rsidRPr="0085000B">
        <w:rPr>
          <w:lang w:val="ru-RU"/>
        </w:rPr>
        <w:t xml:space="preserve"> § 265 </w:t>
      </w:r>
      <w:proofErr w:type="gramStart"/>
      <w:r>
        <w:rPr>
          <w:lang w:val="uk-UA"/>
        </w:rPr>
        <w:t>р</w:t>
      </w:r>
      <w:proofErr w:type="gramEnd"/>
      <w:r>
        <w:rPr>
          <w:lang w:val="uk-UA"/>
        </w:rPr>
        <w:t>ішення</w:t>
      </w:r>
      <w:r w:rsidRPr="0085000B">
        <w:rPr>
          <w:lang w:val="ru-RU"/>
        </w:rPr>
        <w:t>.</w:t>
      </w:r>
    </w:p>
  </w:footnote>
  <w:footnote w:id="38">
    <w:p w:rsidR="00D4256A" w:rsidRPr="0085000B" w:rsidRDefault="00D4256A" w:rsidP="00E93710">
      <w:pPr>
        <w:pStyle w:val="af5"/>
        <w:jc w:val="left"/>
        <w:rPr>
          <w:lang w:val="ru-RU"/>
        </w:rPr>
      </w:pPr>
      <w:r w:rsidRPr="00FB6B8A">
        <w:rPr>
          <w:rStyle w:val="af4"/>
        </w:rPr>
        <w:footnoteRef/>
      </w:r>
      <w:r w:rsidRPr="0085000B">
        <w:rPr>
          <w:lang w:val="ru-RU"/>
        </w:rPr>
        <w:t xml:space="preserve"> § 65 </w:t>
      </w:r>
      <w:proofErr w:type="gramStart"/>
      <w:r>
        <w:rPr>
          <w:lang w:val="uk-UA"/>
        </w:rPr>
        <w:t>р</w:t>
      </w:r>
      <w:proofErr w:type="gramEnd"/>
      <w:r>
        <w:rPr>
          <w:lang w:val="uk-UA"/>
        </w:rPr>
        <w:t>ішення</w:t>
      </w:r>
      <w:r w:rsidRPr="0085000B">
        <w:rPr>
          <w:lang w:val="ru-RU"/>
        </w:rPr>
        <w:t xml:space="preserve">. </w:t>
      </w:r>
    </w:p>
  </w:footnote>
  <w:footnote w:id="39">
    <w:p w:rsidR="00D4256A" w:rsidRPr="0085000B" w:rsidRDefault="00D4256A" w:rsidP="00E93710">
      <w:pPr>
        <w:pStyle w:val="af5"/>
        <w:jc w:val="left"/>
        <w:rPr>
          <w:lang w:val="ru-RU"/>
        </w:rPr>
      </w:pPr>
      <w:r w:rsidRPr="00FB6B8A">
        <w:rPr>
          <w:rStyle w:val="af4"/>
        </w:rPr>
        <w:footnoteRef/>
      </w:r>
      <w:r w:rsidRPr="0085000B">
        <w:rPr>
          <w:lang w:val="ru-RU"/>
        </w:rPr>
        <w:t xml:space="preserve"> § 266 </w:t>
      </w:r>
      <w:proofErr w:type="gramStart"/>
      <w:r>
        <w:rPr>
          <w:lang w:val="uk-UA"/>
        </w:rPr>
        <w:t>р</w:t>
      </w:r>
      <w:proofErr w:type="gramEnd"/>
      <w:r>
        <w:rPr>
          <w:lang w:val="uk-UA"/>
        </w:rPr>
        <w:t>ішення</w:t>
      </w:r>
      <w:r w:rsidRPr="0085000B">
        <w:rPr>
          <w:lang w:val="ru-RU"/>
        </w:rPr>
        <w:t>.</w:t>
      </w:r>
    </w:p>
  </w:footnote>
  <w:footnote w:id="40">
    <w:p w:rsidR="00D4256A" w:rsidRPr="0085000B" w:rsidRDefault="00D4256A" w:rsidP="00E93710">
      <w:pPr>
        <w:pStyle w:val="af5"/>
        <w:jc w:val="left"/>
        <w:rPr>
          <w:lang w:val="ru-RU"/>
        </w:rPr>
      </w:pPr>
      <w:r w:rsidRPr="00FB6B8A">
        <w:rPr>
          <w:rStyle w:val="af4"/>
        </w:rPr>
        <w:footnoteRef/>
      </w:r>
      <w:r w:rsidRPr="0085000B">
        <w:rPr>
          <w:lang w:val="ru-RU"/>
        </w:rPr>
        <w:t xml:space="preserve"> </w:t>
      </w:r>
      <w:r>
        <w:rPr>
          <w:lang w:val="uk-UA"/>
        </w:rPr>
        <w:t>Див. мою критику занадто неліберальної позиції Суду у справі</w:t>
      </w:r>
      <w:r w:rsidRPr="0085000B">
        <w:rPr>
          <w:lang w:val="ru-RU"/>
        </w:rPr>
        <w:t xml:space="preserve"> </w:t>
      </w:r>
      <w:proofErr w:type="spellStart"/>
      <w:r w:rsidRPr="00FB6B8A">
        <w:rPr>
          <w:i/>
        </w:rPr>
        <w:t>Murtazaliyeva</w:t>
      </w:r>
      <w:proofErr w:type="spellEnd"/>
      <w:r w:rsidRPr="0085000B">
        <w:rPr>
          <w:i/>
          <w:lang w:val="ru-RU"/>
        </w:rPr>
        <w:t xml:space="preserve"> </w:t>
      </w:r>
      <w:r w:rsidRPr="00FB6B8A">
        <w:rPr>
          <w:i/>
        </w:rPr>
        <w:t>v</w:t>
      </w:r>
      <w:r w:rsidRPr="0085000B">
        <w:rPr>
          <w:i/>
          <w:lang w:val="ru-RU"/>
        </w:rPr>
        <w:t xml:space="preserve">. </w:t>
      </w:r>
      <w:r w:rsidRPr="00FB6B8A">
        <w:rPr>
          <w:i/>
        </w:rPr>
        <w:t>Russia</w:t>
      </w:r>
      <w:r w:rsidRPr="0085000B">
        <w:rPr>
          <w:lang w:val="ru-RU"/>
        </w:rPr>
        <w:t xml:space="preserve">, </w:t>
      </w:r>
      <w:r>
        <w:rPr>
          <w:lang w:val="uk-UA"/>
        </w:rPr>
        <w:t>№</w:t>
      </w:r>
      <w:r>
        <w:t> </w:t>
      </w:r>
      <w:r w:rsidRPr="0085000B">
        <w:rPr>
          <w:lang w:val="ru-RU"/>
        </w:rPr>
        <w:t xml:space="preserve">36658/05, 18 </w:t>
      </w:r>
      <w:r>
        <w:rPr>
          <w:lang w:val="uk-UA"/>
        </w:rPr>
        <w:t>грудня</w:t>
      </w:r>
      <w:r w:rsidRPr="0085000B">
        <w:rPr>
          <w:lang w:val="ru-RU"/>
        </w:rPr>
        <w:t xml:space="preserve"> 2018, </w:t>
      </w:r>
      <w:r>
        <w:rPr>
          <w:lang w:val="uk-UA"/>
        </w:rPr>
        <w:t>і також</w:t>
      </w:r>
      <w:r w:rsidRPr="0085000B">
        <w:rPr>
          <w:lang w:val="ru-RU"/>
        </w:rPr>
        <w:t xml:space="preserve"> </w:t>
      </w:r>
      <w:proofErr w:type="spellStart"/>
      <w:r>
        <w:rPr>
          <w:lang w:val="uk-UA"/>
        </w:rPr>
        <w:t>Лоренс</w:t>
      </w:r>
      <w:proofErr w:type="spellEnd"/>
      <w:r>
        <w:rPr>
          <w:lang w:val="uk-UA"/>
        </w:rPr>
        <w:t xml:space="preserve"> </w:t>
      </w:r>
      <w:proofErr w:type="spellStart"/>
      <w:r>
        <w:rPr>
          <w:lang w:val="uk-UA"/>
        </w:rPr>
        <w:t>Лаврисен</w:t>
      </w:r>
      <w:proofErr w:type="spellEnd"/>
      <w:r w:rsidRPr="0085000B">
        <w:rPr>
          <w:lang w:val="ru-RU"/>
        </w:rPr>
        <w:t>, “</w:t>
      </w:r>
      <w:proofErr w:type="spellStart"/>
      <w:r w:rsidRPr="008C06C4">
        <w:rPr>
          <w:i/>
        </w:rPr>
        <w:t>Murtazaliyeva</w:t>
      </w:r>
      <w:proofErr w:type="spellEnd"/>
      <w:r w:rsidRPr="0085000B">
        <w:rPr>
          <w:i/>
          <w:lang w:val="ru-RU"/>
        </w:rPr>
        <w:t xml:space="preserve"> </w:t>
      </w:r>
      <w:r w:rsidRPr="008C06C4">
        <w:rPr>
          <w:i/>
        </w:rPr>
        <w:t>v</w:t>
      </w:r>
      <w:r w:rsidRPr="0085000B">
        <w:rPr>
          <w:i/>
          <w:lang w:val="ru-RU"/>
        </w:rPr>
        <w:t xml:space="preserve">. </w:t>
      </w:r>
      <w:r w:rsidRPr="008C06C4">
        <w:rPr>
          <w:i/>
        </w:rPr>
        <w:t>Russia</w:t>
      </w:r>
      <w:r w:rsidRPr="0085000B">
        <w:rPr>
          <w:lang w:val="ru-RU"/>
        </w:rPr>
        <w:t xml:space="preserve">: </w:t>
      </w:r>
      <w:r>
        <w:rPr>
          <w:lang w:val="uk-UA"/>
        </w:rPr>
        <w:t>щодо розгляду свідків та</w:t>
      </w:r>
      <w:r w:rsidRPr="0085000B">
        <w:rPr>
          <w:lang w:val="ru-RU"/>
        </w:rPr>
        <w:t xml:space="preserve"> </w:t>
      </w:r>
      <w:r>
        <w:rPr>
          <w:lang w:val="uk-UA"/>
        </w:rPr>
        <w:t>«корозійного розширення» перевірки загальної справедливості</w:t>
      </w:r>
      <w:r w:rsidRPr="0085000B">
        <w:rPr>
          <w:lang w:val="ru-RU"/>
        </w:rPr>
        <w:t xml:space="preserve">”, </w:t>
      </w:r>
      <w:r>
        <w:rPr>
          <w:lang w:val="uk-UA"/>
        </w:rPr>
        <w:t>у</w:t>
      </w:r>
      <w:r w:rsidRPr="0085000B">
        <w:rPr>
          <w:lang w:val="ru-RU"/>
        </w:rPr>
        <w:t xml:space="preserve"> </w:t>
      </w:r>
      <w:r w:rsidRPr="00FB6B8A">
        <w:rPr>
          <w:i/>
        </w:rPr>
        <w:t>Strasbourg</w:t>
      </w:r>
      <w:r w:rsidRPr="0085000B">
        <w:rPr>
          <w:i/>
          <w:lang w:val="ru-RU"/>
        </w:rPr>
        <w:t xml:space="preserve"> </w:t>
      </w:r>
      <w:r w:rsidRPr="00FB6B8A">
        <w:rPr>
          <w:i/>
        </w:rPr>
        <w:t>Observers</w:t>
      </w:r>
      <w:r w:rsidRPr="0085000B">
        <w:rPr>
          <w:lang w:val="ru-RU"/>
        </w:rPr>
        <w:t xml:space="preserve">, 25 </w:t>
      </w:r>
      <w:r>
        <w:rPr>
          <w:lang w:val="uk-UA"/>
        </w:rPr>
        <w:t>січня</w:t>
      </w:r>
      <w:r w:rsidRPr="0085000B">
        <w:rPr>
          <w:lang w:val="ru-RU"/>
        </w:rPr>
        <w:t xml:space="preserve"> 2019. </w:t>
      </w:r>
    </w:p>
  </w:footnote>
  <w:footnote w:id="41">
    <w:p w:rsidR="00D4256A" w:rsidRPr="000221FA" w:rsidRDefault="00D4256A" w:rsidP="00E93710">
      <w:pPr>
        <w:pStyle w:val="af5"/>
        <w:jc w:val="left"/>
        <w:rPr>
          <w:lang w:val="ru-RU"/>
        </w:rPr>
      </w:pPr>
      <w:r w:rsidRPr="00C72E05">
        <w:rPr>
          <w:rStyle w:val="af4"/>
        </w:rPr>
        <w:footnoteRef/>
      </w:r>
      <w:r w:rsidRPr="000221FA">
        <w:rPr>
          <w:lang w:val="ru-RU"/>
        </w:rPr>
        <w:t xml:space="preserve"> § 265 </w:t>
      </w:r>
      <w:proofErr w:type="gramStart"/>
      <w:r>
        <w:rPr>
          <w:lang w:val="uk-UA"/>
        </w:rPr>
        <w:t>р</w:t>
      </w:r>
      <w:proofErr w:type="gramEnd"/>
      <w:r>
        <w:rPr>
          <w:lang w:val="uk-UA"/>
        </w:rPr>
        <w:t>ішення</w:t>
      </w:r>
      <w:r w:rsidRPr="000221FA">
        <w:rPr>
          <w:lang w:val="ru-RU"/>
        </w:rPr>
        <w:t>.</w:t>
      </w:r>
    </w:p>
  </w:footnote>
  <w:footnote w:id="42">
    <w:p w:rsidR="00D4256A" w:rsidRPr="000221FA" w:rsidRDefault="00D4256A" w:rsidP="00E93710">
      <w:pPr>
        <w:pStyle w:val="af5"/>
        <w:jc w:val="left"/>
        <w:rPr>
          <w:lang w:val="ru-RU"/>
        </w:rPr>
      </w:pPr>
      <w:r w:rsidRPr="00C72E05">
        <w:rPr>
          <w:rStyle w:val="af4"/>
        </w:rPr>
        <w:footnoteRef/>
      </w:r>
      <w:r w:rsidRPr="000221FA">
        <w:rPr>
          <w:lang w:val="ru-RU"/>
        </w:rPr>
        <w:t xml:space="preserve"> </w:t>
      </w:r>
      <w:r>
        <w:rPr>
          <w:lang w:val="uk-UA"/>
        </w:rPr>
        <w:t>там же</w:t>
      </w:r>
      <w:r w:rsidRPr="000221FA">
        <w:rPr>
          <w:lang w:val="ru-RU"/>
        </w:rPr>
        <w:t>.</w:t>
      </w:r>
    </w:p>
  </w:footnote>
  <w:footnote w:id="43">
    <w:p w:rsidR="00D4256A" w:rsidRPr="000221FA" w:rsidRDefault="00D4256A" w:rsidP="00E93710">
      <w:pPr>
        <w:pStyle w:val="af5"/>
        <w:jc w:val="left"/>
        <w:rPr>
          <w:lang w:val="ru-RU"/>
        </w:rPr>
      </w:pPr>
      <w:r w:rsidRPr="00C72E05">
        <w:rPr>
          <w:rStyle w:val="af4"/>
        </w:rPr>
        <w:footnoteRef/>
      </w:r>
      <w:r w:rsidRPr="000221FA">
        <w:rPr>
          <w:lang w:val="ru-RU"/>
        </w:rPr>
        <w:t xml:space="preserve"> </w:t>
      </w:r>
      <w:r>
        <w:rPr>
          <w:lang w:val="uk-UA"/>
        </w:rPr>
        <w:t>там же</w:t>
      </w:r>
      <w:r w:rsidRPr="000221FA">
        <w:rPr>
          <w:lang w:val="ru-RU"/>
        </w:rPr>
        <w:t>.</w:t>
      </w:r>
    </w:p>
  </w:footnote>
  <w:footnote w:id="44">
    <w:p w:rsidR="00D4256A" w:rsidRPr="0085000B" w:rsidRDefault="00D4256A" w:rsidP="00E93710">
      <w:pPr>
        <w:pStyle w:val="af5"/>
        <w:jc w:val="left"/>
        <w:rPr>
          <w:lang w:val="ru-RU"/>
        </w:rPr>
      </w:pPr>
      <w:r w:rsidRPr="00C72E05">
        <w:rPr>
          <w:rStyle w:val="af4"/>
        </w:rPr>
        <w:footnoteRef/>
      </w:r>
      <w:r w:rsidRPr="0085000B">
        <w:rPr>
          <w:lang w:val="ru-RU"/>
        </w:rPr>
        <w:t xml:space="preserve"> §§ 66 </w:t>
      </w:r>
      <w:r>
        <w:rPr>
          <w:lang w:val="uk-UA"/>
        </w:rPr>
        <w:t>та</w:t>
      </w:r>
      <w:r w:rsidRPr="0085000B">
        <w:rPr>
          <w:lang w:val="ru-RU"/>
        </w:rPr>
        <w:t xml:space="preserve"> 68 </w:t>
      </w:r>
      <w:proofErr w:type="gramStart"/>
      <w:r>
        <w:rPr>
          <w:lang w:val="uk-UA"/>
        </w:rPr>
        <w:t>р</w:t>
      </w:r>
      <w:proofErr w:type="gramEnd"/>
      <w:r>
        <w:rPr>
          <w:lang w:val="uk-UA"/>
        </w:rPr>
        <w:t>ішення</w:t>
      </w:r>
      <w:r w:rsidRPr="0085000B">
        <w:rPr>
          <w:lang w:val="ru-RU"/>
        </w:rPr>
        <w:t xml:space="preserve">. </w:t>
      </w:r>
    </w:p>
  </w:footnote>
  <w:footnote w:id="45">
    <w:p w:rsidR="00D4256A" w:rsidRPr="0085000B" w:rsidRDefault="00D4256A" w:rsidP="00E93710">
      <w:pPr>
        <w:pStyle w:val="af5"/>
        <w:jc w:val="left"/>
        <w:rPr>
          <w:lang w:val="ru-RU"/>
        </w:rPr>
      </w:pPr>
      <w:r w:rsidRPr="00C72E05">
        <w:rPr>
          <w:rStyle w:val="af4"/>
        </w:rPr>
        <w:footnoteRef/>
      </w:r>
      <w:r w:rsidRPr="0085000B">
        <w:rPr>
          <w:lang w:val="ru-RU"/>
        </w:rPr>
        <w:t xml:space="preserve"> § 96 </w:t>
      </w:r>
      <w:proofErr w:type="gramStart"/>
      <w:r>
        <w:rPr>
          <w:lang w:val="uk-UA"/>
        </w:rPr>
        <w:t>р</w:t>
      </w:r>
      <w:proofErr w:type="gramEnd"/>
      <w:r>
        <w:rPr>
          <w:lang w:val="uk-UA"/>
        </w:rPr>
        <w:t>ішення</w:t>
      </w:r>
      <w:r w:rsidRPr="0085000B">
        <w:rPr>
          <w:lang w:val="ru-RU"/>
        </w:rPr>
        <w:t>.</w:t>
      </w:r>
    </w:p>
  </w:footnote>
  <w:footnote w:id="46">
    <w:p w:rsidR="00D4256A" w:rsidRPr="0085000B" w:rsidRDefault="00D4256A" w:rsidP="00E93710">
      <w:pPr>
        <w:pStyle w:val="af5"/>
        <w:jc w:val="left"/>
        <w:rPr>
          <w:lang w:val="ru-RU"/>
        </w:rPr>
      </w:pPr>
      <w:r w:rsidRPr="00FB6B8A">
        <w:rPr>
          <w:rStyle w:val="af4"/>
        </w:rPr>
        <w:footnoteRef/>
      </w:r>
      <w:r w:rsidRPr="0085000B">
        <w:rPr>
          <w:lang w:val="ru-RU"/>
        </w:rPr>
        <w:t xml:space="preserve"> </w:t>
      </w:r>
      <w:r>
        <w:rPr>
          <w:lang w:val="uk-UA"/>
        </w:rPr>
        <w:t>див., з необхідними змінами</w:t>
      </w:r>
      <w:r w:rsidRPr="0085000B">
        <w:rPr>
          <w:lang w:val="ru-RU"/>
        </w:rPr>
        <w:t xml:space="preserve">, </w:t>
      </w:r>
      <w:proofErr w:type="spellStart"/>
      <w:r w:rsidRPr="00FB6B8A">
        <w:rPr>
          <w:i/>
        </w:rPr>
        <w:t>Shvydka</w:t>
      </w:r>
      <w:proofErr w:type="spellEnd"/>
      <w:r w:rsidRPr="0085000B">
        <w:rPr>
          <w:i/>
          <w:lang w:val="ru-RU"/>
        </w:rPr>
        <w:t xml:space="preserve"> </w:t>
      </w:r>
      <w:r w:rsidRPr="00FB6B8A">
        <w:rPr>
          <w:i/>
        </w:rPr>
        <w:t>v</w:t>
      </w:r>
      <w:r w:rsidRPr="0085000B">
        <w:rPr>
          <w:i/>
          <w:lang w:val="ru-RU"/>
        </w:rPr>
        <w:t xml:space="preserve">. </w:t>
      </w:r>
      <w:proofErr w:type="gramStart"/>
      <w:r w:rsidRPr="00FB6B8A">
        <w:rPr>
          <w:i/>
        </w:rPr>
        <w:t>Ukraine</w:t>
      </w:r>
      <w:r w:rsidRPr="0085000B">
        <w:rPr>
          <w:lang w:val="ru-RU"/>
        </w:rPr>
        <w:t xml:space="preserve">, </w:t>
      </w:r>
      <w:r>
        <w:rPr>
          <w:lang w:val="uk-UA"/>
        </w:rPr>
        <w:t>№</w:t>
      </w:r>
      <w:r w:rsidRPr="0085000B">
        <w:rPr>
          <w:lang w:val="ru-RU"/>
        </w:rPr>
        <w:t xml:space="preserve"> 17888/12, §§ 53 </w:t>
      </w:r>
      <w:r>
        <w:rPr>
          <w:lang w:val="uk-UA"/>
        </w:rPr>
        <w:t>та</w:t>
      </w:r>
      <w:r w:rsidRPr="0085000B">
        <w:rPr>
          <w:lang w:val="ru-RU"/>
        </w:rPr>
        <w:t xml:space="preserve"> 54, 30 </w:t>
      </w:r>
      <w:r>
        <w:rPr>
          <w:lang w:val="uk-UA"/>
        </w:rPr>
        <w:t>жовтня</w:t>
      </w:r>
      <w:r w:rsidRPr="0085000B">
        <w:rPr>
          <w:lang w:val="ru-RU"/>
        </w:rPr>
        <w:t xml:space="preserve"> 2014.</w:t>
      </w:r>
      <w:proofErr w:type="gramEnd"/>
    </w:p>
  </w:footnote>
  <w:footnote w:id="47">
    <w:p w:rsidR="00D4256A" w:rsidRPr="008C06C4" w:rsidRDefault="00D4256A" w:rsidP="00E93710">
      <w:pPr>
        <w:pStyle w:val="af5"/>
        <w:jc w:val="left"/>
      </w:pPr>
      <w:r w:rsidRPr="008C06C4">
        <w:rPr>
          <w:rStyle w:val="af4"/>
        </w:rPr>
        <w:footnoteRef/>
      </w:r>
      <w:r w:rsidRPr="008C06C4">
        <w:t xml:space="preserve"> § 266 </w:t>
      </w:r>
      <w:r>
        <w:rPr>
          <w:lang w:val="uk-UA"/>
        </w:rPr>
        <w:t>рішення</w:t>
      </w:r>
      <w:r w:rsidRPr="008C06C4">
        <w:t>.</w:t>
      </w:r>
    </w:p>
  </w:footnote>
  <w:footnote w:id="48">
    <w:p w:rsidR="00D4256A" w:rsidRPr="00C766C5" w:rsidRDefault="00D4256A" w:rsidP="00E93710">
      <w:pPr>
        <w:pStyle w:val="af5"/>
        <w:jc w:val="left"/>
      </w:pPr>
      <w:r w:rsidRPr="00C639F9">
        <w:rPr>
          <w:rStyle w:val="af4"/>
        </w:rPr>
        <w:footnoteRef/>
      </w:r>
      <w:r w:rsidRPr="00C639F9">
        <w:t xml:space="preserve"> </w:t>
      </w:r>
      <w:proofErr w:type="spellStart"/>
      <w:r w:rsidRPr="00C639F9">
        <w:rPr>
          <w:i/>
        </w:rPr>
        <w:t>Kudrevicius</w:t>
      </w:r>
      <w:proofErr w:type="spellEnd"/>
      <w:r w:rsidRPr="00C639F9">
        <w:rPr>
          <w:i/>
        </w:rPr>
        <w:t xml:space="preserve"> and Others, </w:t>
      </w:r>
      <w:proofErr w:type="spellStart"/>
      <w:r>
        <w:rPr>
          <w:lang w:val="uk-UA"/>
        </w:rPr>
        <w:t>цит</w:t>
      </w:r>
      <w:proofErr w:type="spellEnd"/>
      <w:r>
        <w:rPr>
          <w:lang w:val="uk-UA"/>
        </w:rPr>
        <w:t xml:space="preserve">. </w:t>
      </w:r>
      <w:r>
        <w:rPr>
          <w:lang w:val="uk-UA"/>
        </w:rPr>
        <w:t>вище</w:t>
      </w:r>
      <w:r w:rsidRPr="00C639F9">
        <w:t>, § 146.</w:t>
      </w:r>
    </w:p>
  </w:footnote>
  <w:footnote w:id="49">
    <w:p w:rsidR="00D4256A" w:rsidRPr="00811ADC" w:rsidRDefault="00D4256A" w:rsidP="00E93710">
      <w:pPr>
        <w:pStyle w:val="af5"/>
        <w:jc w:val="left"/>
        <w:rPr>
          <w:lang w:val="ru-RU"/>
        </w:rPr>
      </w:pPr>
      <w:r w:rsidRPr="00C766C5">
        <w:rPr>
          <w:rStyle w:val="af4"/>
        </w:rPr>
        <w:footnoteRef/>
      </w:r>
      <w:r w:rsidRPr="00811ADC">
        <w:rPr>
          <w:lang w:val="ru-RU"/>
        </w:rPr>
        <w:t xml:space="preserve"> </w:t>
      </w:r>
      <w:r>
        <w:rPr>
          <w:lang w:val="uk-UA"/>
        </w:rPr>
        <w:t>Відповідь заявників на зауваження Уряду</w:t>
      </w:r>
      <w:r w:rsidRPr="00811ADC">
        <w:rPr>
          <w:lang w:val="ru-RU"/>
        </w:rPr>
        <w:t xml:space="preserve"> </w:t>
      </w:r>
      <w:r>
        <w:rPr>
          <w:lang w:val="uk-UA"/>
        </w:rPr>
        <w:t>щодо прийнятності та суті, 8 жовтня</w:t>
      </w:r>
      <w:r w:rsidRPr="00811ADC">
        <w:rPr>
          <w:lang w:val="ru-RU"/>
        </w:rPr>
        <w:t xml:space="preserve"> 2014</w:t>
      </w:r>
      <w:r>
        <w:rPr>
          <w:lang w:val="ru-RU"/>
        </w:rPr>
        <w:t xml:space="preserve"> р.</w:t>
      </w:r>
      <w:r w:rsidRPr="00811ADC">
        <w:rPr>
          <w:lang w:val="ru-RU"/>
        </w:rPr>
        <w:t>, §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6A" w:rsidRPr="00A45145" w:rsidRDefault="004E7608" w:rsidP="00D83351">
    <w:pPr>
      <w:jc w:val="center"/>
    </w:pPr>
    <w:r w:rsidRPr="004E7608">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233.6pt;height:96.3pt;visibility:visible">
          <v:imagedata r:id="rId1" o:title="ECHR_CoverpageCS61_ECHR_Coverpage_Header_Black"/>
        </v:shape>
      </w:pict>
    </w:r>
  </w:p>
  <w:p w:rsidR="00D4256A" w:rsidRPr="008D5A13" w:rsidRDefault="00D4256A" w:rsidP="00D83351">
    <w:pPr>
      <w:jc w:val="center"/>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6A" w:rsidRPr="00A45145" w:rsidRDefault="00B75984" w:rsidP="00D83351">
    <w:pPr>
      <w:jc w:val="center"/>
    </w:pPr>
    <w:r w:rsidRPr="004E7608">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233.6pt;height:96.3pt;visibility:visible">
          <v:imagedata r:id="rId1" o:title="ECHR_CoverpageCS61_ECHR_Coverpage_Header_Black"/>
        </v:shape>
      </w:pict>
    </w:r>
  </w:p>
  <w:p w:rsidR="00D4256A" w:rsidRPr="008D5A13" w:rsidRDefault="00D4256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6A" w:rsidRPr="004D0EC7" w:rsidRDefault="004E7608" w:rsidP="004D0EC7">
    <w:pPr>
      <w:pStyle w:val="ECHRHeader"/>
    </w:pPr>
    <w:r>
      <w:rPr>
        <w:rStyle w:val="aff7"/>
      </w:rPr>
      <w:fldChar w:fldCharType="begin"/>
    </w:r>
    <w:r w:rsidR="00D4256A">
      <w:rPr>
        <w:rStyle w:val="aff7"/>
      </w:rPr>
      <w:instrText xml:space="preserve"> PAGE </w:instrText>
    </w:r>
    <w:r>
      <w:rPr>
        <w:rStyle w:val="aff7"/>
      </w:rPr>
      <w:fldChar w:fldCharType="separate"/>
    </w:r>
    <w:r w:rsidR="00B75984">
      <w:rPr>
        <w:rStyle w:val="aff7"/>
        <w:noProof/>
      </w:rPr>
      <w:t>50</w:t>
    </w:r>
    <w:r>
      <w:rPr>
        <w:rStyle w:val="aff7"/>
      </w:rPr>
      <w:fldChar w:fldCharType="end"/>
    </w:r>
    <w:r w:rsidR="00D4256A" w:rsidRPr="004D0EC7">
      <w:tab/>
    </w:r>
    <w:r w:rsidR="00D4256A">
      <w:t>CHERNEGA AND OTHERS v. UKRAINE</w:t>
    </w:r>
    <w:r w:rsidR="00D4256A" w:rsidRPr="004D0EC7">
      <w:t xml:space="preserve"> </w:t>
    </w:r>
    <w:r w:rsidR="00D4256A">
      <w:t>JUDGMENT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6A" w:rsidRPr="00882CD5" w:rsidRDefault="00D4256A" w:rsidP="00882CD5">
    <w:pPr>
      <w:pStyle w:val="ECHRHeader"/>
    </w:pPr>
    <w:r w:rsidRPr="00882CD5">
      <w:tab/>
    </w:r>
    <w:r>
      <w:t>CHERNEGA AND OTHERS v. UKRAINE</w:t>
    </w:r>
    <w:r w:rsidRPr="00882CD5">
      <w:t xml:space="preserve"> JUDGMENT</w:t>
    </w:r>
    <w:r w:rsidRPr="00882CD5">
      <w:tab/>
    </w:r>
    <w:r w:rsidR="004E7608">
      <w:rPr>
        <w:rStyle w:val="aff7"/>
      </w:rPr>
      <w:fldChar w:fldCharType="begin"/>
    </w:r>
    <w:r>
      <w:rPr>
        <w:rStyle w:val="aff7"/>
      </w:rPr>
      <w:instrText xml:space="preserve"> PAGE </w:instrText>
    </w:r>
    <w:r w:rsidR="004E7608">
      <w:rPr>
        <w:rStyle w:val="aff7"/>
      </w:rPr>
      <w:fldChar w:fldCharType="separate"/>
    </w:r>
    <w:r w:rsidR="00B75984">
      <w:rPr>
        <w:rStyle w:val="aff7"/>
        <w:noProof/>
      </w:rPr>
      <w:t>51</w:t>
    </w:r>
    <w:r w:rsidR="004E7608">
      <w:rPr>
        <w:rStyle w:val="aff7"/>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6A" w:rsidRPr="004D0EC7" w:rsidRDefault="004E7608" w:rsidP="00E840FC">
    <w:pPr>
      <w:pStyle w:val="ECHRHeader"/>
      <w:tabs>
        <w:tab w:val="clear" w:pos="3686"/>
        <w:tab w:val="clear" w:pos="7371"/>
        <w:tab w:val="center" w:pos="3685"/>
      </w:tabs>
    </w:pPr>
    <w:r>
      <w:rPr>
        <w:rStyle w:val="aff7"/>
      </w:rPr>
      <w:fldChar w:fldCharType="begin"/>
    </w:r>
    <w:r w:rsidR="00D4256A">
      <w:rPr>
        <w:rStyle w:val="aff7"/>
      </w:rPr>
      <w:instrText xml:space="preserve"> PAGE </w:instrText>
    </w:r>
    <w:r>
      <w:rPr>
        <w:rStyle w:val="aff7"/>
      </w:rPr>
      <w:fldChar w:fldCharType="separate"/>
    </w:r>
    <w:r w:rsidR="00B75984">
      <w:rPr>
        <w:rStyle w:val="aff7"/>
        <w:noProof/>
      </w:rPr>
      <w:t>52</w:t>
    </w:r>
    <w:r>
      <w:rPr>
        <w:rStyle w:val="aff7"/>
      </w:rPr>
      <w:fldChar w:fldCharType="end"/>
    </w:r>
    <w:r w:rsidR="00D4256A" w:rsidRPr="004D0EC7">
      <w:tab/>
    </w:r>
    <w:r w:rsidR="00D4256A">
      <w:t>CHERNEGA AND OTHERS v. UKRAINE</w:t>
    </w:r>
    <w:r w:rsidR="00D4256A" w:rsidRPr="004D0EC7">
      <w:t xml:space="preserve"> </w:t>
    </w:r>
    <w:r w:rsidR="00D4256A">
      <w:t>JUDGMENT – SEPARATE OPINION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6A" w:rsidRPr="00882CD5" w:rsidRDefault="00D4256A" w:rsidP="00E840FC">
    <w:pPr>
      <w:pStyle w:val="ECHRHeader"/>
      <w:tabs>
        <w:tab w:val="clear" w:pos="3686"/>
        <w:tab w:val="clear" w:pos="7371"/>
        <w:tab w:val="center" w:pos="3685"/>
        <w:tab w:val="right" w:pos="7370"/>
      </w:tabs>
    </w:pPr>
    <w:r w:rsidRPr="00882CD5">
      <w:tab/>
    </w:r>
    <w:r>
      <w:t>CHERNEGA AND OTHERS v. UKRAINE</w:t>
    </w:r>
    <w:r w:rsidRPr="00882CD5">
      <w:t xml:space="preserve"> JUDGMENT</w:t>
    </w:r>
    <w:r>
      <w:t xml:space="preserve"> – SEPARATE OPINION</w:t>
    </w:r>
    <w:r w:rsidRPr="00882CD5">
      <w:tab/>
    </w:r>
    <w:r w:rsidR="004E7608">
      <w:rPr>
        <w:rStyle w:val="aff7"/>
      </w:rPr>
      <w:fldChar w:fldCharType="begin"/>
    </w:r>
    <w:r>
      <w:rPr>
        <w:rStyle w:val="aff7"/>
      </w:rPr>
      <w:instrText xml:space="preserve"> PAGE </w:instrText>
    </w:r>
    <w:r w:rsidR="004E7608">
      <w:rPr>
        <w:rStyle w:val="aff7"/>
      </w:rPr>
      <w:fldChar w:fldCharType="separate"/>
    </w:r>
    <w:r w:rsidR="00B75984">
      <w:rPr>
        <w:rStyle w:val="aff7"/>
        <w:noProof/>
      </w:rPr>
      <w:t>57</w:t>
    </w:r>
    <w:r w:rsidR="004E7608">
      <w:rPr>
        <w:rStyle w:val="aff7"/>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nsid w:val="FFFFFF7E"/>
    <w:multiLevelType w:val="singleLevel"/>
    <w:tmpl w:val="2F369A7C"/>
    <w:lvl w:ilvl="0">
      <w:start w:val="1"/>
      <w:numFmt w:val="decimal"/>
      <w:pStyle w:val="3"/>
      <w:lvlText w:val="%1."/>
      <w:lvlJc w:val="left"/>
      <w:pPr>
        <w:tabs>
          <w:tab w:val="num" w:pos="926"/>
        </w:tabs>
        <w:ind w:left="926" w:hanging="360"/>
      </w:pPr>
    </w:lvl>
  </w:abstractNum>
  <w:abstractNum w:abstractNumId="3">
    <w:nsid w:val="FFFFFF7F"/>
    <w:multiLevelType w:val="singleLevel"/>
    <w:tmpl w:val="3346880A"/>
    <w:lvl w:ilvl="0">
      <w:start w:val="1"/>
      <w:numFmt w:val="decimal"/>
      <w:pStyle w:val="2"/>
      <w:lvlText w:val="%1."/>
      <w:lvlJc w:val="left"/>
      <w:pPr>
        <w:tabs>
          <w:tab w:val="num" w:pos="643"/>
        </w:tabs>
        <w:ind w:left="643" w:hanging="360"/>
      </w:pPr>
    </w:lvl>
  </w:abstractNum>
  <w:abstractNum w:abstractNumId="4">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a"/>
      <w:lvlText w:val="%1."/>
      <w:lvlJc w:val="left"/>
      <w:pPr>
        <w:tabs>
          <w:tab w:val="num" w:pos="360"/>
        </w:tabs>
        <w:ind w:left="360" w:hanging="360"/>
      </w:pPr>
    </w:lvl>
  </w:abstractNum>
  <w:abstractNum w:abstractNumId="9">
    <w:nsid w:val="06871193"/>
    <w:multiLevelType w:val="hybridMultilevel"/>
    <w:tmpl w:val="BE100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1">
    <w:nsid w:val="19CB31F2"/>
    <w:multiLevelType w:val="multilevel"/>
    <w:tmpl w:val="ABC42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CD600AB"/>
    <w:multiLevelType w:val="multilevel"/>
    <w:tmpl w:val="891E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00B0341"/>
    <w:multiLevelType w:val="hybridMultilevel"/>
    <w:tmpl w:val="C9C054CC"/>
    <w:lvl w:ilvl="0" w:tplc="15D27A42">
      <w:start w:val="2"/>
      <w:numFmt w:val="decimal"/>
      <w:lvlText w:val="%1."/>
      <w:lvlJc w:val="left"/>
      <w:pPr>
        <w:ind w:left="791" w:hanging="360"/>
      </w:pPr>
      <w:rPr>
        <w:rFonts w:hint="default"/>
      </w:rPr>
    </w:lvl>
    <w:lvl w:ilvl="1" w:tplc="040C0019" w:tentative="1">
      <w:start w:val="1"/>
      <w:numFmt w:val="lowerLetter"/>
      <w:lvlText w:val="%2."/>
      <w:lvlJc w:val="left"/>
      <w:pPr>
        <w:ind w:left="1511" w:hanging="360"/>
      </w:pPr>
    </w:lvl>
    <w:lvl w:ilvl="2" w:tplc="040C001B" w:tentative="1">
      <w:start w:val="1"/>
      <w:numFmt w:val="lowerRoman"/>
      <w:lvlText w:val="%3."/>
      <w:lvlJc w:val="right"/>
      <w:pPr>
        <w:ind w:left="2231" w:hanging="180"/>
      </w:pPr>
    </w:lvl>
    <w:lvl w:ilvl="3" w:tplc="040C000F" w:tentative="1">
      <w:start w:val="1"/>
      <w:numFmt w:val="decimal"/>
      <w:lvlText w:val="%4."/>
      <w:lvlJc w:val="left"/>
      <w:pPr>
        <w:ind w:left="2951" w:hanging="360"/>
      </w:pPr>
    </w:lvl>
    <w:lvl w:ilvl="4" w:tplc="040C0019" w:tentative="1">
      <w:start w:val="1"/>
      <w:numFmt w:val="lowerLetter"/>
      <w:lvlText w:val="%5."/>
      <w:lvlJc w:val="left"/>
      <w:pPr>
        <w:ind w:left="3671" w:hanging="360"/>
      </w:pPr>
    </w:lvl>
    <w:lvl w:ilvl="5" w:tplc="040C001B" w:tentative="1">
      <w:start w:val="1"/>
      <w:numFmt w:val="lowerRoman"/>
      <w:lvlText w:val="%6."/>
      <w:lvlJc w:val="right"/>
      <w:pPr>
        <w:ind w:left="4391" w:hanging="180"/>
      </w:pPr>
    </w:lvl>
    <w:lvl w:ilvl="6" w:tplc="040C000F" w:tentative="1">
      <w:start w:val="1"/>
      <w:numFmt w:val="decimal"/>
      <w:lvlText w:val="%7."/>
      <w:lvlJc w:val="left"/>
      <w:pPr>
        <w:ind w:left="5111" w:hanging="360"/>
      </w:pPr>
    </w:lvl>
    <w:lvl w:ilvl="7" w:tplc="040C0019" w:tentative="1">
      <w:start w:val="1"/>
      <w:numFmt w:val="lowerLetter"/>
      <w:lvlText w:val="%8."/>
      <w:lvlJc w:val="left"/>
      <w:pPr>
        <w:ind w:left="5831" w:hanging="360"/>
      </w:pPr>
    </w:lvl>
    <w:lvl w:ilvl="8" w:tplc="040C001B" w:tentative="1">
      <w:start w:val="1"/>
      <w:numFmt w:val="lowerRoman"/>
      <w:lvlText w:val="%9."/>
      <w:lvlJc w:val="right"/>
      <w:pPr>
        <w:ind w:left="6551" w:hanging="180"/>
      </w:pPr>
    </w:lvl>
  </w:abstractNum>
  <w:abstractNum w:abstractNumId="16">
    <w:nsid w:val="36872617"/>
    <w:multiLevelType w:val="hybridMultilevel"/>
    <w:tmpl w:val="738094B2"/>
    <w:lvl w:ilvl="0" w:tplc="844A7366">
      <w:start w:val="1"/>
      <w:numFmt w:val="decimal"/>
      <w:lvlText w:val="%1."/>
      <w:lvlJc w:val="left"/>
      <w:pPr>
        <w:ind w:left="791" w:hanging="360"/>
      </w:pPr>
      <w:rPr>
        <w:rFonts w:hint="default"/>
      </w:rPr>
    </w:lvl>
    <w:lvl w:ilvl="1" w:tplc="040C0019" w:tentative="1">
      <w:start w:val="1"/>
      <w:numFmt w:val="lowerLetter"/>
      <w:lvlText w:val="%2."/>
      <w:lvlJc w:val="left"/>
      <w:pPr>
        <w:ind w:left="1511" w:hanging="360"/>
      </w:pPr>
    </w:lvl>
    <w:lvl w:ilvl="2" w:tplc="040C001B" w:tentative="1">
      <w:start w:val="1"/>
      <w:numFmt w:val="lowerRoman"/>
      <w:lvlText w:val="%3."/>
      <w:lvlJc w:val="right"/>
      <w:pPr>
        <w:ind w:left="2231" w:hanging="180"/>
      </w:pPr>
    </w:lvl>
    <w:lvl w:ilvl="3" w:tplc="040C000F" w:tentative="1">
      <w:start w:val="1"/>
      <w:numFmt w:val="decimal"/>
      <w:lvlText w:val="%4."/>
      <w:lvlJc w:val="left"/>
      <w:pPr>
        <w:ind w:left="2951" w:hanging="360"/>
      </w:pPr>
    </w:lvl>
    <w:lvl w:ilvl="4" w:tplc="040C0019" w:tentative="1">
      <w:start w:val="1"/>
      <w:numFmt w:val="lowerLetter"/>
      <w:lvlText w:val="%5."/>
      <w:lvlJc w:val="left"/>
      <w:pPr>
        <w:ind w:left="3671" w:hanging="360"/>
      </w:pPr>
    </w:lvl>
    <w:lvl w:ilvl="5" w:tplc="040C001B" w:tentative="1">
      <w:start w:val="1"/>
      <w:numFmt w:val="lowerRoman"/>
      <w:lvlText w:val="%6."/>
      <w:lvlJc w:val="right"/>
      <w:pPr>
        <w:ind w:left="4391" w:hanging="180"/>
      </w:pPr>
    </w:lvl>
    <w:lvl w:ilvl="6" w:tplc="040C000F" w:tentative="1">
      <w:start w:val="1"/>
      <w:numFmt w:val="decimal"/>
      <w:lvlText w:val="%7."/>
      <w:lvlJc w:val="left"/>
      <w:pPr>
        <w:ind w:left="5111" w:hanging="360"/>
      </w:pPr>
    </w:lvl>
    <w:lvl w:ilvl="7" w:tplc="040C0019" w:tentative="1">
      <w:start w:val="1"/>
      <w:numFmt w:val="lowerLetter"/>
      <w:lvlText w:val="%8."/>
      <w:lvlJc w:val="left"/>
      <w:pPr>
        <w:ind w:left="5831" w:hanging="360"/>
      </w:pPr>
    </w:lvl>
    <w:lvl w:ilvl="8" w:tplc="040C001B" w:tentative="1">
      <w:start w:val="1"/>
      <w:numFmt w:val="lowerRoman"/>
      <w:lvlText w:val="%9."/>
      <w:lvlJc w:val="right"/>
      <w:pPr>
        <w:ind w:left="6551" w:hanging="180"/>
      </w:pPr>
    </w:lvl>
  </w:abstractNum>
  <w:abstractNum w:abstractNumId="17">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05786E"/>
    <w:multiLevelType w:val="hybridMultilevel"/>
    <w:tmpl w:val="D8608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F645B"/>
    <w:multiLevelType w:val="hybridMultilevel"/>
    <w:tmpl w:val="68EC8F5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4CC90302"/>
    <w:multiLevelType w:val="hybridMultilevel"/>
    <w:tmpl w:val="1AC41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FD1241"/>
    <w:multiLevelType w:val="hybridMultilevel"/>
    <w:tmpl w:val="F6D86CC2"/>
    <w:lvl w:ilvl="0" w:tplc="E4205412">
      <w:start w:val="1"/>
      <w:numFmt w:val="bullet"/>
      <w:pStyle w:val="a1"/>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3">
    <w:nsid w:val="697F0A98"/>
    <w:multiLevelType w:val="hybridMultilevel"/>
    <w:tmpl w:val="D3F2A6C8"/>
    <w:lvl w:ilvl="0" w:tplc="88000C30">
      <w:start w:val="1"/>
      <w:numFmt w:val="upperLetter"/>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4">
    <w:nsid w:val="6B5858AD"/>
    <w:multiLevelType w:val="multilevel"/>
    <w:tmpl w:val="57CE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2215A2"/>
    <w:multiLevelType w:val="multilevel"/>
    <w:tmpl w:val="1C8A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3E6853"/>
    <w:multiLevelType w:val="hybridMultilevel"/>
    <w:tmpl w:val="14DC95A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rPr>
    </w:lvl>
    <w:lvl w:ilvl="1">
      <w:start w:val="1"/>
      <w:numFmt w:val="bullet"/>
      <w:lvlText w:val=""/>
      <w:lvlJc w:val="left"/>
      <w:pPr>
        <w:tabs>
          <w:tab w:val="num" w:pos="1134"/>
        </w:tabs>
        <w:ind w:left="1135" w:hanging="284"/>
      </w:pPr>
      <w:rPr>
        <w:rFonts w:ascii="Wingdings" w:hAnsi="Wingdings" w:hint="default"/>
        <w:color w:val="0072BC"/>
      </w:rPr>
    </w:lvl>
    <w:lvl w:ilvl="2">
      <w:start w:val="1"/>
      <w:numFmt w:val="bullet"/>
      <w:lvlText w:val=""/>
      <w:lvlJc w:val="left"/>
      <w:pPr>
        <w:tabs>
          <w:tab w:val="num" w:pos="1418"/>
        </w:tabs>
        <w:ind w:left="1419" w:hanging="284"/>
      </w:pPr>
      <w:rPr>
        <w:rFonts w:ascii="Wingdings" w:hAnsi="Wingdings" w:hint="default"/>
        <w:color w:val="7F7F7F"/>
      </w:rPr>
    </w:lvl>
    <w:lvl w:ilvl="3">
      <w:start w:val="1"/>
      <w:numFmt w:val="bullet"/>
      <w:lvlText w:val=""/>
      <w:lvlJc w:val="left"/>
      <w:pPr>
        <w:tabs>
          <w:tab w:val="num" w:pos="1701"/>
        </w:tabs>
        <w:ind w:left="1703" w:hanging="284"/>
      </w:pPr>
      <w:rPr>
        <w:rFonts w:ascii="Wingdings" w:hAnsi="Wingdings" w:hint="default"/>
        <w:color w:val="7F7F7F"/>
      </w:rPr>
    </w:lvl>
    <w:lvl w:ilvl="4">
      <w:start w:val="1"/>
      <w:numFmt w:val="bullet"/>
      <w:lvlText w:val=""/>
      <w:lvlJc w:val="left"/>
      <w:pPr>
        <w:tabs>
          <w:tab w:val="num" w:pos="1760"/>
        </w:tabs>
        <w:ind w:left="1987" w:hanging="284"/>
      </w:pPr>
      <w:rPr>
        <w:rFonts w:ascii="Wingdings" w:hAnsi="Wingdings" w:hint="default"/>
        <w:color w:val="0072BC"/>
      </w:rPr>
    </w:lvl>
    <w:lvl w:ilvl="5">
      <w:start w:val="1"/>
      <w:numFmt w:val="bullet"/>
      <w:lvlText w:val=""/>
      <w:lvlJc w:val="left"/>
      <w:pPr>
        <w:tabs>
          <w:tab w:val="num" w:pos="2044"/>
        </w:tabs>
        <w:ind w:left="2271" w:hanging="284"/>
      </w:pPr>
      <w:rPr>
        <w:rFonts w:ascii="Wingdings" w:hAnsi="Wingdings" w:hint="default"/>
        <w:color w:val="5F5F5F"/>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7"/>
  </w:num>
  <w:num w:numId="2">
    <w:abstractNumId w:val="2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0"/>
  </w:num>
  <w:num w:numId="6">
    <w:abstractNumId w:val="28"/>
  </w:num>
  <w:num w:numId="7">
    <w:abstractNumId w:val="10"/>
  </w:num>
  <w:num w:numId="8">
    <w:abstractNumId w:val="6"/>
  </w:num>
  <w:num w:numId="9">
    <w:abstractNumId w:val="22"/>
  </w:num>
  <w:num w:numId="10">
    <w:abstractNumId w:val="18"/>
  </w:num>
  <w:num w:numId="11">
    <w:abstractNumId w:val="14"/>
  </w:num>
  <w:num w:numId="12">
    <w:abstractNumId w:val="12"/>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19"/>
  </w:num>
  <w:num w:numId="24">
    <w:abstractNumId w:val="21"/>
  </w:num>
  <w:num w:numId="25">
    <w:abstractNumId w:val="20"/>
  </w:num>
  <w:num w:numId="26">
    <w:abstractNumId w:val="25"/>
  </w:num>
  <w:num w:numId="27">
    <w:abstractNumId w:val="24"/>
  </w:num>
  <w:num w:numId="28">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9">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0">
    <w:abstractNumId w:val="13"/>
  </w:num>
  <w:num w:numId="31">
    <w:abstractNumId w:val="23"/>
  </w:num>
  <w:num w:numId="32">
    <w:abstractNumId w:val="16"/>
  </w:num>
  <w:num w:numId="33">
    <w:abstractNumId w:val="15"/>
  </w:num>
  <w:num w:numId="34">
    <w:abstractNumId w:val="9"/>
  </w:num>
  <w:num w:numId="35">
    <w:abstractNumId w:val="27"/>
  </w:num>
  <w:num w:numId="36">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mirrorMargins/>
  <w:proofState w:spelling="clean" w:grammar="clean"/>
  <w:stylePaneFormatFilter w:val="D004"/>
  <w:revisionView w:markup="0"/>
  <w:trackRevisions/>
  <w:doNotTrackMoves/>
  <w:documentProtection w:edit="trackedChanges" w:enforcement="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4"/>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MM" w:val="0"/>
    <w:docVar w:name="NBEMMDOC" w:val="0"/>
  </w:docVars>
  <w:rsids>
    <w:rsidRoot w:val="00D83351"/>
    <w:rsid w:val="00001F5D"/>
    <w:rsid w:val="000041F8"/>
    <w:rsid w:val="000042A8"/>
    <w:rsid w:val="00004308"/>
    <w:rsid w:val="00005BF0"/>
    <w:rsid w:val="00006F37"/>
    <w:rsid w:val="00007154"/>
    <w:rsid w:val="000103AE"/>
    <w:rsid w:val="00011856"/>
    <w:rsid w:val="00011D69"/>
    <w:rsid w:val="0001205D"/>
    <w:rsid w:val="00012549"/>
    <w:rsid w:val="00012AD3"/>
    <w:rsid w:val="000135E5"/>
    <w:rsid w:val="00015AB6"/>
    <w:rsid w:val="00015C2D"/>
    <w:rsid w:val="00015F00"/>
    <w:rsid w:val="000201DB"/>
    <w:rsid w:val="000221FA"/>
    <w:rsid w:val="0002235F"/>
    <w:rsid w:val="00022C1D"/>
    <w:rsid w:val="00022D5C"/>
    <w:rsid w:val="00026546"/>
    <w:rsid w:val="00026B77"/>
    <w:rsid w:val="00030618"/>
    <w:rsid w:val="00030FE1"/>
    <w:rsid w:val="000315C3"/>
    <w:rsid w:val="00032DAD"/>
    <w:rsid w:val="0003438B"/>
    <w:rsid w:val="00034987"/>
    <w:rsid w:val="00035090"/>
    <w:rsid w:val="000354C7"/>
    <w:rsid w:val="000364D8"/>
    <w:rsid w:val="000401C3"/>
    <w:rsid w:val="000403C9"/>
    <w:rsid w:val="0004174B"/>
    <w:rsid w:val="000440AE"/>
    <w:rsid w:val="00044BF7"/>
    <w:rsid w:val="00045440"/>
    <w:rsid w:val="00050173"/>
    <w:rsid w:val="000504E1"/>
    <w:rsid w:val="000529D2"/>
    <w:rsid w:val="0005679A"/>
    <w:rsid w:val="00056AB0"/>
    <w:rsid w:val="00056B27"/>
    <w:rsid w:val="000602DF"/>
    <w:rsid w:val="00061B05"/>
    <w:rsid w:val="000632D5"/>
    <w:rsid w:val="000644EE"/>
    <w:rsid w:val="000653F2"/>
    <w:rsid w:val="000729ED"/>
    <w:rsid w:val="00072C3B"/>
    <w:rsid w:val="000764D1"/>
    <w:rsid w:val="000775F5"/>
    <w:rsid w:val="000802E3"/>
    <w:rsid w:val="00080989"/>
    <w:rsid w:val="00083890"/>
    <w:rsid w:val="00087418"/>
    <w:rsid w:val="000878B7"/>
    <w:rsid w:val="00087A74"/>
    <w:rsid w:val="00092381"/>
    <w:rsid w:val="000925AD"/>
    <w:rsid w:val="00092D05"/>
    <w:rsid w:val="00094C50"/>
    <w:rsid w:val="00096492"/>
    <w:rsid w:val="000A0E5F"/>
    <w:rsid w:val="000A24C0"/>
    <w:rsid w:val="000A24EB"/>
    <w:rsid w:val="000A2AF9"/>
    <w:rsid w:val="000A2DE1"/>
    <w:rsid w:val="000A38E5"/>
    <w:rsid w:val="000A3C10"/>
    <w:rsid w:val="000A6AC9"/>
    <w:rsid w:val="000B1305"/>
    <w:rsid w:val="000B36D7"/>
    <w:rsid w:val="000B4542"/>
    <w:rsid w:val="000B5246"/>
    <w:rsid w:val="000B6923"/>
    <w:rsid w:val="000B7195"/>
    <w:rsid w:val="000C2E16"/>
    <w:rsid w:val="000C5F3C"/>
    <w:rsid w:val="000C6898"/>
    <w:rsid w:val="000C6DCC"/>
    <w:rsid w:val="000D152A"/>
    <w:rsid w:val="000D1AE5"/>
    <w:rsid w:val="000D47AA"/>
    <w:rsid w:val="000D721F"/>
    <w:rsid w:val="000E069B"/>
    <w:rsid w:val="000E0E82"/>
    <w:rsid w:val="000E1DC5"/>
    <w:rsid w:val="000E223F"/>
    <w:rsid w:val="000E26E1"/>
    <w:rsid w:val="000E3D24"/>
    <w:rsid w:val="000E4935"/>
    <w:rsid w:val="000E5BD2"/>
    <w:rsid w:val="000E63EA"/>
    <w:rsid w:val="000E6657"/>
    <w:rsid w:val="000E7D45"/>
    <w:rsid w:val="000F0829"/>
    <w:rsid w:val="000F43DD"/>
    <w:rsid w:val="000F77E9"/>
    <w:rsid w:val="000F7851"/>
    <w:rsid w:val="000F7CBC"/>
    <w:rsid w:val="000F7D40"/>
    <w:rsid w:val="00101505"/>
    <w:rsid w:val="00104E23"/>
    <w:rsid w:val="001056C0"/>
    <w:rsid w:val="00110DA8"/>
    <w:rsid w:val="00111B0C"/>
    <w:rsid w:val="00112E31"/>
    <w:rsid w:val="00116FBC"/>
    <w:rsid w:val="00120D6C"/>
    <w:rsid w:val="00120F0A"/>
    <w:rsid w:val="00121B3C"/>
    <w:rsid w:val="001257EC"/>
    <w:rsid w:val="00126506"/>
    <w:rsid w:val="00126610"/>
    <w:rsid w:val="00130E50"/>
    <w:rsid w:val="00133D33"/>
    <w:rsid w:val="00134CFC"/>
    <w:rsid w:val="00134D64"/>
    <w:rsid w:val="00135A30"/>
    <w:rsid w:val="00135E2E"/>
    <w:rsid w:val="0013612C"/>
    <w:rsid w:val="001375BE"/>
    <w:rsid w:val="00137FF6"/>
    <w:rsid w:val="00141650"/>
    <w:rsid w:val="001416B1"/>
    <w:rsid w:val="00142A05"/>
    <w:rsid w:val="00142B69"/>
    <w:rsid w:val="001460DA"/>
    <w:rsid w:val="001507C1"/>
    <w:rsid w:val="0015262E"/>
    <w:rsid w:val="001530A4"/>
    <w:rsid w:val="001533C0"/>
    <w:rsid w:val="0015397D"/>
    <w:rsid w:val="00153AAE"/>
    <w:rsid w:val="001556DC"/>
    <w:rsid w:val="00160ED1"/>
    <w:rsid w:val="00162A12"/>
    <w:rsid w:val="00166530"/>
    <w:rsid w:val="00166778"/>
    <w:rsid w:val="00166E5A"/>
    <w:rsid w:val="00170680"/>
    <w:rsid w:val="0017169F"/>
    <w:rsid w:val="001719AA"/>
    <w:rsid w:val="00172DCA"/>
    <w:rsid w:val="00181EC9"/>
    <w:rsid w:val="001832BD"/>
    <w:rsid w:val="00184AC9"/>
    <w:rsid w:val="00184BF6"/>
    <w:rsid w:val="001943B5"/>
    <w:rsid w:val="00195134"/>
    <w:rsid w:val="001959E3"/>
    <w:rsid w:val="00195A58"/>
    <w:rsid w:val="0019756B"/>
    <w:rsid w:val="001A145B"/>
    <w:rsid w:val="001A24E1"/>
    <w:rsid w:val="001A36A6"/>
    <w:rsid w:val="001A47FC"/>
    <w:rsid w:val="001A4B67"/>
    <w:rsid w:val="001A5D3D"/>
    <w:rsid w:val="001A674C"/>
    <w:rsid w:val="001A6FBD"/>
    <w:rsid w:val="001A7226"/>
    <w:rsid w:val="001B3B24"/>
    <w:rsid w:val="001B3C77"/>
    <w:rsid w:val="001B41D8"/>
    <w:rsid w:val="001B689B"/>
    <w:rsid w:val="001B6A6E"/>
    <w:rsid w:val="001C0265"/>
    <w:rsid w:val="001C0F98"/>
    <w:rsid w:val="001C1061"/>
    <w:rsid w:val="001C2A42"/>
    <w:rsid w:val="001C6D96"/>
    <w:rsid w:val="001D020A"/>
    <w:rsid w:val="001D25A2"/>
    <w:rsid w:val="001D3F97"/>
    <w:rsid w:val="001D5009"/>
    <w:rsid w:val="001D5631"/>
    <w:rsid w:val="001D5DDE"/>
    <w:rsid w:val="001D63ED"/>
    <w:rsid w:val="001D6AB0"/>
    <w:rsid w:val="001D6F56"/>
    <w:rsid w:val="001D7348"/>
    <w:rsid w:val="001E035B"/>
    <w:rsid w:val="001E0961"/>
    <w:rsid w:val="001E3EAE"/>
    <w:rsid w:val="001E55B0"/>
    <w:rsid w:val="001E6F32"/>
    <w:rsid w:val="001E7A1D"/>
    <w:rsid w:val="001F0FEE"/>
    <w:rsid w:val="001F2145"/>
    <w:rsid w:val="001F6262"/>
    <w:rsid w:val="001F67B0"/>
    <w:rsid w:val="001F7B3D"/>
    <w:rsid w:val="002020D0"/>
    <w:rsid w:val="002037AA"/>
    <w:rsid w:val="002038FF"/>
    <w:rsid w:val="00204F76"/>
    <w:rsid w:val="002051CC"/>
    <w:rsid w:val="00205302"/>
    <w:rsid w:val="00205F9F"/>
    <w:rsid w:val="00210338"/>
    <w:rsid w:val="002115FC"/>
    <w:rsid w:val="0021360E"/>
    <w:rsid w:val="0021423C"/>
    <w:rsid w:val="002164EE"/>
    <w:rsid w:val="002173C9"/>
    <w:rsid w:val="00220468"/>
    <w:rsid w:val="0022411A"/>
    <w:rsid w:val="00224B04"/>
    <w:rsid w:val="002254F0"/>
    <w:rsid w:val="00230D00"/>
    <w:rsid w:val="00231734"/>
    <w:rsid w:val="00231DF7"/>
    <w:rsid w:val="00231FD1"/>
    <w:rsid w:val="002339E0"/>
    <w:rsid w:val="00233CF8"/>
    <w:rsid w:val="00234848"/>
    <w:rsid w:val="0023575D"/>
    <w:rsid w:val="00237148"/>
    <w:rsid w:val="00241032"/>
    <w:rsid w:val="0024222D"/>
    <w:rsid w:val="002422B6"/>
    <w:rsid w:val="002429B8"/>
    <w:rsid w:val="002439F2"/>
    <w:rsid w:val="00244AEB"/>
    <w:rsid w:val="00244B0E"/>
    <w:rsid w:val="00244F6C"/>
    <w:rsid w:val="002456F5"/>
    <w:rsid w:val="002532C5"/>
    <w:rsid w:val="00260C03"/>
    <w:rsid w:val="00260CBE"/>
    <w:rsid w:val="00264378"/>
    <w:rsid w:val="0026540E"/>
    <w:rsid w:val="00265594"/>
    <w:rsid w:val="00265BAA"/>
    <w:rsid w:val="00270FB2"/>
    <w:rsid w:val="002712C2"/>
    <w:rsid w:val="00275123"/>
    <w:rsid w:val="002821A4"/>
    <w:rsid w:val="00282240"/>
    <w:rsid w:val="00283E0C"/>
    <w:rsid w:val="002858FE"/>
    <w:rsid w:val="00286D29"/>
    <w:rsid w:val="00287AD5"/>
    <w:rsid w:val="002948AD"/>
    <w:rsid w:val="00296363"/>
    <w:rsid w:val="002A01CC"/>
    <w:rsid w:val="002A0DFF"/>
    <w:rsid w:val="002A3FDA"/>
    <w:rsid w:val="002A61B1"/>
    <w:rsid w:val="002A663C"/>
    <w:rsid w:val="002A6BCF"/>
    <w:rsid w:val="002B2084"/>
    <w:rsid w:val="002B27B6"/>
    <w:rsid w:val="002B2E61"/>
    <w:rsid w:val="002B3EF8"/>
    <w:rsid w:val="002B444B"/>
    <w:rsid w:val="002B531F"/>
    <w:rsid w:val="002B5887"/>
    <w:rsid w:val="002B6D77"/>
    <w:rsid w:val="002C0E27"/>
    <w:rsid w:val="002C3040"/>
    <w:rsid w:val="002C34AB"/>
    <w:rsid w:val="002C3BA2"/>
    <w:rsid w:val="002C4433"/>
    <w:rsid w:val="002D022D"/>
    <w:rsid w:val="002D026D"/>
    <w:rsid w:val="002D1EAD"/>
    <w:rsid w:val="002D24BB"/>
    <w:rsid w:val="002D32FD"/>
    <w:rsid w:val="002D59EA"/>
    <w:rsid w:val="002D741E"/>
    <w:rsid w:val="002D7B58"/>
    <w:rsid w:val="002E46DA"/>
    <w:rsid w:val="002E7B52"/>
    <w:rsid w:val="002F2AF7"/>
    <w:rsid w:val="002F301D"/>
    <w:rsid w:val="002F36E2"/>
    <w:rsid w:val="002F3D42"/>
    <w:rsid w:val="002F4875"/>
    <w:rsid w:val="002F4948"/>
    <w:rsid w:val="002F5892"/>
    <w:rsid w:val="002F642F"/>
    <w:rsid w:val="002F706B"/>
    <w:rsid w:val="002F7E1C"/>
    <w:rsid w:val="003007D8"/>
    <w:rsid w:val="00300B1A"/>
    <w:rsid w:val="003016C2"/>
    <w:rsid w:val="00301A75"/>
    <w:rsid w:val="00302F70"/>
    <w:rsid w:val="0030336F"/>
    <w:rsid w:val="003033EF"/>
    <w:rsid w:val="0030375E"/>
    <w:rsid w:val="00306A68"/>
    <w:rsid w:val="00312A30"/>
    <w:rsid w:val="00312F0E"/>
    <w:rsid w:val="003136F2"/>
    <w:rsid w:val="00316E96"/>
    <w:rsid w:val="00317FDB"/>
    <w:rsid w:val="00320F72"/>
    <w:rsid w:val="00321D17"/>
    <w:rsid w:val="00323208"/>
    <w:rsid w:val="00324614"/>
    <w:rsid w:val="0032463E"/>
    <w:rsid w:val="00326224"/>
    <w:rsid w:val="00326ACA"/>
    <w:rsid w:val="00331F00"/>
    <w:rsid w:val="00332384"/>
    <w:rsid w:val="00334311"/>
    <w:rsid w:val="00334477"/>
    <w:rsid w:val="00334D9A"/>
    <w:rsid w:val="00337EE4"/>
    <w:rsid w:val="00340FFD"/>
    <w:rsid w:val="00341153"/>
    <w:rsid w:val="003415CC"/>
    <w:rsid w:val="003430D1"/>
    <w:rsid w:val="003447CA"/>
    <w:rsid w:val="00345C41"/>
    <w:rsid w:val="003464AF"/>
    <w:rsid w:val="00347CCD"/>
    <w:rsid w:val="003506B1"/>
    <w:rsid w:val="003515CD"/>
    <w:rsid w:val="00351EBF"/>
    <w:rsid w:val="00356AC7"/>
    <w:rsid w:val="0035751C"/>
    <w:rsid w:val="003575AD"/>
    <w:rsid w:val="003609FA"/>
    <w:rsid w:val="00360E36"/>
    <w:rsid w:val="00363A44"/>
    <w:rsid w:val="00363F6B"/>
    <w:rsid w:val="00370759"/>
    <w:rsid w:val="003710C8"/>
    <w:rsid w:val="003750BE"/>
    <w:rsid w:val="003757C3"/>
    <w:rsid w:val="00376B36"/>
    <w:rsid w:val="00385549"/>
    <w:rsid w:val="003868A3"/>
    <w:rsid w:val="00387B9D"/>
    <w:rsid w:val="00390494"/>
    <w:rsid w:val="0039364F"/>
    <w:rsid w:val="00393A65"/>
    <w:rsid w:val="003959CC"/>
    <w:rsid w:val="00396686"/>
    <w:rsid w:val="00396847"/>
    <w:rsid w:val="0039778E"/>
    <w:rsid w:val="003A399B"/>
    <w:rsid w:val="003A6037"/>
    <w:rsid w:val="003B07B5"/>
    <w:rsid w:val="003B2830"/>
    <w:rsid w:val="003B2D38"/>
    <w:rsid w:val="003B3FE0"/>
    <w:rsid w:val="003B4941"/>
    <w:rsid w:val="003B4CF5"/>
    <w:rsid w:val="003B7B6B"/>
    <w:rsid w:val="003C0245"/>
    <w:rsid w:val="003C5283"/>
    <w:rsid w:val="003C5714"/>
    <w:rsid w:val="003C5985"/>
    <w:rsid w:val="003C5E88"/>
    <w:rsid w:val="003C613F"/>
    <w:rsid w:val="003C6B9F"/>
    <w:rsid w:val="003C6C53"/>
    <w:rsid w:val="003C6E2A"/>
    <w:rsid w:val="003D0299"/>
    <w:rsid w:val="003D4539"/>
    <w:rsid w:val="003D4E3A"/>
    <w:rsid w:val="003E0A58"/>
    <w:rsid w:val="003E2D41"/>
    <w:rsid w:val="003E318C"/>
    <w:rsid w:val="003E6D80"/>
    <w:rsid w:val="003F05FA"/>
    <w:rsid w:val="003F244A"/>
    <w:rsid w:val="003F30B8"/>
    <w:rsid w:val="003F48E3"/>
    <w:rsid w:val="003F4C45"/>
    <w:rsid w:val="003F5F7B"/>
    <w:rsid w:val="003F7405"/>
    <w:rsid w:val="003F7D64"/>
    <w:rsid w:val="0040058F"/>
    <w:rsid w:val="00400854"/>
    <w:rsid w:val="0040096C"/>
    <w:rsid w:val="004039AA"/>
    <w:rsid w:val="004061F8"/>
    <w:rsid w:val="00407AFA"/>
    <w:rsid w:val="0041034E"/>
    <w:rsid w:val="0041333A"/>
    <w:rsid w:val="00414300"/>
    <w:rsid w:val="004156E0"/>
    <w:rsid w:val="00420703"/>
    <w:rsid w:val="004221D4"/>
    <w:rsid w:val="00422352"/>
    <w:rsid w:val="00425979"/>
    <w:rsid w:val="00425C67"/>
    <w:rsid w:val="004260BC"/>
    <w:rsid w:val="00427530"/>
    <w:rsid w:val="00427E7A"/>
    <w:rsid w:val="00431F94"/>
    <w:rsid w:val="0043572F"/>
    <w:rsid w:val="00435D84"/>
    <w:rsid w:val="004363B4"/>
    <w:rsid w:val="00436C49"/>
    <w:rsid w:val="00437AC5"/>
    <w:rsid w:val="0044417F"/>
    <w:rsid w:val="004451E3"/>
    <w:rsid w:val="00445366"/>
    <w:rsid w:val="004463B0"/>
    <w:rsid w:val="00447995"/>
    <w:rsid w:val="00447F5B"/>
    <w:rsid w:val="004504EF"/>
    <w:rsid w:val="004533DB"/>
    <w:rsid w:val="00457287"/>
    <w:rsid w:val="00457F6A"/>
    <w:rsid w:val="004604BA"/>
    <w:rsid w:val="00461DB0"/>
    <w:rsid w:val="00463926"/>
    <w:rsid w:val="00464C9A"/>
    <w:rsid w:val="00470BB1"/>
    <w:rsid w:val="00474F3D"/>
    <w:rsid w:val="0047509D"/>
    <w:rsid w:val="00477E3A"/>
    <w:rsid w:val="00483E5F"/>
    <w:rsid w:val="00485FF9"/>
    <w:rsid w:val="004907F0"/>
    <w:rsid w:val="0049140B"/>
    <w:rsid w:val="004923A5"/>
    <w:rsid w:val="00494439"/>
    <w:rsid w:val="00496BFB"/>
    <w:rsid w:val="0049720B"/>
    <w:rsid w:val="004A15C7"/>
    <w:rsid w:val="004A18C3"/>
    <w:rsid w:val="004A23B7"/>
    <w:rsid w:val="004A2B30"/>
    <w:rsid w:val="004A454A"/>
    <w:rsid w:val="004B013B"/>
    <w:rsid w:val="004B0F19"/>
    <w:rsid w:val="004B112B"/>
    <w:rsid w:val="004B3A98"/>
    <w:rsid w:val="004B6B3F"/>
    <w:rsid w:val="004C01E4"/>
    <w:rsid w:val="004C086C"/>
    <w:rsid w:val="004C0E11"/>
    <w:rsid w:val="004C1F56"/>
    <w:rsid w:val="004C27BC"/>
    <w:rsid w:val="004C2E91"/>
    <w:rsid w:val="004C39C8"/>
    <w:rsid w:val="004D0EC7"/>
    <w:rsid w:val="004D15F3"/>
    <w:rsid w:val="004D2BA2"/>
    <w:rsid w:val="004D427C"/>
    <w:rsid w:val="004D5311"/>
    <w:rsid w:val="004D5DCC"/>
    <w:rsid w:val="004D7E45"/>
    <w:rsid w:val="004E25C2"/>
    <w:rsid w:val="004E43BB"/>
    <w:rsid w:val="004E5266"/>
    <w:rsid w:val="004E581D"/>
    <w:rsid w:val="004E6113"/>
    <w:rsid w:val="004E7527"/>
    <w:rsid w:val="004E7608"/>
    <w:rsid w:val="004F10AF"/>
    <w:rsid w:val="004F11A4"/>
    <w:rsid w:val="004F2389"/>
    <w:rsid w:val="004F304D"/>
    <w:rsid w:val="004F61BE"/>
    <w:rsid w:val="004F6500"/>
    <w:rsid w:val="004F66B1"/>
    <w:rsid w:val="00500C49"/>
    <w:rsid w:val="005027C2"/>
    <w:rsid w:val="00502BB0"/>
    <w:rsid w:val="005032A3"/>
    <w:rsid w:val="00503AE6"/>
    <w:rsid w:val="005048E1"/>
    <w:rsid w:val="00505A70"/>
    <w:rsid w:val="0050761F"/>
    <w:rsid w:val="00511C07"/>
    <w:rsid w:val="00512248"/>
    <w:rsid w:val="00513FA5"/>
    <w:rsid w:val="005161DF"/>
    <w:rsid w:val="005173A6"/>
    <w:rsid w:val="0052081D"/>
    <w:rsid w:val="00520BAA"/>
    <w:rsid w:val="005215EC"/>
    <w:rsid w:val="005217D8"/>
    <w:rsid w:val="00521C06"/>
    <w:rsid w:val="0052219B"/>
    <w:rsid w:val="00523132"/>
    <w:rsid w:val="00525208"/>
    <w:rsid w:val="005257A5"/>
    <w:rsid w:val="005264C0"/>
    <w:rsid w:val="00526A8A"/>
    <w:rsid w:val="005276E3"/>
    <w:rsid w:val="005309FB"/>
    <w:rsid w:val="00531DF2"/>
    <w:rsid w:val="00532F8D"/>
    <w:rsid w:val="0053375D"/>
    <w:rsid w:val="005353F6"/>
    <w:rsid w:val="00535F0A"/>
    <w:rsid w:val="005366D2"/>
    <w:rsid w:val="00536878"/>
    <w:rsid w:val="00537476"/>
    <w:rsid w:val="005442EE"/>
    <w:rsid w:val="00545AC1"/>
    <w:rsid w:val="00545DA6"/>
    <w:rsid w:val="00546CFE"/>
    <w:rsid w:val="00547353"/>
    <w:rsid w:val="00547404"/>
    <w:rsid w:val="005474E7"/>
    <w:rsid w:val="005478E7"/>
    <w:rsid w:val="005512A3"/>
    <w:rsid w:val="0055171F"/>
    <w:rsid w:val="00554534"/>
    <w:rsid w:val="00555CC3"/>
    <w:rsid w:val="005578CE"/>
    <w:rsid w:val="0056233C"/>
    <w:rsid w:val="00562781"/>
    <w:rsid w:val="00562B6C"/>
    <w:rsid w:val="0057271C"/>
    <w:rsid w:val="005727CD"/>
    <w:rsid w:val="00572845"/>
    <w:rsid w:val="0057698C"/>
    <w:rsid w:val="00582466"/>
    <w:rsid w:val="0058404D"/>
    <w:rsid w:val="00587541"/>
    <w:rsid w:val="00591338"/>
    <w:rsid w:val="005914FD"/>
    <w:rsid w:val="00592772"/>
    <w:rsid w:val="005946BC"/>
    <w:rsid w:val="0059574A"/>
    <w:rsid w:val="005A1B9B"/>
    <w:rsid w:val="005A2720"/>
    <w:rsid w:val="005A4636"/>
    <w:rsid w:val="005A4676"/>
    <w:rsid w:val="005A4709"/>
    <w:rsid w:val="005A4BB1"/>
    <w:rsid w:val="005A6751"/>
    <w:rsid w:val="005A7240"/>
    <w:rsid w:val="005A7AFC"/>
    <w:rsid w:val="005B05F8"/>
    <w:rsid w:val="005B092E"/>
    <w:rsid w:val="005B152C"/>
    <w:rsid w:val="005B1E8F"/>
    <w:rsid w:val="005B1EE0"/>
    <w:rsid w:val="005B2B24"/>
    <w:rsid w:val="005B33EA"/>
    <w:rsid w:val="005B4425"/>
    <w:rsid w:val="005B4B94"/>
    <w:rsid w:val="005B4E5C"/>
    <w:rsid w:val="005C1356"/>
    <w:rsid w:val="005C1686"/>
    <w:rsid w:val="005C18A3"/>
    <w:rsid w:val="005C3EE8"/>
    <w:rsid w:val="005C5CB3"/>
    <w:rsid w:val="005C77A7"/>
    <w:rsid w:val="005C7AC9"/>
    <w:rsid w:val="005D167C"/>
    <w:rsid w:val="005D34F9"/>
    <w:rsid w:val="005D3E74"/>
    <w:rsid w:val="005D4190"/>
    <w:rsid w:val="005D5B43"/>
    <w:rsid w:val="005D5D05"/>
    <w:rsid w:val="005D67A3"/>
    <w:rsid w:val="005E278E"/>
    <w:rsid w:val="005E2988"/>
    <w:rsid w:val="005E3085"/>
    <w:rsid w:val="005E34F3"/>
    <w:rsid w:val="005E43E3"/>
    <w:rsid w:val="005E799F"/>
    <w:rsid w:val="005E7FDF"/>
    <w:rsid w:val="005F23FC"/>
    <w:rsid w:val="005F3618"/>
    <w:rsid w:val="005F451D"/>
    <w:rsid w:val="005F51E1"/>
    <w:rsid w:val="005F64DB"/>
    <w:rsid w:val="005F6B3F"/>
    <w:rsid w:val="005F7386"/>
    <w:rsid w:val="005F76D8"/>
    <w:rsid w:val="00600373"/>
    <w:rsid w:val="00600ECE"/>
    <w:rsid w:val="00605ED7"/>
    <w:rsid w:val="006076A6"/>
    <w:rsid w:val="00607E49"/>
    <w:rsid w:val="00611C80"/>
    <w:rsid w:val="006149FF"/>
    <w:rsid w:val="006158C6"/>
    <w:rsid w:val="00615E92"/>
    <w:rsid w:val="00617FA9"/>
    <w:rsid w:val="00620692"/>
    <w:rsid w:val="00621EF7"/>
    <w:rsid w:val="006242C6"/>
    <w:rsid w:val="006242CA"/>
    <w:rsid w:val="00625A00"/>
    <w:rsid w:val="00627507"/>
    <w:rsid w:val="00630CF6"/>
    <w:rsid w:val="0063345D"/>
    <w:rsid w:val="00633717"/>
    <w:rsid w:val="006344E1"/>
    <w:rsid w:val="00634C05"/>
    <w:rsid w:val="00636EAF"/>
    <w:rsid w:val="00637035"/>
    <w:rsid w:val="00637F3E"/>
    <w:rsid w:val="00642094"/>
    <w:rsid w:val="0064393B"/>
    <w:rsid w:val="00644541"/>
    <w:rsid w:val="00647ABE"/>
    <w:rsid w:val="00650BBC"/>
    <w:rsid w:val="006510EE"/>
    <w:rsid w:val="00652DCF"/>
    <w:rsid w:val="006545C4"/>
    <w:rsid w:val="00655A07"/>
    <w:rsid w:val="00655A17"/>
    <w:rsid w:val="006571C2"/>
    <w:rsid w:val="00661971"/>
    <w:rsid w:val="00661CE8"/>
    <w:rsid w:val="00662038"/>
    <w:rsid w:val="006623D9"/>
    <w:rsid w:val="0066550C"/>
    <w:rsid w:val="006716F2"/>
    <w:rsid w:val="00671BC9"/>
    <w:rsid w:val="006730EA"/>
    <w:rsid w:val="00674B97"/>
    <w:rsid w:val="00675F4B"/>
    <w:rsid w:val="00677CE3"/>
    <w:rsid w:val="006814D0"/>
    <w:rsid w:val="00682BF2"/>
    <w:rsid w:val="00684DE8"/>
    <w:rsid w:val="006859CE"/>
    <w:rsid w:val="00686205"/>
    <w:rsid w:val="00691270"/>
    <w:rsid w:val="006920E3"/>
    <w:rsid w:val="006931E6"/>
    <w:rsid w:val="00694BA8"/>
    <w:rsid w:val="006957BE"/>
    <w:rsid w:val="00696A35"/>
    <w:rsid w:val="006A037C"/>
    <w:rsid w:val="006A286A"/>
    <w:rsid w:val="006A28A0"/>
    <w:rsid w:val="006A3269"/>
    <w:rsid w:val="006A36F4"/>
    <w:rsid w:val="006A406F"/>
    <w:rsid w:val="006A5D3A"/>
    <w:rsid w:val="006A710E"/>
    <w:rsid w:val="006B11D8"/>
    <w:rsid w:val="006B3657"/>
    <w:rsid w:val="006B44EC"/>
    <w:rsid w:val="006B55AB"/>
    <w:rsid w:val="006C145A"/>
    <w:rsid w:val="006C23D4"/>
    <w:rsid w:val="006C4427"/>
    <w:rsid w:val="006C6340"/>
    <w:rsid w:val="006C68AD"/>
    <w:rsid w:val="006C7BB0"/>
    <w:rsid w:val="006D147B"/>
    <w:rsid w:val="006D3237"/>
    <w:rsid w:val="006D437A"/>
    <w:rsid w:val="006D50A3"/>
    <w:rsid w:val="006D511E"/>
    <w:rsid w:val="006D6A17"/>
    <w:rsid w:val="006D70C2"/>
    <w:rsid w:val="006D742D"/>
    <w:rsid w:val="006E0E43"/>
    <w:rsid w:val="006E0E8C"/>
    <w:rsid w:val="006E1E27"/>
    <w:rsid w:val="006E2E37"/>
    <w:rsid w:val="006E3559"/>
    <w:rsid w:val="006E3CF1"/>
    <w:rsid w:val="006E73C9"/>
    <w:rsid w:val="006E7E80"/>
    <w:rsid w:val="006F36ED"/>
    <w:rsid w:val="006F37BE"/>
    <w:rsid w:val="006F48CA"/>
    <w:rsid w:val="006F64DD"/>
    <w:rsid w:val="006F712D"/>
    <w:rsid w:val="007012C8"/>
    <w:rsid w:val="0070130A"/>
    <w:rsid w:val="007048CB"/>
    <w:rsid w:val="00706268"/>
    <w:rsid w:val="0070739C"/>
    <w:rsid w:val="00707954"/>
    <w:rsid w:val="00712B0F"/>
    <w:rsid w:val="00715127"/>
    <w:rsid w:val="007159DF"/>
    <w:rsid w:val="00715E8E"/>
    <w:rsid w:val="00716213"/>
    <w:rsid w:val="007175C1"/>
    <w:rsid w:val="00717E3B"/>
    <w:rsid w:val="00723580"/>
    <w:rsid w:val="00723755"/>
    <w:rsid w:val="007258A9"/>
    <w:rsid w:val="00727718"/>
    <w:rsid w:val="0073136C"/>
    <w:rsid w:val="00731F0F"/>
    <w:rsid w:val="00733250"/>
    <w:rsid w:val="00741404"/>
    <w:rsid w:val="00743A2F"/>
    <w:rsid w:val="007449E5"/>
    <w:rsid w:val="0074750E"/>
    <w:rsid w:val="007477FE"/>
    <w:rsid w:val="00747FF0"/>
    <w:rsid w:val="0075299E"/>
    <w:rsid w:val="00754EFC"/>
    <w:rsid w:val="007551B3"/>
    <w:rsid w:val="00755724"/>
    <w:rsid w:val="00761828"/>
    <w:rsid w:val="00764D4E"/>
    <w:rsid w:val="00765A1F"/>
    <w:rsid w:val="00765C8A"/>
    <w:rsid w:val="00765D92"/>
    <w:rsid w:val="00767459"/>
    <w:rsid w:val="00770DBE"/>
    <w:rsid w:val="0077470E"/>
    <w:rsid w:val="00775B6D"/>
    <w:rsid w:val="00776D68"/>
    <w:rsid w:val="00776EFD"/>
    <w:rsid w:val="007828DB"/>
    <w:rsid w:val="00784E87"/>
    <w:rsid w:val="007850EE"/>
    <w:rsid w:val="00785B6B"/>
    <w:rsid w:val="00785B95"/>
    <w:rsid w:val="00787268"/>
    <w:rsid w:val="0079036D"/>
    <w:rsid w:val="007904B6"/>
    <w:rsid w:val="00790E96"/>
    <w:rsid w:val="00792AA9"/>
    <w:rsid w:val="00793366"/>
    <w:rsid w:val="007A2891"/>
    <w:rsid w:val="007A51C0"/>
    <w:rsid w:val="007A537E"/>
    <w:rsid w:val="007A548E"/>
    <w:rsid w:val="007A716F"/>
    <w:rsid w:val="007B0D8F"/>
    <w:rsid w:val="007B270A"/>
    <w:rsid w:val="007B4694"/>
    <w:rsid w:val="007C0695"/>
    <w:rsid w:val="007C1A2F"/>
    <w:rsid w:val="007C3119"/>
    <w:rsid w:val="007C419A"/>
    <w:rsid w:val="007C4448"/>
    <w:rsid w:val="007C4CC8"/>
    <w:rsid w:val="007C5426"/>
    <w:rsid w:val="007C5798"/>
    <w:rsid w:val="007C6EE5"/>
    <w:rsid w:val="007D0FD6"/>
    <w:rsid w:val="007D1C4C"/>
    <w:rsid w:val="007D374A"/>
    <w:rsid w:val="007D4832"/>
    <w:rsid w:val="007E21B2"/>
    <w:rsid w:val="007E2C4E"/>
    <w:rsid w:val="007E3087"/>
    <w:rsid w:val="007E56FF"/>
    <w:rsid w:val="007E7674"/>
    <w:rsid w:val="007F114C"/>
    <w:rsid w:val="007F1905"/>
    <w:rsid w:val="007F1998"/>
    <w:rsid w:val="007F3F8E"/>
    <w:rsid w:val="007F4ECB"/>
    <w:rsid w:val="00802C64"/>
    <w:rsid w:val="00805D06"/>
    <w:rsid w:val="00805E52"/>
    <w:rsid w:val="008061D0"/>
    <w:rsid w:val="00810B38"/>
    <w:rsid w:val="00811ADC"/>
    <w:rsid w:val="00812172"/>
    <w:rsid w:val="00812342"/>
    <w:rsid w:val="0081476E"/>
    <w:rsid w:val="00815C20"/>
    <w:rsid w:val="00817CB1"/>
    <w:rsid w:val="008204C7"/>
    <w:rsid w:val="00820992"/>
    <w:rsid w:val="0082200B"/>
    <w:rsid w:val="008229CF"/>
    <w:rsid w:val="00823602"/>
    <w:rsid w:val="008255F5"/>
    <w:rsid w:val="008260CA"/>
    <w:rsid w:val="0083014E"/>
    <w:rsid w:val="00830570"/>
    <w:rsid w:val="00831F5B"/>
    <w:rsid w:val="0083214A"/>
    <w:rsid w:val="00834220"/>
    <w:rsid w:val="00840E58"/>
    <w:rsid w:val="00842542"/>
    <w:rsid w:val="00845723"/>
    <w:rsid w:val="00845B1D"/>
    <w:rsid w:val="008472B2"/>
    <w:rsid w:val="0085000B"/>
    <w:rsid w:val="00851EF9"/>
    <w:rsid w:val="00852217"/>
    <w:rsid w:val="00852BA4"/>
    <w:rsid w:val="0085355E"/>
    <w:rsid w:val="00855CA3"/>
    <w:rsid w:val="008577FD"/>
    <w:rsid w:val="00857F1D"/>
    <w:rsid w:val="00860B03"/>
    <w:rsid w:val="00862725"/>
    <w:rsid w:val="0086287B"/>
    <w:rsid w:val="0086497A"/>
    <w:rsid w:val="008713A1"/>
    <w:rsid w:val="00872085"/>
    <w:rsid w:val="00872497"/>
    <w:rsid w:val="0087256F"/>
    <w:rsid w:val="00872E50"/>
    <w:rsid w:val="00873445"/>
    <w:rsid w:val="00874639"/>
    <w:rsid w:val="008747CD"/>
    <w:rsid w:val="008754AB"/>
    <w:rsid w:val="00877388"/>
    <w:rsid w:val="00880304"/>
    <w:rsid w:val="0088060C"/>
    <w:rsid w:val="00881BFF"/>
    <w:rsid w:val="00882CD5"/>
    <w:rsid w:val="008844F8"/>
    <w:rsid w:val="00885E0C"/>
    <w:rsid w:val="008870BC"/>
    <w:rsid w:val="00890A14"/>
    <w:rsid w:val="00891445"/>
    <w:rsid w:val="0089179F"/>
    <w:rsid w:val="00893576"/>
    <w:rsid w:val="00893E73"/>
    <w:rsid w:val="00895222"/>
    <w:rsid w:val="008A0F75"/>
    <w:rsid w:val="008A380F"/>
    <w:rsid w:val="008A40EB"/>
    <w:rsid w:val="008A4D1F"/>
    <w:rsid w:val="008B02DC"/>
    <w:rsid w:val="008B1FC3"/>
    <w:rsid w:val="008B3727"/>
    <w:rsid w:val="008B49DA"/>
    <w:rsid w:val="008B57CE"/>
    <w:rsid w:val="008C0914"/>
    <w:rsid w:val="008C10AB"/>
    <w:rsid w:val="008C26DE"/>
    <w:rsid w:val="008C306F"/>
    <w:rsid w:val="008C3438"/>
    <w:rsid w:val="008C5A31"/>
    <w:rsid w:val="008D044F"/>
    <w:rsid w:val="008D2225"/>
    <w:rsid w:val="008D3490"/>
    <w:rsid w:val="008D4752"/>
    <w:rsid w:val="008D56AD"/>
    <w:rsid w:val="008D5A13"/>
    <w:rsid w:val="008D6CA1"/>
    <w:rsid w:val="008D6E23"/>
    <w:rsid w:val="008E271C"/>
    <w:rsid w:val="008E2B41"/>
    <w:rsid w:val="008E3A08"/>
    <w:rsid w:val="008E418E"/>
    <w:rsid w:val="008E5BC6"/>
    <w:rsid w:val="008E6A25"/>
    <w:rsid w:val="008F0194"/>
    <w:rsid w:val="008F1C81"/>
    <w:rsid w:val="008F3AEC"/>
    <w:rsid w:val="008F4146"/>
    <w:rsid w:val="008F5193"/>
    <w:rsid w:val="008F5B65"/>
    <w:rsid w:val="008F6B36"/>
    <w:rsid w:val="008F71AE"/>
    <w:rsid w:val="00900C07"/>
    <w:rsid w:val="009013A7"/>
    <w:rsid w:val="009017FB"/>
    <w:rsid w:val="009017FC"/>
    <w:rsid w:val="00902697"/>
    <w:rsid w:val="00904563"/>
    <w:rsid w:val="0090506B"/>
    <w:rsid w:val="009050C9"/>
    <w:rsid w:val="009050F4"/>
    <w:rsid w:val="009066FC"/>
    <w:rsid w:val="00907976"/>
    <w:rsid w:val="00913680"/>
    <w:rsid w:val="009140A3"/>
    <w:rsid w:val="009144A2"/>
    <w:rsid w:val="0091510C"/>
    <w:rsid w:val="0092056B"/>
    <w:rsid w:val="009259AC"/>
    <w:rsid w:val="00926F38"/>
    <w:rsid w:val="00927BEB"/>
    <w:rsid w:val="00934301"/>
    <w:rsid w:val="00936CD1"/>
    <w:rsid w:val="0093758D"/>
    <w:rsid w:val="00941747"/>
    <w:rsid w:val="00941EFB"/>
    <w:rsid w:val="00945F0F"/>
    <w:rsid w:val="00947AFB"/>
    <w:rsid w:val="00950825"/>
    <w:rsid w:val="00951270"/>
    <w:rsid w:val="00951AA3"/>
    <w:rsid w:val="00951D7D"/>
    <w:rsid w:val="009541BF"/>
    <w:rsid w:val="009548EB"/>
    <w:rsid w:val="009549F6"/>
    <w:rsid w:val="00956B8C"/>
    <w:rsid w:val="009630C7"/>
    <w:rsid w:val="009703B5"/>
    <w:rsid w:val="00972B55"/>
    <w:rsid w:val="00973DCC"/>
    <w:rsid w:val="009743B7"/>
    <w:rsid w:val="00977056"/>
    <w:rsid w:val="009770B0"/>
    <w:rsid w:val="00980B62"/>
    <w:rsid w:val="00981E05"/>
    <w:rsid w:val="0098228B"/>
    <w:rsid w:val="009824F7"/>
    <w:rsid w:val="009828DA"/>
    <w:rsid w:val="0098410D"/>
    <w:rsid w:val="00985714"/>
    <w:rsid w:val="00985BAB"/>
    <w:rsid w:val="00985BCF"/>
    <w:rsid w:val="00987049"/>
    <w:rsid w:val="00992F52"/>
    <w:rsid w:val="009944AB"/>
    <w:rsid w:val="0099539C"/>
    <w:rsid w:val="009961B8"/>
    <w:rsid w:val="009A234A"/>
    <w:rsid w:val="009A2A74"/>
    <w:rsid w:val="009A3C4D"/>
    <w:rsid w:val="009A49F5"/>
    <w:rsid w:val="009A6112"/>
    <w:rsid w:val="009A621D"/>
    <w:rsid w:val="009B1376"/>
    <w:rsid w:val="009B1B5F"/>
    <w:rsid w:val="009B6673"/>
    <w:rsid w:val="009C0EAE"/>
    <w:rsid w:val="009C12B9"/>
    <w:rsid w:val="009C191B"/>
    <w:rsid w:val="009C2BD6"/>
    <w:rsid w:val="009D09A4"/>
    <w:rsid w:val="009D380B"/>
    <w:rsid w:val="009E1F32"/>
    <w:rsid w:val="009E21E6"/>
    <w:rsid w:val="009E776C"/>
    <w:rsid w:val="009F0C46"/>
    <w:rsid w:val="009F18A1"/>
    <w:rsid w:val="009F40BB"/>
    <w:rsid w:val="009F56FF"/>
    <w:rsid w:val="009F77C0"/>
    <w:rsid w:val="009F7D86"/>
    <w:rsid w:val="00A017D0"/>
    <w:rsid w:val="00A023D6"/>
    <w:rsid w:val="00A03B9E"/>
    <w:rsid w:val="00A04FE2"/>
    <w:rsid w:val="00A14EB4"/>
    <w:rsid w:val="00A15768"/>
    <w:rsid w:val="00A15E53"/>
    <w:rsid w:val="00A17191"/>
    <w:rsid w:val="00A1726E"/>
    <w:rsid w:val="00A17311"/>
    <w:rsid w:val="00A17A4F"/>
    <w:rsid w:val="00A204CF"/>
    <w:rsid w:val="00A21697"/>
    <w:rsid w:val="00A23D49"/>
    <w:rsid w:val="00A23E19"/>
    <w:rsid w:val="00A2471F"/>
    <w:rsid w:val="00A24C67"/>
    <w:rsid w:val="00A26F13"/>
    <w:rsid w:val="00A27004"/>
    <w:rsid w:val="00A30C29"/>
    <w:rsid w:val="00A34DD6"/>
    <w:rsid w:val="00A36819"/>
    <w:rsid w:val="00A36989"/>
    <w:rsid w:val="00A40D6F"/>
    <w:rsid w:val="00A4170A"/>
    <w:rsid w:val="00A417CC"/>
    <w:rsid w:val="00A43628"/>
    <w:rsid w:val="00A43916"/>
    <w:rsid w:val="00A53D72"/>
    <w:rsid w:val="00A54192"/>
    <w:rsid w:val="00A57A0B"/>
    <w:rsid w:val="00A6035E"/>
    <w:rsid w:val="00A6144C"/>
    <w:rsid w:val="00A64A93"/>
    <w:rsid w:val="00A6528D"/>
    <w:rsid w:val="00A65B3E"/>
    <w:rsid w:val="00A66617"/>
    <w:rsid w:val="00A671F8"/>
    <w:rsid w:val="00A673A4"/>
    <w:rsid w:val="00A71592"/>
    <w:rsid w:val="00A724AE"/>
    <w:rsid w:val="00A73329"/>
    <w:rsid w:val="00A76A07"/>
    <w:rsid w:val="00A8054E"/>
    <w:rsid w:val="00A809CF"/>
    <w:rsid w:val="00A82359"/>
    <w:rsid w:val="00A849E1"/>
    <w:rsid w:val="00A865D2"/>
    <w:rsid w:val="00A90135"/>
    <w:rsid w:val="00A90BCD"/>
    <w:rsid w:val="00A94C20"/>
    <w:rsid w:val="00AA0576"/>
    <w:rsid w:val="00AA227F"/>
    <w:rsid w:val="00AA3BC7"/>
    <w:rsid w:val="00AA754A"/>
    <w:rsid w:val="00AB099E"/>
    <w:rsid w:val="00AB4328"/>
    <w:rsid w:val="00AB43D3"/>
    <w:rsid w:val="00AC2647"/>
    <w:rsid w:val="00AC4733"/>
    <w:rsid w:val="00AC5A87"/>
    <w:rsid w:val="00AD22B7"/>
    <w:rsid w:val="00AE0A2E"/>
    <w:rsid w:val="00AE1786"/>
    <w:rsid w:val="00AE354C"/>
    <w:rsid w:val="00AE36EE"/>
    <w:rsid w:val="00AE5301"/>
    <w:rsid w:val="00AE6B01"/>
    <w:rsid w:val="00AF4B07"/>
    <w:rsid w:val="00AF6186"/>
    <w:rsid w:val="00AF74B4"/>
    <w:rsid w:val="00AF7A3A"/>
    <w:rsid w:val="00B0398D"/>
    <w:rsid w:val="00B053EA"/>
    <w:rsid w:val="00B10D60"/>
    <w:rsid w:val="00B115C5"/>
    <w:rsid w:val="00B13FF6"/>
    <w:rsid w:val="00B160DB"/>
    <w:rsid w:val="00B17A3B"/>
    <w:rsid w:val="00B201ED"/>
    <w:rsid w:val="00B20836"/>
    <w:rsid w:val="00B20974"/>
    <w:rsid w:val="00B235BB"/>
    <w:rsid w:val="00B2447F"/>
    <w:rsid w:val="00B27A44"/>
    <w:rsid w:val="00B27A60"/>
    <w:rsid w:val="00B30BBF"/>
    <w:rsid w:val="00B33C03"/>
    <w:rsid w:val="00B34DBE"/>
    <w:rsid w:val="00B4161E"/>
    <w:rsid w:val="00B43C93"/>
    <w:rsid w:val="00B44E56"/>
    <w:rsid w:val="00B45A9A"/>
    <w:rsid w:val="00B45CC4"/>
    <w:rsid w:val="00B46543"/>
    <w:rsid w:val="00B47D33"/>
    <w:rsid w:val="00B506B9"/>
    <w:rsid w:val="00B52BE0"/>
    <w:rsid w:val="00B54133"/>
    <w:rsid w:val="00B549B3"/>
    <w:rsid w:val="00B61A4A"/>
    <w:rsid w:val="00B61E4D"/>
    <w:rsid w:val="00B6450C"/>
    <w:rsid w:val="00B66F33"/>
    <w:rsid w:val="00B701ED"/>
    <w:rsid w:val="00B731A2"/>
    <w:rsid w:val="00B748F7"/>
    <w:rsid w:val="00B75984"/>
    <w:rsid w:val="00B7658F"/>
    <w:rsid w:val="00B76F5D"/>
    <w:rsid w:val="00B802A7"/>
    <w:rsid w:val="00B8086C"/>
    <w:rsid w:val="00B82968"/>
    <w:rsid w:val="00B84127"/>
    <w:rsid w:val="00B850D0"/>
    <w:rsid w:val="00B861B4"/>
    <w:rsid w:val="00B86DFE"/>
    <w:rsid w:val="00B8767A"/>
    <w:rsid w:val="00B87870"/>
    <w:rsid w:val="00B87DA6"/>
    <w:rsid w:val="00B90990"/>
    <w:rsid w:val="00B922FF"/>
    <w:rsid w:val="00B9281E"/>
    <w:rsid w:val="00B92A69"/>
    <w:rsid w:val="00B92EA4"/>
    <w:rsid w:val="00B93925"/>
    <w:rsid w:val="00B94B8C"/>
    <w:rsid w:val="00B95187"/>
    <w:rsid w:val="00BA2D55"/>
    <w:rsid w:val="00BA30A3"/>
    <w:rsid w:val="00BA35DC"/>
    <w:rsid w:val="00BA3C3F"/>
    <w:rsid w:val="00BA71B1"/>
    <w:rsid w:val="00BA75B2"/>
    <w:rsid w:val="00BB0637"/>
    <w:rsid w:val="00BB118C"/>
    <w:rsid w:val="00BB1D59"/>
    <w:rsid w:val="00BB3046"/>
    <w:rsid w:val="00BB345F"/>
    <w:rsid w:val="00BB68EA"/>
    <w:rsid w:val="00BC1273"/>
    <w:rsid w:val="00BC1C27"/>
    <w:rsid w:val="00BC46AD"/>
    <w:rsid w:val="00BC6BBF"/>
    <w:rsid w:val="00BD0E0D"/>
    <w:rsid w:val="00BD1572"/>
    <w:rsid w:val="00BD44A4"/>
    <w:rsid w:val="00BD4EF3"/>
    <w:rsid w:val="00BD7933"/>
    <w:rsid w:val="00BE0299"/>
    <w:rsid w:val="00BE04C4"/>
    <w:rsid w:val="00BE14E3"/>
    <w:rsid w:val="00BE3774"/>
    <w:rsid w:val="00BE41E5"/>
    <w:rsid w:val="00BE46B4"/>
    <w:rsid w:val="00BF2D3C"/>
    <w:rsid w:val="00BF4109"/>
    <w:rsid w:val="00BF4CC3"/>
    <w:rsid w:val="00BF6768"/>
    <w:rsid w:val="00BF6A05"/>
    <w:rsid w:val="00C01DCF"/>
    <w:rsid w:val="00C04412"/>
    <w:rsid w:val="00C0458C"/>
    <w:rsid w:val="00C054C7"/>
    <w:rsid w:val="00C05742"/>
    <w:rsid w:val="00C057B5"/>
    <w:rsid w:val="00C07F31"/>
    <w:rsid w:val="00C10795"/>
    <w:rsid w:val="00C1129D"/>
    <w:rsid w:val="00C15480"/>
    <w:rsid w:val="00C15EC0"/>
    <w:rsid w:val="00C170AE"/>
    <w:rsid w:val="00C22687"/>
    <w:rsid w:val="00C2276E"/>
    <w:rsid w:val="00C236E0"/>
    <w:rsid w:val="00C24F3F"/>
    <w:rsid w:val="00C27F3C"/>
    <w:rsid w:val="00C31363"/>
    <w:rsid w:val="00C32E02"/>
    <w:rsid w:val="00C32E4D"/>
    <w:rsid w:val="00C333A0"/>
    <w:rsid w:val="00C34526"/>
    <w:rsid w:val="00C35158"/>
    <w:rsid w:val="00C36A81"/>
    <w:rsid w:val="00C41974"/>
    <w:rsid w:val="00C44986"/>
    <w:rsid w:val="00C470FA"/>
    <w:rsid w:val="00C534C9"/>
    <w:rsid w:val="00C53F4A"/>
    <w:rsid w:val="00C54125"/>
    <w:rsid w:val="00C549A3"/>
    <w:rsid w:val="00C55B54"/>
    <w:rsid w:val="00C56591"/>
    <w:rsid w:val="00C5701D"/>
    <w:rsid w:val="00C6098E"/>
    <w:rsid w:val="00C6152C"/>
    <w:rsid w:val="00C62C47"/>
    <w:rsid w:val="00C64B35"/>
    <w:rsid w:val="00C66C36"/>
    <w:rsid w:val="00C66C47"/>
    <w:rsid w:val="00C67B20"/>
    <w:rsid w:val="00C67D2D"/>
    <w:rsid w:val="00C702D6"/>
    <w:rsid w:val="00C716F7"/>
    <w:rsid w:val="00C74810"/>
    <w:rsid w:val="00C81438"/>
    <w:rsid w:val="00C822DA"/>
    <w:rsid w:val="00C82381"/>
    <w:rsid w:val="00C83F88"/>
    <w:rsid w:val="00C87EF1"/>
    <w:rsid w:val="00C90D68"/>
    <w:rsid w:val="00C910D2"/>
    <w:rsid w:val="00C9191A"/>
    <w:rsid w:val="00C939FE"/>
    <w:rsid w:val="00CA4BDA"/>
    <w:rsid w:val="00CA5DED"/>
    <w:rsid w:val="00CB1F66"/>
    <w:rsid w:val="00CB2951"/>
    <w:rsid w:val="00CB5288"/>
    <w:rsid w:val="00CB6194"/>
    <w:rsid w:val="00CC08EA"/>
    <w:rsid w:val="00CC1B7F"/>
    <w:rsid w:val="00CD282B"/>
    <w:rsid w:val="00CD4C35"/>
    <w:rsid w:val="00CD7289"/>
    <w:rsid w:val="00CD7369"/>
    <w:rsid w:val="00CE0056"/>
    <w:rsid w:val="00CE0740"/>
    <w:rsid w:val="00CE0B0E"/>
    <w:rsid w:val="00CE2AD5"/>
    <w:rsid w:val="00CE3831"/>
    <w:rsid w:val="00CE4A1C"/>
    <w:rsid w:val="00CE5B75"/>
    <w:rsid w:val="00CE721D"/>
    <w:rsid w:val="00CE7EAA"/>
    <w:rsid w:val="00CF05F9"/>
    <w:rsid w:val="00CF1ADF"/>
    <w:rsid w:val="00CF2397"/>
    <w:rsid w:val="00CF368D"/>
    <w:rsid w:val="00CF6D2F"/>
    <w:rsid w:val="00D00ABB"/>
    <w:rsid w:val="00D02EEC"/>
    <w:rsid w:val="00D03551"/>
    <w:rsid w:val="00D04BB1"/>
    <w:rsid w:val="00D06A63"/>
    <w:rsid w:val="00D07E07"/>
    <w:rsid w:val="00D07E08"/>
    <w:rsid w:val="00D07E0E"/>
    <w:rsid w:val="00D11478"/>
    <w:rsid w:val="00D123AA"/>
    <w:rsid w:val="00D12CC9"/>
    <w:rsid w:val="00D15ED0"/>
    <w:rsid w:val="00D21B3E"/>
    <w:rsid w:val="00D21FED"/>
    <w:rsid w:val="00D24251"/>
    <w:rsid w:val="00D2485B"/>
    <w:rsid w:val="00D25F47"/>
    <w:rsid w:val="00D274D6"/>
    <w:rsid w:val="00D277C1"/>
    <w:rsid w:val="00D27A8A"/>
    <w:rsid w:val="00D3118E"/>
    <w:rsid w:val="00D3189F"/>
    <w:rsid w:val="00D31B60"/>
    <w:rsid w:val="00D31BD0"/>
    <w:rsid w:val="00D343E2"/>
    <w:rsid w:val="00D3485D"/>
    <w:rsid w:val="00D361A2"/>
    <w:rsid w:val="00D373E1"/>
    <w:rsid w:val="00D407C7"/>
    <w:rsid w:val="00D40DD4"/>
    <w:rsid w:val="00D41AFE"/>
    <w:rsid w:val="00D4256A"/>
    <w:rsid w:val="00D44C2E"/>
    <w:rsid w:val="00D45414"/>
    <w:rsid w:val="00D475FC"/>
    <w:rsid w:val="00D4778D"/>
    <w:rsid w:val="00D50A0A"/>
    <w:rsid w:val="00D515E3"/>
    <w:rsid w:val="00D526A6"/>
    <w:rsid w:val="00D5494C"/>
    <w:rsid w:val="00D55D87"/>
    <w:rsid w:val="00D566BD"/>
    <w:rsid w:val="00D57A4D"/>
    <w:rsid w:val="00D607D1"/>
    <w:rsid w:val="00D60A79"/>
    <w:rsid w:val="00D60AA7"/>
    <w:rsid w:val="00D614B6"/>
    <w:rsid w:val="00D63748"/>
    <w:rsid w:val="00D6435F"/>
    <w:rsid w:val="00D64AFE"/>
    <w:rsid w:val="00D66130"/>
    <w:rsid w:val="00D738AA"/>
    <w:rsid w:val="00D73F1B"/>
    <w:rsid w:val="00D75E28"/>
    <w:rsid w:val="00D772C2"/>
    <w:rsid w:val="00D8008E"/>
    <w:rsid w:val="00D81330"/>
    <w:rsid w:val="00D824F1"/>
    <w:rsid w:val="00D82C45"/>
    <w:rsid w:val="00D83351"/>
    <w:rsid w:val="00D908A8"/>
    <w:rsid w:val="00D91006"/>
    <w:rsid w:val="00D91066"/>
    <w:rsid w:val="00D91FCC"/>
    <w:rsid w:val="00D929DF"/>
    <w:rsid w:val="00D96078"/>
    <w:rsid w:val="00D97003"/>
    <w:rsid w:val="00D976BB"/>
    <w:rsid w:val="00D977B6"/>
    <w:rsid w:val="00DA05F3"/>
    <w:rsid w:val="00DA38DB"/>
    <w:rsid w:val="00DA4A31"/>
    <w:rsid w:val="00DA544E"/>
    <w:rsid w:val="00DA663F"/>
    <w:rsid w:val="00DA7B04"/>
    <w:rsid w:val="00DB0F3D"/>
    <w:rsid w:val="00DB1D73"/>
    <w:rsid w:val="00DB2C7E"/>
    <w:rsid w:val="00DB36C2"/>
    <w:rsid w:val="00DB44FD"/>
    <w:rsid w:val="00DC125F"/>
    <w:rsid w:val="00DC169B"/>
    <w:rsid w:val="00DC2AB9"/>
    <w:rsid w:val="00DC63F0"/>
    <w:rsid w:val="00DD24C5"/>
    <w:rsid w:val="00DD2A65"/>
    <w:rsid w:val="00DD5E52"/>
    <w:rsid w:val="00DD6EE5"/>
    <w:rsid w:val="00DE02F8"/>
    <w:rsid w:val="00DE1FF9"/>
    <w:rsid w:val="00DE386C"/>
    <w:rsid w:val="00DE420E"/>
    <w:rsid w:val="00DE4D35"/>
    <w:rsid w:val="00DF098B"/>
    <w:rsid w:val="00DF11C4"/>
    <w:rsid w:val="00DF210C"/>
    <w:rsid w:val="00DF22B2"/>
    <w:rsid w:val="00DF4B6A"/>
    <w:rsid w:val="00DF4E7E"/>
    <w:rsid w:val="00DF68C1"/>
    <w:rsid w:val="00DF6AE1"/>
    <w:rsid w:val="00DF6D33"/>
    <w:rsid w:val="00DF770C"/>
    <w:rsid w:val="00DF7C6C"/>
    <w:rsid w:val="00E0011C"/>
    <w:rsid w:val="00E003D8"/>
    <w:rsid w:val="00E007BB"/>
    <w:rsid w:val="00E02C09"/>
    <w:rsid w:val="00E02CAA"/>
    <w:rsid w:val="00E0345D"/>
    <w:rsid w:val="00E0410F"/>
    <w:rsid w:val="00E04D59"/>
    <w:rsid w:val="00E07DA1"/>
    <w:rsid w:val="00E123CB"/>
    <w:rsid w:val="00E13DCB"/>
    <w:rsid w:val="00E20E13"/>
    <w:rsid w:val="00E21734"/>
    <w:rsid w:val="00E21DBC"/>
    <w:rsid w:val="00E275D7"/>
    <w:rsid w:val="00E27DBE"/>
    <w:rsid w:val="00E32AB1"/>
    <w:rsid w:val="00E33BF5"/>
    <w:rsid w:val="00E35BBB"/>
    <w:rsid w:val="00E36C71"/>
    <w:rsid w:val="00E37356"/>
    <w:rsid w:val="00E40404"/>
    <w:rsid w:val="00E40603"/>
    <w:rsid w:val="00E41FA3"/>
    <w:rsid w:val="00E4255C"/>
    <w:rsid w:val="00E4265F"/>
    <w:rsid w:val="00E43D21"/>
    <w:rsid w:val="00E459C6"/>
    <w:rsid w:val="00E4676F"/>
    <w:rsid w:val="00E46BEF"/>
    <w:rsid w:val="00E47589"/>
    <w:rsid w:val="00E50FC0"/>
    <w:rsid w:val="00E53851"/>
    <w:rsid w:val="00E53F94"/>
    <w:rsid w:val="00E56D94"/>
    <w:rsid w:val="00E62654"/>
    <w:rsid w:val="00E64915"/>
    <w:rsid w:val="00E64A1D"/>
    <w:rsid w:val="00E661D4"/>
    <w:rsid w:val="00E669C2"/>
    <w:rsid w:val="00E6736C"/>
    <w:rsid w:val="00E679CF"/>
    <w:rsid w:val="00E70091"/>
    <w:rsid w:val="00E71118"/>
    <w:rsid w:val="00E71386"/>
    <w:rsid w:val="00E71E83"/>
    <w:rsid w:val="00E720F5"/>
    <w:rsid w:val="00E76D47"/>
    <w:rsid w:val="00E77E44"/>
    <w:rsid w:val="00E808C6"/>
    <w:rsid w:val="00E80D67"/>
    <w:rsid w:val="00E8209F"/>
    <w:rsid w:val="00E840FC"/>
    <w:rsid w:val="00E849F7"/>
    <w:rsid w:val="00E84D49"/>
    <w:rsid w:val="00E857E4"/>
    <w:rsid w:val="00E874B9"/>
    <w:rsid w:val="00E90302"/>
    <w:rsid w:val="00E913A1"/>
    <w:rsid w:val="00E929B7"/>
    <w:rsid w:val="00E93710"/>
    <w:rsid w:val="00E93F24"/>
    <w:rsid w:val="00E95AF3"/>
    <w:rsid w:val="00E968D0"/>
    <w:rsid w:val="00E971B7"/>
    <w:rsid w:val="00E97396"/>
    <w:rsid w:val="00EA185E"/>
    <w:rsid w:val="00EA592A"/>
    <w:rsid w:val="00EA6CC4"/>
    <w:rsid w:val="00EA7B3F"/>
    <w:rsid w:val="00EB060E"/>
    <w:rsid w:val="00EB14E4"/>
    <w:rsid w:val="00EB2F21"/>
    <w:rsid w:val="00EB32A5"/>
    <w:rsid w:val="00EB34ED"/>
    <w:rsid w:val="00EB447C"/>
    <w:rsid w:val="00EB4CC7"/>
    <w:rsid w:val="00EB546B"/>
    <w:rsid w:val="00EB646A"/>
    <w:rsid w:val="00EB674D"/>
    <w:rsid w:val="00EB7BE0"/>
    <w:rsid w:val="00EC2B75"/>
    <w:rsid w:val="00EC315E"/>
    <w:rsid w:val="00EC71D6"/>
    <w:rsid w:val="00EC77B2"/>
    <w:rsid w:val="00ED077C"/>
    <w:rsid w:val="00ED1190"/>
    <w:rsid w:val="00ED6544"/>
    <w:rsid w:val="00EE0277"/>
    <w:rsid w:val="00EE08F4"/>
    <w:rsid w:val="00EE3E00"/>
    <w:rsid w:val="00EE4CCB"/>
    <w:rsid w:val="00EE5CCF"/>
    <w:rsid w:val="00EE5DD2"/>
    <w:rsid w:val="00EE6020"/>
    <w:rsid w:val="00EF323A"/>
    <w:rsid w:val="00EF3DB4"/>
    <w:rsid w:val="00EF65B7"/>
    <w:rsid w:val="00F00357"/>
    <w:rsid w:val="00F00A79"/>
    <w:rsid w:val="00F00E86"/>
    <w:rsid w:val="00F044F4"/>
    <w:rsid w:val="00F073BF"/>
    <w:rsid w:val="00F07C1E"/>
    <w:rsid w:val="00F103D3"/>
    <w:rsid w:val="00F105DB"/>
    <w:rsid w:val="00F113CE"/>
    <w:rsid w:val="00F132BC"/>
    <w:rsid w:val="00F13D80"/>
    <w:rsid w:val="00F14334"/>
    <w:rsid w:val="00F16AAA"/>
    <w:rsid w:val="00F1709C"/>
    <w:rsid w:val="00F21161"/>
    <w:rsid w:val="00F218EF"/>
    <w:rsid w:val="00F21BC7"/>
    <w:rsid w:val="00F21C2F"/>
    <w:rsid w:val="00F24E9F"/>
    <w:rsid w:val="00F266A2"/>
    <w:rsid w:val="00F32269"/>
    <w:rsid w:val="00F349F4"/>
    <w:rsid w:val="00F350F5"/>
    <w:rsid w:val="00F35EAF"/>
    <w:rsid w:val="00F41606"/>
    <w:rsid w:val="00F44340"/>
    <w:rsid w:val="00F45758"/>
    <w:rsid w:val="00F522C8"/>
    <w:rsid w:val="00F52FF1"/>
    <w:rsid w:val="00F53B79"/>
    <w:rsid w:val="00F5519E"/>
    <w:rsid w:val="00F566C1"/>
    <w:rsid w:val="00F56A6F"/>
    <w:rsid w:val="00F56CF1"/>
    <w:rsid w:val="00F5709C"/>
    <w:rsid w:val="00F63491"/>
    <w:rsid w:val="00F63792"/>
    <w:rsid w:val="00F64EF1"/>
    <w:rsid w:val="00F7240E"/>
    <w:rsid w:val="00F724D8"/>
    <w:rsid w:val="00F75930"/>
    <w:rsid w:val="00F76B8E"/>
    <w:rsid w:val="00F840E5"/>
    <w:rsid w:val="00F86A5E"/>
    <w:rsid w:val="00F8765F"/>
    <w:rsid w:val="00F90767"/>
    <w:rsid w:val="00F910AD"/>
    <w:rsid w:val="00F93496"/>
    <w:rsid w:val="00F93965"/>
    <w:rsid w:val="00FA0EEB"/>
    <w:rsid w:val="00FA222A"/>
    <w:rsid w:val="00FA301F"/>
    <w:rsid w:val="00FA40DA"/>
    <w:rsid w:val="00FA685B"/>
    <w:rsid w:val="00FB07D3"/>
    <w:rsid w:val="00FB0C01"/>
    <w:rsid w:val="00FB1B2A"/>
    <w:rsid w:val="00FB587D"/>
    <w:rsid w:val="00FC18F2"/>
    <w:rsid w:val="00FC2D83"/>
    <w:rsid w:val="00FC39E5"/>
    <w:rsid w:val="00FC3A78"/>
    <w:rsid w:val="00FC58BC"/>
    <w:rsid w:val="00FC5EF2"/>
    <w:rsid w:val="00FD1005"/>
    <w:rsid w:val="00FD1D93"/>
    <w:rsid w:val="00FD38DD"/>
    <w:rsid w:val="00FD6C75"/>
    <w:rsid w:val="00FD6C7E"/>
    <w:rsid w:val="00FD6FC9"/>
    <w:rsid w:val="00FE03FC"/>
    <w:rsid w:val="00FE09F9"/>
    <w:rsid w:val="00FE168E"/>
    <w:rsid w:val="00FE19B0"/>
    <w:rsid w:val="00FE1DC7"/>
    <w:rsid w:val="00FE2343"/>
    <w:rsid w:val="00FE2807"/>
    <w:rsid w:val="00FE2BA2"/>
    <w:rsid w:val="00FE50D8"/>
    <w:rsid w:val="00FE55DA"/>
    <w:rsid w:val="00FE71B3"/>
    <w:rsid w:val="00FF42C5"/>
    <w:rsid w:val="00FF5220"/>
  </w:rsids>
  <m:mathPr>
    <m:mathFont m:val="Cambria Math"/>
    <m:brkBin m:val="before"/>
    <m:brkBinSub m:val="--"/>
    <m:smallFrac m:val="off"/>
    <m:dispDef/>
    <m:lMargin m:val="0"/>
    <m:rMargin m:val="0"/>
    <m:defJc m:val="centerGroup"/>
    <m:wrapIndent m:val="1440"/>
    <m:intLim m:val="subSup"/>
    <m:naryLim m:val="undOvr"/>
  </m:mathPr>
  <w:uiCompat97To2003/>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he-IL"/>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7C6EE5"/>
    <w:pPr>
      <w:jc w:val="both"/>
    </w:pPr>
    <w:rPr>
      <w:sz w:val="24"/>
      <w:szCs w:val="22"/>
      <w:lang w:val="en-GB" w:eastAsia="en-US" w:bidi="ar-SA"/>
    </w:rPr>
  </w:style>
  <w:style w:type="paragraph" w:styleId="1">
    <w:name w:val="heading 1"/>
    <w:basedOn w:val="a2"/>
    <w:next w:val="a2"/>
    <w:link w:val="10"/>
    <w:uiPriority w:val="99"/>
    <w:semiHidden/>
    <w:rsid w:val="007C6EE5"/>
    <w:pPr>
      <w:spacing w:before="480"/>
      <w:contextualSpacing/>
      <w:outlineLvl w:val="0"/>
    </w:pPr>
    <w:rPr>
      <w:b/>
      <w:bCs/>
      <w:color w:val="333333"/>
      <w:sz w:val="28"/>
      <w:szCs w:val="28"/>
      <w:lang w:bidi="he-IL"/>
    </w:rPr>
  </w:style>
  <w:style w:type="paragraph" w:styleId="21">
    <w:name w:val="heading 2"/>
    <w:basedOn w:val="a2"/>
    <w:next w:val="a2"/>
    <w:link w:val="22"/>
    <w:uiPriority w:val="99"/>
    <w:semiHidden/>
    <w:rsid w:val="007C6EE5"/>
    <w:pPr>
      <w:spacing w:before="200"/>
      <w:outlineLvl w:val="1"/>
    </w:pPr>
    <w:rPr>
      <w:b/>
      <w:bCs/>
      <w:color w:val="4D4D4D"/>
      <w:sz w:val="26"/>
      <w:szCs w:val="26"/>
      <w:lang w:bidi="he-IL"/>
    </w:rPr>
  </w:style>
  <w:style w:type="paragraph" w:styleId="31">
    <w:name w:val="heading 3"/>
    <w:basedOn w:val="a2"/>
    <w:next w:val="a2"/>
    <w:link w:val="32"/>
    <w:uiPriority w:val="99"/>
    <w:semiHidden/>
    <w:rsid w:val="007C6EE5"/>
    <w:pPr>
      <w:spacing w:before="200" w:line="271" w:lineRule="auto"/>
      <w:outlineLvl w:val="2"/>
    </w:pPr>
    <w:rPr>
      <w:b/>
      <w:bCs/>
      <w:color w:val="5F5F5F"/>
      <w:szCs w:val="20"/>
      <w:lang w:bidi="he-IL"/>
    </w:rPr>
  </w:style>
  <w:style w:type="paragraph" w:styleId="41">
    <w:name w:val="heading 4"/>
    <w:basedOn w:val="a2"/>
    <w:next w:val="a2"/>
    <w:link w:val="42"/>
    <w:uiPriority w:val="99"/>
    <w:semiHidden/>
    <w:rsid w:val="007C6EE5"/>
    <w:pPr>
      <w:spacing w:before="200"/>
      <w:outlineLvl w:val="3"/>
    </w:pPr>
    <w:rPr>
      <w:b/>
      <w:bCs/>
      <w:i/>
      <w:iCs/>
      <w:color w:val="777777"/>
      <w:szCs w:val="20"/>
      <w:lang w:bidi="he-IL"/>
    </w:rPr>
  </w:style>
  <w:style w:type="paragraph" w:styleId="51">
    <w:name w:val="heading 5"/>
    <w:basedOn w:val="a2"/>
    <w:next w:val="a2"/>
    <w:link w:val="52"/>
    <w:uiPriority w:val="99"/>
    <w:semiHidden/>
    <w:qFormat/>
    <w:rsid w:val="007C6EE5"/>
    <w:pPr>
      <w:spacing w:before="200"/>
      <w:outlineLvl w:val="4"/>
    </w:pPr>
    <w:rPr>
      <w:b/>
      <w:bCs/>
      <w:color w:val="808080"/>
      <w:sz w:val="20"/>
      <w:szCs w:val="20"/>
      <w:lang w:bidi="he-IL"/>
    </w:rPr>
  </w:style>
  <w:style w:type="paragraph" w:styleId="6">
    <w:name w:val="heading 6"/>
    <w:basedOn w:val="a2"/>
    <w:next w:val="a2"/>
    <w:link w:val="60"/>
    <w:uiPriority w:val="99"/>
    <w:semiHidden/>
    <w:rsid w:val="007C6EE5"/>
    <w:pPr>
      <w:spacing w:line="271" w:lineRule="auto"/>
      <w:outlineLvl w:val="5"/>
    </w:pPr>
    <w:rPr>
      <w:b/>
      <w:bCs/>
      <w:i/>
      <w:iCs/>
      <w:color w:val="7F7F7F"/>
      <w:szCs w:val="20"/>
      <w:lang w:bidi="en-US"/>
    </w:rPr>
  </w:style>
  <w:style w:type="paragraph" w:styleId="7">
    <w:name w:val="heading 7"/>
    <w:basedOn w:val="a2"/>
    <w:next w:val="a2"/>
    <w:link w:val="70"/>
    <w:uiPriority w:val="99"/>
    <w:semiHidden/>
    <w:qFormat/>
    <w:rsid w:val="007C6EE5"/>
    <w:pPr>
      <w:outlineLvl w:val="6"/>
    </w:pPr>
    <w:rPr>
      <w:i/>
      <w:iCs/>
      <w:sz w:val="20"/>
      <w:szCs w:val="20"/>
      <w:lang w:bidi="en-US"/>
    </w:rPr>
  </w:style>
  <w:style w:type="paragraph" w:styleId="8">
    <w:name w:val="heading 8"/>
    <w:basedOn w:val="a2"/>
    <w:next w:val="a2"/>
    <w:link w:val="80"/>
    <w:uiPriority w:val="99"/>
    <w:semiHidden/>
    <w:qFormat/>
    <w:rsid w:val="007C6EE5"/>
    <w:pPr>
      <w:outlineLvl w:val="7"/>
    </w:pPr>
    <w:rPr>
      <w:sz w:val="20"/>
      <w:szCs w:val="20"/>
      <w:lang w:bidi="en-US"/>
    </w:rPr>
  </w:style>
  <w:style w:type="paragraph" w:styleId="9">
    <w:name w:val="heading 9"/>
    <w:basedOn w:val="a2"/>
    <w:next w:val="a2"/>
    <w:link w:val="90"/>
    <w:uiPriority w:val="99"/>
    <w:semiHidden/>
    <w:qFormat/>
    <w:rsid w:val="007C6EE5"/>
    <w:pPr>
      <w:outlineLvl w:val="8"/>
    </w:pPr>
    <w:rPr>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7C6EE5"/>
    <w:rPr>
      <w:rFonts w:ascii="Tahoma" w:hAnsi="Tahoma"/>
      <w:sz w:val="16"/>
      <w:szCs w:val="16"/>
      <w:lang w:bidi="he-IL"/>
    </w:rPr>
  </w:style>
  <w:style w:type="character" w:customStyle="1" w:styleId="a7">
    <w:name w:val="Текст выноски Знак"/>
    <w:link w:val="a6"/>
    <w:uiPriority w:val="99"/>
    <w:semiHidden/>
    <w:rsid w:val="007C6EE5"/>
    <w:rPr>
      <w:rFonts w:ascii="Tahoma" w:eastAsia="Times New Roman" w:hAnsi="Tahoma" w:cs="Tahoma"/>
      <w:sz w:val="16"/>
      <w:szCs w:val="16"/>
      <w:lang w:val="en-GB"/>
    </w:rPr>
  </w:style>
  <w:style w:type="character" w:styleId="a8">
    <w:name w:val="Book Title"/>
    <w:uiPriority w:val="99"/>
    <w:semiHidden/>
    <w:qFormat/>
    <w:rsid w:val="007C6EE5"/>
    <w:rPr>
      <w:i/>
      <w:iCs/>
      <w:smallCaps/>
      <w:spacing w:val="5"/>
    </w:rPr>
  </w:style>
  <w:style w:type="paragraph" w:customStyle="1" w:styleId="ECHRHeader">
    <w:name w:val="ECHR_Header"/>
    <w:aliases w:val="Ju_Header"/>
    <w:basedOn w:val="a9"/>
    <w:uiPriority w:val="4"/>
    <w:qFormat/>
    <w:rsid w:val="007C6EE5"/>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7C6EE5"/>
  </w:style>
  <w:style w:type="character" w:styleId="aa">
    <w:name w:val="Strong"/>
    <w:uiPriority w:val="99"/>
    <w:semiHidden/>
    <w:qFormat/>
    <w:rsid w:val="007C6EE5"/>
    <w:rPr>
      <w:b/>
      <w:bCs/>
    </w:rPr>
  </w:style>
  <w:style w:type="paragraph" w:styleId="ab">
    <w:name w:val="No Spacing"/>
    <w:basedOn w:val="a2"/>
    <w:link w:val="ac"/>
    <w:semiHidden/>
    <w:qFormat/>
    <w:rsid w:val="007C6EE5"/>
    <w:rPr>
      <w:sz w:val="20"/>
      <w:szCs w:val="20"/>
      <w:lang w:bidi="he-IL"/>
    </w:rPr>
  </w:style>
  <w:style w:type="character" w:customStyle="1" w:styleId="ac">
    <w:name w:val="Без интервала Знак"/>
    <w:link w:val="ab"/>
    <w:semiHidden/>
    <w:rsid w:val="007C6EE5"/>
    <w:rPr>
      <w:rFonts w:eastAsia="Times New Roman"/>
    </w:rPr>
  </w:style>
  <w:style w:type="paragraph" w:customStyle="1" w:styleId="ECHRParaQuote">
    <w:name w:val="ECHR_Para_Quote"/>
    <w:aliases w:val="Ju_Quot"/>
    <w:basedOn w:val="a2"/>
    <w:link w:val="JuQuotChar"/>
    <w:uiPriority w:val="14"/>
    <w:qFormat/>
    <w:rsid w:val="007C6EE5"/>
    <w:pPr>
      <w:spacing w:before="120" w:after="120"/>
      <w:ind w:left="425" w:firstLine="142"/>
    </w:pPr>
    <w:rPr>
      <w:sz w:val="20"/>
      <w:szCs w:val="20"/>
      <w:lang w:bidi="he-IL"/>
    </w:rPr>
  </w:style>
  <w:style w:type="paragraph" w:customStyle="1" w:styleId="JuParaSub">
    <w:name w:val="Ju_Para_Sub"/>
    <w:basedOn w:val="ECHRPara"/>
    <w:uiPriority w:val="13"/>
    <w:qFormat/>
    <w:rsid w:val="007C6EE5"/>
    <w:pPr>
      <w:ind w:left="284"/>
    </w:pPr>
  </w:style>
  <w:style w:type="paragraph" w:customStyle="1" w:styleId="DummyStyle">
    <w:name w:val="Dummy_Style"/>
    <w:basedOn w:val="a2"/>
    <w:semiHidden/>
    <w:qFormat/>
    <w:rsid w:val="007C6EE5"/>
    <w:rPr>
      <w:color w:val="00B050"/>
    </w:rPr>
  </w:style>
  <w:style w:type="paragraph" w:customStyle="1" w:styleId="OpiH1">
    <w:name w:val="Opi_H_1"/>
    <w:basedOn w:val="ECHRHeading2"/>
    <w:uiPriority w:val="42"/>
    <w:qFormat/>
    <w:rsid w:val="007C6EE5"/>
    <w:pPr>
      <w:ind w:left="635" w:hanging="357"/>
      <w:outlineLvl w:val="2"/>
    </w:pPr>
  </w:style>
  <w:style w:type="paragraph" w:customStyle="1" w:styleId="OpiHa">
    <w:name w:val="Opi_H_a"/>
    <w:basedOn w:val="ECHRHeading3"/>
    <w:uiPriority w:val="43"/>
    <w:qFormat/>
    <w:rsid w:val="007C6EE5"/>
    <w:pPr>
      <w:ind w:left="833" w:hanging="357"/>
      <w:outlineLvl w:val="3"/>
    </w:pPr>
    <w:rPr>
      <w:b/>
      <w:i w:val="0"/>
      <w:sz w:val="20"/>
    </w:rPr>
  </w:style>
  <w:style w:type="paragraph" w:customStyle="1" w:styleId="ECHRTitleCentre3">
    <w:name w:val="ECHR_Title_Centre_3"/>
    <w:aliases w:val="Ju_H_Article"/>
    <w:basedOn w:val="a2"/>
    <w:next w:val="ECHRParaQuote"/>
    <w:uiPriority w:val="27"/>
    <w:qFormat/>
    <w:rsid w:val="007C6EE5"/>
    <w:pPr>
      <w:keepNext/>
      <w:keepLines/>
      <w:spacing w:before="240" w:after="120"/>
      <w:jc w:val="center"/>
      <w:outlineLvl w:val="3"/>
    </w:pPr>
    <w:rPr>
      <w:b/>
      <w:sz w:val="20"/>
      <w:lang w:bidi="en-US"/>
    </w:rPr>
  </w:style>
  <w:style w:type="paragraph" w:customStyle="1" w:styleId="ECHRTitleCentre1">
    <w:name w:val="ECHR_Title_Centre_1"/>
    <w:aliases w:val="Opi_H_Head"/>
    <w:basedOn w:val="a2"/>
    <w:next w:val="OpiPara"/>
    <w:uiPriority w:val="39"/>
    <w:qFormat/>
    <w:rsid w:val="007C6EE5"/>
    <w:pPr>
      <w:keepNext/>
      <w:keepLines/>
      <w:spacing w:after="240"/>
      <w:jc w:val="center"/>
      <w:outlineLvl w:val="0"/>
    </w:pPr>
    <w:rPr>
      <w:sz w:val="28"/>
    </w:rPr>
  </w:style>
  <w:style w:type="paragraph" w:customStyle="1" w:styleId="JuQuotSub">
    <w:name w:val="Ju_Quot_Sub"/>
    <w:basedOn w:val="ECHRParaQuote"/>
    <w:uiPriority w:val="15"/>
    <w:qFormat/>
    <w:rsid w:val="007C6EE5"/>
    <w:pPr>
      <w:ind w:left="567"/>
    </w:pPr>
  </w:style>
  <w:style w:type="paragraph" w:customStyle="1" w:styleId="ECHRTitle1">
    <w:name w:val="ECHR_Title_1"/>
    <w:aliases w:val="Ju_H_Head"/>
    <w:basedOn w:val="a2"/>
    <w:next w:val="ECHRPara"/>
    <w:uiPriority w:val="18"/>
    <w:qFormat/>
    <w:rsid w:val="007C6EE5"/>
    <w:pPr>
      <w:keepNext/>
      <w:keepLines/>
      <w:spacing w:before="720" w:after="240"/>
      <w:outlineLvl w:val="0"/>
    </w:pPr>
    <w:rPr>
      <w:sz w:val="28"/>
    </w:rPr>
  </w:style>
  <w:style w:type="paragraph" w:customStyle="1" w:styleId="JuInitialled">
    <w:name w:val="Ju_Initialled"/>
    <w:basedOn w:val="a2"/>
    <w:uiPriority w:val="31"/>
    <w:qFormat/>
    <w:rsid w:val="007C6EE5"/>
    <w:pPr>
      <w:tabs>
        <w:tab w:val="center" w:pos="6407"/>
      </w:tabs>
      <w:spacing w:before="720"/>
      <w:jc w:val="right"/>
    </w:pPr>
  </w:style>
  <w:style w:type="paragraph" w:customStyle="1" w:styleId="JuSigned">
    <w:name w:val="Ju_Signed"/>
    <w:basedOn w:val="a2"/>
    <w:next w:val="JuParaLast"/>
    <w:uiPriority w:val="32"/>
    <w:qFormat/>
    <w:rsid w:val="007C6EE5"/>
    <w:pPr>
      <w:tabs>
        <w:tab w:val="center" w:pos="851"/>
        <w:tab w:val="center" w:pos="6407"/>
      </w:tabs>
      <w:spacing w:before="720"/>
      <w:jc w:val="left"/>
    </w:pPr>
  </w:style>
  <w:style w:type="paragraph" w:styleId="ad">
    <w:name w:val="Title"/>
    <w:basedOn w:val="a2"/>
    <w:next w:val="a2"/>
    <w:link w:val="ae"/>
    <w:uiPriority w:val="99"/>
    <w:semiHidden/>
    <w:qFormat/>
    <w:rsid w:val="007C6EE5"/>
    <w:pPr>
      <w:pBdr>
        <w:bottom w:val="single" w:sz="4" w:space="1" w:color="auto"/>
      </w:pBdr>
      <w:contextualSpacing/>
    </w:pPr>
    <w:rPr>
      <w:spacing w:val="5"/>
      <w:sz w:val="52"/>
      <w:szCs w:val="52"/>
      <w:lang w:bidi="en-US"/>
    </w:rPr>
  </w:style>
  <w:style w:type="character" w:customStyle="1" w:styleId="ae">
    <w:name w:val="Название Знак"/>
    <w:link w:val="ad"/>
    <w:uiPriority w:val="99"/>
    <w:semiHidden/>
    <w:rsid w:val="007C6EE5"/>
    <w:rPr>
      <w:rFonts w:ascii="Times New Roman" w:eastAsia="Times New Roman" w:hAnsi="Times New Roman" w:cs="Times New Roman"/>
      <w:spacing w:val="5"/>
      <w:sz w:val="52"/>
      <w:szCs w:val="52"/>
      <w:lang w:bidi="en-US"/>
    </w:rPr>
  </w:style>
  <w:style w:type="paragraph" w:customStyle="1" w:styleId="OpiHA0">
    <w:name w:val="Opi_H_A"/>
    <w:basedOn w:val="ECHRHeading1"/>
    <w:next w:val="OpiPara"/>
    <w:uiPriority w:val="41"/>
    <w:qFormat/>
    <w:rsid w:val="007C6EE5"/>
    <w:pPr>
      <w:tabs>
        <w:tab w:val="clear" w:pos="357"/>
      </w:tabs>
      <w:outlineLvl w:val="1"/>
    </w:pPr>
    <w:rPr>
      <w:b/>
    </w:rPr>
  </w:style>
  <w:style w:type="character" w:customStyle="1" w:styleId="JUNAMES">
    <w:name w:val="JU_NAMES"/>
    <w:uiPriority w:val="17"/>
    <w:qFormat/>
    <w:rsid w:val="007C6EE5"/>
    <w:rPr>
      <w:caps w:val="0"/>
      <w:smallCaps/>
    </w:rPr>
  </w:style>
  <w:style w:type="character" w:customStyle="1" w:styleId="JuITMark">
    <w:name w:val="Ju_ITMark"/>
    <w:uiPriority w:val="38"/>
    <w:qFormat/>
    <w:rsid w:val="007C6EE5"/>
    <w:rPr>
      <w:vanish w:val="0"/>
      <w:color w:val="auto"/>
      <w:sz w:val="14"/>
      <w:bdr w:val="none" w:sz="0" w:space="0" w:color="auto"/>
      <w:shd w:val="clear" w:color="auto" w:fill="BEE5FF"/>
    </w:rPr>
  </w:style>
  <w:style w:type="paragraph" w:customStyle="1" w:styleId="OpiHi">
    <w:name w:val="Opi_H_i"/>
    <w:basedOn w:val="ECHRHeading4"/>
    <w:uiPriority w:val="44"/>
    <w:qFormat/>
    <w:rsid w:val="007C6EE5"/>
    <w:pPr>
      <w:ind w:left="1037" w:hanging="357"/>
      <w:outlineLvl w:val="4"/>
    </w:pPr>
    <w:rPr>
      <w:b w:val="0"/>
      <w:i/>
    </w:rPr>
  </w:style>
  <w:style w:type="paragraph" w:customStyle="1" w:styleId="JuCourt">
    <w:name w:val="Ju_Court"/>
    <w:basedOn w:val="a2"/>
    <w:next w:val="a2"/>
    <w:uiPriority w:val="16"/>
    <w:qFormat/>
    <w:rsid w:val="007C6EE5"/>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1"/>
    <w:next w:val="ECHRPara"/>
    <w:uiPriority w:val="19"/>
    <w:qFormat/>
    <w:rsid w:val="007C6EE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7C6EE5"/>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31"/>
    <w:next w:val="ECHRPara"/>
    <w:uiPriority w:val="21"/>
    <w:qFormat/>
    <w:rsid w:val="007C6EE5"/>
    <w:pPr>
      <w:keepNext/>
      <w:keepLines/>
      <w:tabs>
        <w:tab w:val="left" w:pos="731"/>
      </w:tabs>
      <w:spacing w:before="240" w:after="120" w:line="240" w:lineRule="auto"/>
      <w:ind w:left="732" w:hanging="301"/>
    </w:pPr>
    <w:rPr>
      <w:b w:val="0"/>
      <w:i/>
      <w:color w:val="auto"/>
    </w:rPr>
  </w:style>
  <w:style w:type="paragraph" w:styleId="a9">
    <w:name w:val="header"/>
    <w:basedOn w:val="a2"/>
    <w:link w:val="af"/>
    <w:uiPriority w:val="57"/>
    <w:semiHidden/>
    <w:rsid w:val="007C6EE5"/>
    <w:pPr>
      <w:tabs>
        <w:tab w:val="center" w:pos="4536"/>
        <w:tab w:val="right" w:pos="9072"/>
      </w:tabs>
    </w:pPr>
    <w:rPr>
      <w:szCs w:val="20"/>
      <w:lang w:bidi="he-IL"/>
    </w:rPr>
  </w:style>
  <w:style w:type="character" w:customStyle="1" w:styleId="af">
    <w:name w:val="Верхний колонтитул Знак"/>
    <w:link w:val="a9"/>
    <w:uiPriority w:val="57"/>
    <w:semiHidden/>
    <w:rsid w:val="007C6EE5"/>
    <w:rPr>
      <w:sz w:val="24"/>
      <w:lang w:val="en-GB"/>
    </w:rPr>
  </w:style>
  <w:style w:type="character" w:customStyle="1" w:styleId="10">
    <w:name w:val="Заголовок 1 Знак"/>
    <w:link w:val="1"/>
    <w:uiPriority w:val="99"/>
    <w:semiHidden/>
    <w:rsid w:val="007C6EE5"/>
    <w:rPr>
      <w:rFonts w:ascii="Times New Roman" w:eastAsia="Times New Roman" w:hAnsi="Times New Roman" w:cs="Times New Roman"/>
      <w:b/>
      <w:bCs/>
      <w:color w:val="333333"/>
      <w:sz w:val="28"/>
      <w:szCs w:val="28"/>
      <w:lang w:val="en-GB"/>
    </w:rPr>
  </w:style>
  <w:style w:type="paragraph" w:customStyle="1" w:styleId="ECHRHeading4">
    <w:name w:val="ECHR_Heading_4"/>
    <w:aliases w:val="Ju_H_a"/>
    <w:basedOn w:val="41"/>
    <w:next w:val="ECHRPara"/>
    <w:uiPriority w:val="22"/>
    <w:qFormat/>
    <w:rsid w:val="007C6EE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7C6EE5"/>
    <w:pPr>
      <w:keepNext/>
      <w:keepLines/>
      <w:tabs>
        <w:tab w:val="left" w:pos="1191"/>
      </w:tabs>
      <w:spacing w:before="240" w:after="120"/>
      <w:ind w:left="1190" w:hanging="357"/>
    </w:pPr>
    <w:rPr>
      <w:b w:val="0"/>
      <w:i/>
      <w:color w:val="auto"/>
      <w:lang w:val="en-GB"/>
    </w:rPr>
  </w:style>
  <w:style w:type="character" w:customStyle="1" w:styleId="22">
    <w:name w:val="Заголовок 2 Знак"/>
    <w:link w:val="21"/>
    <w:uiPriority w:val="99"/>
    <w:semiHidden/>
    <w:rsid w:val="007C6EE5"/>
    <w:rPr>
      <w:rFonts w:ascii="Times New Roman" w:eastAsia="Times New Roman" w:hAnsi="Times New Roman" w:cs="Times New Roman"/>
      <w:b/>
      <w:bCs/>
      <w:color w:val="4D4D4D"/>
      <w:sz w:val="26"/>
      <w:szCs w:val="26"/>
      <w:lang w:val="en-GB"/>
    </w:rPr>
  </w:style>
  <w:style w:type="paragraph" w:customStyle="1" w:styleId="ECHRHeading6">
    <w:name w:val="ECHR_Heading_6"/>
    <w:aliases w:val="Ju_H_alpha"/>
    <w:basedOn w:val="6"/>
    <w:next w:val="ECHRPara"/>
    <w:uiPriority w:val="24"/>
    <w:qFormat/>
    <w:rsid w:val="007C6EE5"/>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7C6EE5"/>
    <w:pPr>
      <w:keepNext/>
      <w:keepLines/>
      <w:spacing w:before="240" w:after="120"/>
      <w:ind w:left="1236"/>
    </w:pPr>
    <w:rPr>
      <w:lang w:val="en-GB"/>
    </w:rPr>
  </w:style>
  <w:style w:type="character" w:customStyle="1" w:styleId="32">
    <w:name w:val="Заголовок 3 Знак"/>
    <w:link w:val="31"/>
    <w:uiPriority w:val="99"/>
    <w:semiHidden/>
    <w:rsid w:val="007C6EE5"/>
    <w:rPr>
      <w:rFonts w:ascii="Times New Roman" w:eastAsia="Times New Roman" w:hAnsi="Times New Roman" w:cs="Times New Roman"/>
      <w:b/>
      <w:bCs/>
      <w:color w:val="5F5F5F"/>
      <w:sz w:val="24"/>
      <w:lang w:val="en-GB"/>
    </w:rPr>
  </w:style>
  <w:style w:type="paragraph" w:customStyle="1" w:styleId="JuParaLast">
    <w:name w:val="Ju_Para_Last"/>
    <w:basedOn w:val="a2"/>
    <w:next w:val="ECHRPara"/>
    <w:uiPriority w:val="30"/>
    <w:qFormat/>
    <w:rsid w:val="007C6EE5"/>
    <w:pPr>
      <w:keepNext/>
      <w:keepLines/>
      <w:spacing w:before="240"/>
      <w:ind w:firstLine="284"/>
    </w:pPr>
  </w:style>
  <w:style w:type="paragraph" w:customStyle="1" w:styleId="ECHRDecisionBody">
    <w:name w:val="ECHR_Decision_Body"/>
    <w:aliases w:val="Ju_Judges"/>
    <w:basedOn w:val="a2"/>
    <w:uiPriority w:val="11"/>
    <w:qFormat/>
    <w:rsid w:val="007C6EE5"/>
    <w:pPr>
      <w:tabs>
        <w:tab w:val="left" w:pos="567"/>
        <w:tab w:val="left" w:pos="1134"/>
      </w:tabs>
      <w:jc w:val="left"/>
    </w:pPr>
  </w:style>
  <w:style w:type="character" w:customStyle="1" w:styleId="42">
    <w:name w:val="Заголовок 4 Знак"/>
    <w:link w:val="41"/>
    <w:uiPriority w:val="99"/>
    <w:semiHidden/>
    <w:rsid w:val="007C6EE5"/>
    <w:rPr>
      <w:rFonts w:ascii="Times New Roman" w:eastAsia="Times New Roman" w:hAnsi="Times New Roman" w:cs="Times New Roman"/>
      <w:b/>
      <w:bCs/>
      <w:i/>
      <w:iCs/>
      <w:color w:val="777777"/>
      <w:sz w:val="24"/>
      <w:lang w:val="en-GB"/>
    </w:rPr>
  </w:style>
  <w:style w:type="paragraph" w:customStyle="1" w:styleId="JuList">
    <w:name w:val="Ju_List"/>
    <w:basedOn w:val="a2"/>
    <w:uiPriority w:val="28"/>
    <w:qFormat/>
    <w:rsid w:val="007C6EE5"/>
    <w:pPr>
      <w:ind w:left="340" w:hanging="340"/>
    </w:pPr>
  </w:style>
  <w:style w:type="character" w:customStyle="1" w:styleId="52">
    <w:name w:val="Заголовок 5 Знак"/>
    <w:link w:val="51"/>
    <w:uiPriority w:val="99"/>
    <w:semiHidden/>
    <w:rsid w:val="007C6EE5"/>
    <w:rPr>
      <w:rFonts w:ascii="Times New Roman" w:eastAsia="Times New Roman" w:hAnsi="Times New Roman" w:cs="Times New Roman"/>
      <w:b/>
      <w:bCs/>
      <w:color w:val="808080"/>
    </w:rPr>
  </w:style>
  <w:style w:type="paragraph" w:customStyle="1" w:styleId="JuLista">
    <w:name w:val="Ju_List_a"/>
    <w:basedOn w:val="JuList"/>
    <w:uiPriority w:val="28"/>
    <w:qFormat/>
    <w:rsid w:val="007C6EE5"/>
    <w:pPr>
      <w:ind w:left="346" w:firstLine="0"/>
    </w:pPr>
  </w:style>
  <w:style w:type="paragraph" w:customStyle="1" w:styleId="JuListi">
    <w:name w:val="Ju_List_i"/>
    <w:basedOn w:val="a2"/>
    <w:next w:val="JuLista"/>
    <w:uiPriority w:val="28"/>
    <w:qFormat/>
    <w:rsid w:val="007C6EE5"/>
    <w:pPr>
      <w:ind w:left="794"/>
    </w:pPr>
  </w:style>
  <w:style w:type="character" w:styleId="af0">
    <w:name w:val="Subtle Emphasis"/>
    <w:uiPriority w:val="99"/>
    <w:semiHidden/>
    <w:qFormat/>
    <w:rsid w:val="007C6EE5"/>
    <w:rPr>
      <w:i/>
      <w:iCs/>
    </w:rPr>
  </w:style>
  <w:style w:type="paragraph" w:customStyle="1" w:styleId="OpiParaSub">
    <w:name w:val="Opi_Para_Sub"/>
    <w:basedOn w:val="JuParaSub"/>
    <w:uiPriority w:val="47"/>
    <w:qFormat/>
    <w:rsid w:val="007C6EE5"/>
  </w:style>
  <w:style w:type="table" w:customStyle="1" w:styleId="ECHRTable">
    <w:name w:val="ECHR_Table"/>
    <w:basedOn w:val="a4"/>
    <w:rsid w:val="00860B03"/>
    <w:rPr>
      <w:lang w:val="en-GB"/>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a4"/>
    <w:rsid w:val="004C086C"/>
    <w:rPr>
      <w:rFonts w:ascii="Verdana" w:hAnsi="Verdana"/>
      <w:lang w:val="en-GB"/>
    </w:rPr>
    <w:tblPr>
      <w:tblInd w:w="0" w:type="dxa"/>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Quot">
    <w:name w:val="Opi_Quot"/>
    <w:basedOn w:val="ECHRParaQuote"/>
    <w:uiPriority w:val="48"/>
    <w:qFormat/>
    <w:rsid w:val="007C6EE5"/>
  </w:style>
  <w:style w:type="paragraph" w:customStyle="1" w:styleId="OpiQuotSub">
    <w:name w:val="Opi_Quot_Sub"/>
    <w:basedOn w:val="JuQuotSub"/>
    <w:uiPriority w:val="49"/>
    <w:qFormat/>
    <w:rsid w:val="007C6EE5"/>
  </w:style>
  <w:style w:type="paragraph" w:customStyle="1" w:styleId="OpiTranslation">
    <w:name w:val="Opi_Translation"/>
    <w:basedOn w:val="a2"/>
    <w:next w:val="OpiPara"/>
    <w:uiPriority w:val="40"/>
    <w:qFormat/>
    <w:rsid w:val="007C6EE5"/>
    <w:pPr>
      <w:jc w:val="center"/>
      <w:outlineLvl w:val="0"/>
    </w:pPr>
    <w:rPr>
      <w:i/>
    </w:rPr>
  </w:style>
  <w:style w:type="character" w:styleId="af1">
    <w:name w:val="Emphasis"/>
    <w:uiPriority w:val="99"/>
    <w:semiHidden/>
    <w:qFormat/>
    <w:rsid w:val="007C6EE5"/>
    <w:rPr>
      <w:b/>
      <w:bCs/>
      <w:i/>
      <w:iCs/>
      <w:spacing w:val="10"/>
      <w:bdr w:val="none" w:sz="0" w:space="0" w:color="auto"/>
      <w:shd w:val="clear" w:color="auto" w:fill="auto"/>
    </w:rPr>
  </w:style>
  <w:style w:type="paragraph" w:styleId="af2">
    <w:name w:val="footer"/>
    <w:basedOn w:val="a2"/>
    <w:link w:val="af3"/>
    <w:uiPriority w:val="57"/>
    <w:semiHidden/>
    <w:rsid w:val="007C6EE5"/>
    <w:pPr>
      <w:tabs>
        <w:tab w:val="center" w:pos="4536"/>
        <w:tab w:val="right" w:pos="9696"/>
      </w:tabs>
      <w:ind w:left="-680" w:right="-680"/>
    </w:pPr>
    <w:rPr>
      <w:szCs w:val="20"/>
      <w:lang w:bidi="he-IL"/>
    </w:rPr>
  </w:style>
  <w:style w:type="character" w:customStyle="1" w:styleId="af3">
    <w:name w:val="Нижний колонтитул Знак"/>
    <w:link w:val="af2"/>
    <w:uiPriority w:val="57"/>
    <w:semiHidden/>
    <w:rsid w:val="007C6EE5"/>
    <w:rPr>
      <w:sz w:val="24"/>
      <w:lang w:val="en-GB"/>
    </w:rPr>
  </w:style>
  <w:style w:type="character" w:styleId="af4">
    <w:name w:val="footnote reference"/>
    <w:uiPriority w:val="99"/>
    <w:semiHidden/>
    <w:rsid w:val="007C6EE5"/>
    <w:rPr>
      <w:vertAlign w:val="superscript"/>
    </w:rPr>
  </w:style>
  <w:style w:type="paragraph" w:styleId="af5">
    <w:name w:val="footnote text"/>
    <w:basedOn w:val="a2"/>
    <w:link w:val="af6"/>
    <w:uiPriority w:val="99"/>
    <w:semiHidden/>
    <w:rsid w:val="007C6EE5"/>
    <w:rPr>
      <w:sz w:val="20"/>
      <w:szCs w:val="20"/>
      <w:lang w:bidi="he-IL"/>
    </w:rPr>
  </w:style>
  <w:style w:type="character" w:customStyle="1" w:styleId="af6">
    <w:name w:val="Текст сноски Знак"/>
    <w:link w:val="af5"/>
    <w:uiPriority w:val="99"/>
    <w:semiHidden/>
    <w:rsid w:val="007C6EE5"/>
    <w:rPr>
      <w:rFonts w:eastAsia="Times New Roman"/>
      <w:sz w:val="20"/>
      <w:szCs w:val="20"/>
      <w:lang w:val="en-GB"/>
    </w:rPr>
  </w:style>
  <w:style w:type="character" w:customStyle="1" w:styleId="60">
    <w:name w:val="Заголовок 6 Знак"/>
    <w:link w:val="6"/>
    <w:uiPriority w:val="99"/>
    <w:semiHidden/>
    <w:rsid w:val="007C6EE5"/>
    <w:rPr>
      <w:rFonts w:ascii="Times New Roman" w:eastAsia="Times New Roman" w:hAnsi="Times New Roman" w:cs="Times New Roman"/>
      <w:b/>
      <w:bCs/>
      <w:i/>
      <w:iCs/>
      <w:color w:val="7F7F7F"/>
      <w:sz w:val="24"/>
      <w:lang w:val="en-GB" w:bidi="en-US"/>
    </w:rPr>
  </w:style>
  <w:style w:type="character" w:customStyle="1" w:styleId="70">
    <w:name w:val="Заголовок 7 Знак"/>
    <w:link w:val="7"/>
    <w:uiPriority w:val="99"/>
    <w:semiHidden/>
    <w:rsid w:val="007C6EE5"/>
    <w:rPr>
      <w:rFonts w:ascii="Times New Roman" w:eastAsia="Times New Roman" w:hAnsi="Times New Roman" w:cs="Times New Roman"/>
      <w:i/>
      <w:iCs/>
      <w:lang w:bidi="en-US"/>
    </w:rPr>
  </w:style>
  <w:style w:type="character" w:customStyle="1" w:styleId="80">
    <w:name w:val="Заголовок 8 Знак"/>
    <w:link w:val="8"/>
    <w:uiPriority w:val="99"/>
    <w:semiHidden/>
    <w:rsid w:val="007C6EE5"/>
    <w:rPr>
      <w:rFonts w:ascii="Times New Roman" w:eastAsia="Times New Roman" w:hAnsi="Times New Roman" w:cs="Times New Roman"/>
      <w:sz w:val="20"/>
      <w:szCs w:val="20"/>
      <w:lang w:bidi="en-US"/>
    </w:rPr>
  </w:style>
  <w:style w:type="character" w:customStyle="1" w:styleId="90">
    <w:name w:val="Заголовок 9 Знак"/>
    <w:link w:val="9"/>
    <w:uiPriority w:val="99"/>
    <w:semiHidden/>
    <w:rsid w:val="007C6EE5"/>
    <w:rPr>
      <w:rFonts w:ascii="Times New Roman" w:eastAsia="Times New Roman" w:hAnsi="Times New Roman" w:cs="Times New Roman"/>
      <w:i/>
      <w:iCs/>
      <w:spacing w:val="5"/>
      <w:sz w:val="20"/>
      <w:szCs w:val="20"/>
      <w:lang w:bidi="en-US"/>
    </w:rPr>
  </w:style>
  <w:style w:type="character" w:styleId="af7">
    <w:name w:val="Hyperlink"/>
    <w:uiPriority w:val="99"/>
    <w:semiHidden/>
    <w:rsid w:val="007C6EE5"/>
    <w:rPr>
      <w:color w:val="0072BC"/>
      <w:u w:val="single"/>
    </w:rPr>
  </w:style>
  <w:style w:type="character" w:styleId="af8">
    <w:name w:val="Intense Emphasis"/>
    <w:uiPriority w:val="99"/>
    <w:semiHidden/>
    <w:qFormat/>
    <w:rsid w:val="007C6EE5"/>
    <w:rPr>
      <w:b/>
      <w:bCs/>
    </w:rPr>
  </w:style>
  <w:style w:type="paragraph" w:styleId="af9">
    <w:name w:val="Intense Quote"/>
    <w:basedOn w:val="a2"/>
    <w:next w:val="a2"/>
    <w:link w:val="afa"/>
    <w:uiPriority w:val="99"/>
    <w:semiHidden/>
    <w:qFormat/>
    <w:rsid w:val="007C6EE5"/>
    <w:pPr>
      <w:pBdr>
        <w:bottom w:val="single" w:sz="4" w:space="1" w:color="auto"/>
      </w:pBdr>
      <w:spacing w:before="200" w:after="280"/>
      <w:ind w:left="1008" w:right="1152"/>
    </w:pPr>
    <w:rPr>
      <w:b/>
      <w:bCs/>
      <w:i/>
      <w:iCs/>
      <w:sz w:val="20"/>
      <w:szCs w:val="20"/>
      <w:lang w:bidi="en-US"/>
    </w:rPr>
  </w:style>
  <w:style w:type="character" w:customStyle="1" w:styleId="afa">
    <w:name w:val="Выделенная цитата Знак"/>
    <w:link w:val="af9"/>
    <w:uiPriority w:val="99"/>
    <w:semiHidden/>
    <w:rsid w:val="007C6EE5"/>
    <w:rPr>
      <w:rFonts w:eastAsia="Times New Roman"/>
      <w:b/>
      <w:bCs/>
      <w:i/>
      <w:iCs/>
      <w:lang w:bidi="en-US"/>
    </w:rPr>
  </w:style>
  <w:style w:type="character" w:styleId="afb">
    <w:name w:val="Intense Reference"/>
    <w:uiPriority w:val="99"/>
    <w:semiHidden/>
    <w:qFormat/>
    <w:rsid w:val="007C6EE5"/>
    <w:rPr>
      <w:smallCaps/>
      <w:spacing w:val="5"/>
      <w:u w:val="single"/>
    </w:rPr>
  </w:style>
  <w:style w:type="paragraph" w:styleId="afc">
    <w:name w:val="List Paragraph"/>
    <w:basedOn w:val="a2"/>
    <w:uiPriority w:val="99"/>
    <w:semiHidden/>
    <w:qFormat/>
    <w:rsid w:val="007C6EE5"/>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7C6EE5"/>
    <w:pPr>
      <w:spacing w:before="200"/>
      <w:ind w:left="360" w:right="360"/>
    </w:pPr>
    <w:rPr>
      <w:i/>
      <w:iCs/>
      <w:sz w:val="20"/>
      <w:szCs w:val="20"/>
      <w:lang w:bidi="en-US"/>
    </w:rPr>
  </w:style>
  <w:style w:type="character" w:customStyle="1" w:styleId="24">
    <w:name w:val="Цитата 2 Знак"/>
    <w:link w:val="23"/>
    <w:uiPriority w:val="99"/>
    <w:semiHidden/>
    <w:rsid w:val="007C6EE5"/>
    <w:rPr>
      <w:rFonts w:eastAsia="Times New Roman"/>
      <w:i/>
      <w:iCs/>
      <w:lang w:bidi="en-US"/>
    </w:rPr>
  </w:style>
  <w:style w:type="character" w:styleId="afd">
    <w:name w:val="Subtle Reference"/>
    <w:uiPriority w:val="99"/>
    <w:semiHidden/>
    <w:qFormat/>
    <w:rsid w:val="007C6EE5"/>
    <w:rPr>
      <w:smallCaps/>
    </w:rPr>
  </w:style>
  <w:style w:type="table" w:styleId="afe">
    <w:name w:val="Table Grid"/>
    <w:basedOn w:val="a4"/>
    <w:uiPriority w:val="59"/>
    <w:semiHidden/>
    <w:rsid w:val="007C6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7C6EE5"/>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7C6EE5"/>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7C6EE5"/>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7C6EE5"/>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7C6EE5"/>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7C6EE5"/>
    <w:pPr>
      <w:keepNext/>
      <w:keepLines/>
      <w:spacing w:before="240"/>
      <w:contextualSpacing/>
      <w:jc w:val="center"/>
    </w:pPr>
    <w:rPr>
      <w:b/>
      <w:color w:val="474747"/>
      <w:sz w:val="28"/>
    </w:rPr>
  </w:style>
  <w:style w:type="table" w:customStyle="1" w:styleId="UGTable">
    <w:name w:val="UG_Table"/>
    <w:basedOn w:val="a4"/>
    <w:uiPriority w:val="99"/>
    <w:rsid w:val="00572845"/>
    <w:rPr>
      <w:lang w:val="en-GB" w:eastAsia="en-GB"/>
    </w:rPr>
    <w:tblPr>
      <w:tblInd w:w="-964" w:type="dxa"/>
      <w:tblCellMar>
        <w:top w:w="0" w:type="dxa"/>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3609FA"/>
    <w:rPr>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sz w:val="18"/>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aff0">
    <w:name w:val="toa heading"/>
    <w:basedOn w:val="a2"/>
    <w:next w:val="a2"/>
    <w:uiPriority w:val="99"/>
    <w:semiHidden/>
    <w:rsid w:val="007C6EE5"/>
    <w:pPr>
      <w:keepNext/>
      <w:keepLines/>
      <w:spacing w:before="240"/>
      <w:contextualSpacing/>
      <w:jc w:val="center"/>
    </w:pPr>
    <w:rPr>
      <w:b/>
      <w:bCs/>
      <w:color w:val="474747"/>
      <w:sz w:val="28"/>
      <w:szCs w:val="24"/>
    </w:rPr>
  </w:style>
  <w:style w:type="paragraph" w:styleId="aff1">
    <w:name w:val="Subtitle"/>
    <w:basedOn w:val="a2"/>
    <w:next w:val="a2"/>
    <w:link w:val="aff2"/>
    <w:uiPriority w:val="99"/>
    <w:semiHidden/>
    <w:qFormat/>
    <w:rsid w:val="007C6EE5"/>
    <w:pPr>
      <w:spacing w:after="600"/>
    </w:pPr>
    <w:rPr>
      <w:i/>
      <w:iCs/>
      <w:spacing w:val="13"/>
      <w:szCs w:val="24"/>
      <w:lang w:bidi="en-US"/>
    </w:rPr>
  </w:style>
  <w:style w:type="character" w:customStyle="1" w:styleId="aff2">
    <w:name w:val="Подзаголовок Знак"/>
    <w:link w:val="aff1"/>
    <w:uiPriority w:val="99"/>
    <w:semiHidden/>
    <w:rsid w:val="007C6EE5"/>
    <w:rPr>
      <w:rFonts w:ascii="Times New Roman" w:eastAsia="Times New Roman" w:hAnsi="Times New Roman" w:cs="Times New Roman"/>
      <w:i/>
      <w:iCs/>
      <w:spacing w:val="13"/>
      <w:sz w:val="24"/>
      <w:szCs w:val="24"/>
      <w:lang w:bidi="en-US"/>
    </w:rPr>
  </w:style>
  <w:style w:type="numbering" w:styleId="111111">
    <w:name w:val="Outline List 2"/>
    <w:basedOn w:val="a5"/>
    <w:uiPriority w:val="99"/>
    <w:semiHidden/>
    <w:unhideWhenUsed/>
    <w:rsid w:val="0098410D"/>
    <w:pPr>
      <w:numPr>
        <w:numId w:val="10"/>
      </w:numPr>
    </w:pPr>
  </w:style>
  <w:style w:type="paragraph" w:customStyle="1" w:styleId="ECHRPara">
    <w:name w:val="ECHR_Para"/>
    <w:aliases w:val="Ju_Para"/>
    <w:basedOn w:val="a2"/>
    <w:link w:val="ECHRParaChar1"/>
    <w:uiPriority w:val="12"/>
    <w:qFormat/>
    <w:rsid w:val="007C6EE5"/>
    <w:pPr>
      <w:ind w:firstLine="284"/>
    </w:pPr>
    <w:rPr>
      <w:szCs w:val="20"/>
      <w:lang w:bidi="he-IL"/>
    </w:rPr>
  </w:style>
  <w:style w:type="numbering" w:styleId="1ai">
    <w:name w:val="Outline List 1"/>
    <w:basedOn w:val="a5"/>
    <w:uiPriority w:val="99"/>
    <w:semiHidden/>
    <w:unhideWhenUsed/>
    <w:rsid w:val="0098410D"/>
    <w:pPr>
      <w:numPr>
        <w:numId w:val="11"/>
      </w:numPr>
    </w:pPr>
  </w:style>
  <w:style w:type="table" w:customStyle="1" w:styleId="ECHRTableSimpleBox">
    <w:name w:val="ECHR_Table_Simple_Box"/>
    <w:basedOn w:val="a4"/>
    <w:uiPriority w:val="99"/>
    <w:rsid w:val="00AE354C"/>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0">
    <w:name w:val="Outline List 3"/>
    <w:basedOn w:val="a5"/>
    <w:uiPriority w:val="99"/>
    <w:semiHidden/>
    <w:unhideWhenUsed/>
    <w:rsid w:val="0098410D"/>
    <w:pPr>
      <w:numPr>
        <w:numId w:val="12"/>
      </w:numPr>
    </w:pPr>
  </w:style>
  <w:style w:type="table" w:customStyle="1" w:styleId="ECHRTableForInternalUse">
    <w:name w:val="ECHR_Table_For_Internal_Use"/>
    <w:basedOn w:val="a4"/>
    <w:uiPriority w:val="99"/>
    <w:rsid w:val="005474E7"/>
    <w:rPr>
      <w:color w:val="636363"/>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a4"/>
    <w:uiPriority w:val="99"/>
    <w:rsid w:val="007C6EE5"/>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aff3">
    <w:name w:val="Bibliography"/>
    <w:basedOn w:val="a2"/>
    <w:next w:val="a2"/>
    <w:uiPriority w:val="99"/>
    <w:semiHidden/>
    <w:rsid w:val="0098410D"/>
  </w:style>
  <w:style w:type="paragraph" w:styleId="aff4">
    <w:name w:val="Block Text"/>
    <w:basedOn w:val="a2"/>
    <w:uiPriority w:val="99"/>
    <w:semiHidden/>
    <w:rsid w:val="0098410D"/>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table" w:customStyle="1" w:styleId="ECHRHeaderTable">
    <w:name w:val="ECHR_Header_Table"/>
    <w:basedOn w:val="a4"/>
    <w:uiPriority w:val="99"/>
    <w:rsid w:val="00661971"/>
    <w:tblPr>
      <w:tblInd w:w="-680" w:type="dxa"/>
      <w:tblBorders>
        <w:bottom w:val="single" w:sz="6" w:space="0" w:color="949494"/>
      </w:tblBorders>
      <w:tblCellMar>
        <w:top w:w="0" w:type="dxa"/>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98410D"/>
    <w:pPr>
      <w:spacing w:after="120"/>
    </w:pPr>
    <w:rPr>
      <w:szCs w:val="20"/>
      <w:lang w:bidi="he-IL"/>
    </w:rPr>
  </w:style>
  <w:style w:type="character" w:customStyle="1" w:styleId="aff6">
    <w:name w:val="Основной текст Знак"/>
    <w:link w:val="aff5"/>
    <w:uiPriority w:val="99"/>
    <w:semiHidden/>
    <w:rsid w:val="0098410D"/>
    <w:rPr>
      <w:rFonts w:eastAsia="Times New Roman"/>
      <w:sz w:val="24"/>
    </w:r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26">
    <w:name w:val="Body Text 2"/>
    <w:basedOn w:val="a2"/>
    <w:link w:val="27"/>
    <w:uiPriority w:val="99"/>
    <w:semiHidden/>
    <w:rsid w:val="0098410D"/>
    <w:pPr>
      <w:spacing w:after="120" w:line="480" w:lineRule="auto"/>
    </w:pPr>
    <w:rPr>
      <w:szCs w:val="20"/>
      <w:lang w:bidi="he-IL"/>
    </w:r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a2"/>
    <w:next w:val="ECHRPara"/>
    <w:uiPriority w:val="10"/>
    <w:rsid w:val="007C6EE5"/>
    <w:pPr>
      <w:ind w:firstLine="284"/>
    </w:pPr>
    <w:rPr>
      <w:b/>
    </w:rPr>
  </w:style>
  <w:style w:type="character" w:styleId="aff7">
    <w:name w:val="page number"/>
    <w:uiPriority w:val="99"/>
    <w:semiHidden/>
    <w:rsid w:val="0098410D"/>
    <w:rPr>
      <w:sz w:val="18"/>
    </w:rPr>
  </w:style>
  <w:style w:type="paragraph" w:styleId="a1">
    <w:name w:val="List Bullet"/>
    <w:basedOn w:val="a2"/>
    <w:uiPriority w:val="99"/>
    <w:semiHidden/>
    <w:rsid w:val="0098410D"/>
    <w:pPr>
      <w:numPr>
        <w:numId w:val="9"/>
      </w:numPr>
    </w:pPr>
  </w:style>
  <w:style w:type="paragraph" w:styleId="30">
    <w:name w:val="List Bullet 3"/>
    <w:basedOn w:val="a2"/>
    <w:uiPriority w:val="99"/>
    <w:semiHidden/>
    <w:rsid w:val="0098410D"/>
    <w:pPr>
      <w:numPr>
        <w:numId w:val="8"/>
      </w:numPr>
      <w:contextualSpacing/>
    </w:pPr>
  </w:style>
  <w:style w:type="character" w:customStyle="1" w:styleId="27">
    <w:name w:val="Основной текст 2 Знак"/>
    <w:link w:val="26"/>
    <w:uiPriority w:val="99"/>
    <w:semiHidden/>
    <w:rsid w:val="0098410D"/>
    <w:rPr>
      <w:rFonts w:eastAsia="Times New Roman"/>
      <w:sz w:val="24"/>
    </w:rPr>
  </w:style>
  <w:style w:type="paragraph" w:styleId="34">
    <w:name w:val="Body Text 3"/>
    <w:basedOn w:val="a2"/>
    <w:link w:val="35"/>
    <w:uiPriority w:val="99"/>
    <w:semiHidden/>
    <w:rsid w:val="0098410D"/>
    <w:pPr>
      <w:spacing w:after="120"/>
    </w:pPr>
    <w:rPr>
      <w:sz w:val="16"/>
      <w:szCs w:val="16"/>
      <w:lang w:bidi="he-IL"/>
    </w:rPr>
  </w:style>
  <w:style w:type="character" w:customStyle="1" w:styleId="35">
    <w:name w:val="Основной текст 3 Знак"/>
    <w:link w:val="34"/>
    <w:uiPriority w:val="99"/>
    <w:semiHidden/>
    <w:rsid w:val="0098410D"/>
    <w:rPr>
      <w:rFonts w:eastAsia="Times New Roman"/>
      <w:sz w:val="16"/>
      <w:szCs w:val="16"/>
    </w:rPr>
  </w:style>
  <w:style w:type="paragraph" w:styleId="aff8">
    <w:name w:val="Body Text First Indent"/>
    <w:basedOn w:val="aff5"/>
    <w:link w:val="aff9"/>
    <w:uiPriority w:val="99"/>
    <w:semiHidden/>
    <w:rsid w:val="0098410D"/>
    <w:pPr>
      <w:spacing w:after="0"/>
      <w:ind w:firstLine="360"/>
    </w:pPr>
  </w:style>
  <w:style w:type="character" w:customStyle="1" w:styleId="aff9">
    <w:name w:val="Красная строка Знак"/>
    <w:link w:val="aff8"/>
    <w:uiPriority w:val="99"/>
    <w:semiHidden/>
    <w:rsid w:val="0098410D"/>
    <w:rPr>
      <w:rFonts w:eastAsia="Times New Roman"/>
      <w:sz w:val="24"/>
    </w:rPr>
  </w:style>
  <w:style w:type="paragraph" w:styleId="affa">
    <w:name w:val="Body Text Indent"/>
    <w:basedOn w:val="a2"/>
    <w:link w:val="affb"/>
    <w:uiPriority w:val="99"/>
    <w:semiHidden/>
    <w:rsid w:val="0098410D"/>
    <w:pPr>
      <w:spacing w:after="120"/>
      <w:ind w:left="283"/>
    </w:pPr>
    <w:rPr>
      <w:szCs w:val="20"/>
      <w:lang w:bidi="he-IL"/>
    </w:rPr>
  </w:style>
  <w:style w:type="character" w:customStyle="1" w:styleId="affb">
    <w:name w:val="Основной текст с отступом Знак"/>
    <w:link w:val="affa"/>
    <w:uiPriority w:val="99"/>
    <w:semiHidden/>
    <w:rsid w:val="0098410D"/>
    <w:rPr>
      <w:rFonts w:eastAsia="Times New Roman"/>
      <w:sz w:val="24"/>
    </w:rPr>
  </w:style>
  <w:style w:type="paragraph" w:styleId="28">
    <w:name w:val="Body Text First Indent 2"/>
    <w:basedOn w:val="affa"/>
    <w:link w:val="29"/>
    <w:uiPriority w:val="99"/>
    <w:semiHidden/>
    <w:rsid w:val="0098410D"/>
    <w:pPr>
      <w:spacing w:after="0"/>
      <w:ind w:left="360" w:firstLine="360"/>
    </w:pPr>
  </w:style>
  <w:style w:type="character" w:customStyle="1" w:styleId="29">
    <w:name w:val="Красная строка 2 Знак"/>
    <w:link w:val="28"/>
    <w:uiPriority w:val="99"/>
    <w:semiHidden/>
    <w:rsid w:val="0098410D"/>
    <w:rPr>
      <w:rFonts w:eastAsia="Times New Roman"/>
      <w:sz w:val="24"/>
    </w:rPr>
  </w:style>
  <w:style w:type="paragraph" w:styleId="2a">
    <w:name w:val="Body Text Indent 2"/>
    <w:basedOn w:val="a2"/>
    <w:link w:val="2b"/>
    <w:uiPriority w:val="99"/>
    <w:semiHidden/>
    <w:rsid w:val="0098410D"/>
    <w:pPr>
      <w:spacing w:after="120" w:line="480" w:lineRule="auto"/>
      <w:ind w:left="283"/>
    </w:pPr>
    <w:rPr>
      <w:szCs w:val="20"/>
      <w:lang w:bidi="he-IL"/>
    </w:rPr>
  </w:style>
  <w:style w:type="character" w:customStyle="1" w:styleId="2b">
    <w:name w:val="Основной текст с отступом 2 Знак"/>
    <w:link w:val="2a"/>
    <w:uiPriority w:val="99"/>
    <w:semiHidden/>
    <w:rsid w:val="0098410D"/>
    <w:rPr>
      <w:rFonts w:eastAsia="Times New Roman"/>
      <w:sz w:val="24"/>
    </w:rPr>
  </w:style>
  <w:style w:type="paragraph" w:styleId="36">
    <w:name w:val="Body Text Indent 3"/>
    <w:basedOn w:val="a2"/>
    <w:link w:val="37"/>
    <w:uiPriority w:val="99"/>
    <w:semiHidden/>
    <w:rsid w:val="0098410D"/>
    <w:pPr>
      <w:spacing w:after="120"/>
      <w:ind w:left="283"/>
    </w:pPr>
    <w:rPr>
      <w:sz w:val="16"/>
      <w:szCs w:val="16"/>
      <w:lang w:bidi="he-IL"/>
    </w:rPr>
  </w:style>
  <w:style w:type="character" w:customStyle="1" w:styleId="37">
    <w:name w:val="Основной текст с отступом 3 Знак"/>
    <w:link w:val="36"/>
    <w:uiPriority w:val="99"/>
    <w:semiHidden/>
    <w:rsid w:val="0098410D"/>
    <w:rPr>
      <w:rFonts w:eastAsia="Times New Roman"/>
      <w:sz w:val="16"/>
      <w:szCs w:val="16"/>
    </w:rPr>
  </w:style>
  <w:style w:type="paragraph" w:styleId="affc">
    <w:name w:val="caption"/>
    <w:basedOn w:val="a2"/>
    <w:next w:val="a2"/>
    <w:uiPriority w:val="99"/>
    <w:semiHidden/>
    <w:qFormat/>
    <w:rsid w:val="0098410D"/>
    <w:pPr>
      <w:spacing w:after="200"/>
    </w:pPr>
    <w:rPr>
      <w:b/>
      <w:bCs/>
      <w:color w:val="0072BC"/>
      <w:sz w:val="18"/>
      <w:szCs w:val="18"/>
    </w:rPr>
  </w:style>
  <w:style w:type="paragraph" w:styleId="affd">
    <w:name w:val="Closing"/>
    <w:basedOn w:val="a2"/>
    <w:link w:val="affe"/>
    <w:uiPriority w:val="99"/>
    <w:semiHidden/>
    <w:rsid w:val="0098410D"/>
    <w:pPr>
      <w:ind w:left="4252"/>
    </w:pPr>
    <w:rPr>
      <w:szCs w:val="20"/>
      <w:lang w:bidi="he-IL"/>
    </w:rPr>
  </w:style>
  <w:style w:type="character" w:customStyle="1" w:styleId="affe">
    <w:name w:val="Прощание Знак"/>
    <w:link w:val="affd"/>
    <w:uiPriority w:val="99"/>
    <w:semiHidden/>
    <w:rsid w:val="0098410D"/>
    <w:rPr>
      <w:rFonts w:eastAsia="Times New Roman"/>
      <w:sz w:val="24"/>
    </w:rPr>
  </w:style>
  <w:style w:type="table" w:customStyle="1" w:styleId="12">
    <w:name w:val="Цветная сетка1"/>
    <w:basedOn w:val="a4"/>
    <w:uiPriority w:val="99"/>
    <w:semiHidden/>
    <w:rsid w:val="0098410D"/>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4"/>
    <w:uiPriority w:val="99"/>
    <w:semiHidden/>
    <w:rsid w:val="0098410D"/>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2">
    <w:name w:val="Colorful Grid Accent 2"/>
    <w:basedOn w:val="a4"/>
    <w:uiPriority w:val="99"/>
    <w:semiHidden/>
    <w:rsid w:val="0098410D"/>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3">
    <w:name w:val="Colorful Grid Accent 3"/>
    <w:basedOn w:val="a4"/>
    <w:uiPriority w:val="99"/>
    <w:semiHidden/>
    <w:rsid w:val="0098410D"/>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4">
    <w:name w:val="Colorful Grid Accent 4"/>
    <w:basedOn w:val="a4"/>
    <w:uiPriority w:val="99"/>
    <w:semiHidden/>
    <w:rsid w:val="0098410D"/>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5">
    <w:name w:val="Colorful Grid Accent 5"/>
    <w:basedOn w:val="a4"/>
    <w:uiPriority w:val="99"/>
    <w:semiHidden/>
    <w:rsid w:val="0098410D"/>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6">
    <w:name w:val="Colorful Grid Accent 6"/>
    <w:basedOn w:val="a4"/>
    <w:uiPriority w:val="99"/>
    <w:semiHidden/>
    <w:rsid w:val="0098410D"/>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13">
    <w:name w:val="Цветной список1"/>
    <w:basedOn w:val="a4"/>
    <w:uiPriority w:val="99"/>
    <w:semiHidden/>
    <w:rsid w:val="0098410D"/>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4"/>
    <w:uiPriority w:val="99"/>
    <w:semiHidden/>
    <w:rsid w:val="0098410D"/>
    <w:rPr>
      <w:color w:val="00000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20">
    <w:name w:val="Colorful List Accent 2"/>
    <w:basedOn w:val="a4"/>
    <w:uiPriority w:val="99"/>
    <w:semiHidden/>
    <w:rsid w:val="0098410D"/>
    <w:rPr>
      <w:color w:val="00000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30">
    <w:name w:val="Colorful List Accent 3"/>
    <w:basedOn w:val="a4"/>
    <w:uiPriority w:val="99"/>
    <w:semiHidden/>
    <w:rsid w:val="0098410D"/>
    <w:rPr>
      <w:color w:val="00000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40">
    <w:name w:val="Colorful List Accent 4"/>
    <w:basedOn w:val="a4"/>
    <w:uiPriority w:val="99"/>
    <w:semiHidden/>
    <w:rsid w:val="0098410D"/>
    <w:rPr>
      <w:color w:val="00000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50">
    <w:name w:val="Colorful List Accent 5"/>
    <w:basedOn w:val="a4"/>
    <w:uiPriority w:val="99"/>
    <w:semiHidden/>
    <w:rsid w:val="0098410D"/>
    <w:rPr>
      <w:color w:val="00000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60">
    <w:name w:val="Colorful List Accent 6"/>
    <w:basedOn w:val="a4"/>
    <w:uiPriority w:val="99"/>
    <w:semiHidden/>
    <w:rsid w:val="0098410D"/>
    <w:rPr>
      <w:color w:val="00000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14">
    <w:name w:val="Цветная заливка1"/>
    <w:basedOn w:val="a4"/>
    <w:uiPriority w:val="99"/>
    <w:semiHidden/>
    <w:rsid w:val="0098410D"/>
    <w:rPr>
      <w:color w:val="00000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4"/>
    <w:uiPriority w:val="99"/>
    <w:semiHidden/>
    <w:rsid w:val="0098410D"/>
    <w:rPr>
      <w:color w:val="00000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21">
    <w:name w:val="Colorful Shading Accent 2"/>
    <w:basedOn w:val="a4"/>
    <w:uiPriority w:val="99"/>
    <w:semiHidden/>
    <w:rsid w:val="0098410D"/>
    <w:rPr>
      <w:color w:val="00000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31">
    <w:name w:val="Colorful Shading Accent 3"/>
    <w:basedOn w:val="a4"/>
    <w:uiPriority w:val="99"/>
    <w:semiHidden/>
    <w:rsid w:val="0098410D"/>
    <w:rPr>
      <w:color w:val="00000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41">
    <w:name w:val="Colorful Shading Accent 4"/>
    <w:basedOn w:val="a4"/>
    <w:uiPriority w:val="99"/>
    <w:semiHidden/>
    <w:rsid w:val="0098410D"/>
    <w:rPr>
      <w:color w:val="00000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51">
    <w:name w:val="Colorful Shading Accent 5"/>
    <w:basedOn w:val="a4"/>
    <w:uiPriority w:val="99"/>
    <w:semiHidden/>
    <w:rsid w:val="0098410D"/>
    <w:rPr>
      <w:color w:val="00000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61">
    <w:name w:val="Colorful Shading Accent 6"/>
    <w:basedOn w:val="a4"/>
    <w:uiPriority w:val="99"/>
    <w:semiHidden/>
    <w:rsid w:val="0098410D"/>
    <w:rPr>
      <w:color w:val="00000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afff">
    <w:name w:val="annotation reference"/>
    <w:uiPriority w:val="99"/>
    <w:semiHidden/>
    <w:rsid w:val="0098410D"/>
    <w:rPr>
      <w:sz w:val="16"/>
      <w:szCs w:val="16"/>
    </w:rPr>
  </w:style>
  <w:style w:type="paragraph" w:styleId="afff0">
    <w:name w:val="annotation text"/>
    <w:basedOn w:val="a2"/>
    <w:link w:val="afff1"/>
    <w:uiPriority w:val="99"/>
    <w:semiHidden/>
    <w:rsid w:val="0098410D"/>
    <w:rPr>
      <w:sz w:val="20"/>
      <w:szCs w:val="20"/>
      <w:lang w:bidi="he-IL"/>
    </w:rPr>
  </w:style>
  <w:style w:type="character" w:customStyle="1" w:styleId="afff1">
    <w:name w:val="Текст примечания Знак"/>
    <w:link w:val="afff0"/>
    <w:uiPriority w:val="99"/>
    <w:semiHidden/>
    <w:rsid w:val="0098410D"/>
    <w:rPr>
      <w:rFonts w:eastAsia="Times New Roman"/>
      <w:sz w:val="20"/>
      <w:szCs w:val="20"/>
    </w:rPr>
  </w:style>
  <w:style w:type="paragraph" w:styleId="afff2">
    <w:name w:val="annotation subject"/>
    <w:basedOn w:val="afff0"/>
    <w:next w:val="afff0"/>
    <w:link w:val="afff3"/>
    <w:uiPriority w:val="99"/>
    <w:semiHidden/>
    <w:rsid w:val="0098410D"/>
    <w:rPr>
      <w:b/>
      <w:bCs/>
    </w:rPr>
  </w:style>
  <w:style w:type="character" w:customStyle="1" w:styleId="afff3">
    <w:name w:val="Тема примечания Знак"/>
    <w:link w:val="afff2"/>
    <w:uiPriority w:val="99"/>
    <w:semiHidden/>
    <w:rsid w:val="0098410D"/>
    <w:rPr>
      <w:rFonts w:eastAsia="Times New Roman"/>
      <w:b/>
      <w:bCs/>
      <w:sz w:val="20"/>
      <w:szCs w:val="20"/>
    </w:rPr>
  </w:style>
  <w:style w:type="table" w:customStyle="1" w:styleId="15">
    <w:name w:val="Темный список1"/>
    <w:basedOn w:val="a4"/>
    <w:uiPriority w:val="99"/>
    <w:semiHidden/>
    <w:rsid w:val="0098410D"/>
    <w:rPr>
      <w:color w:val="0072BC"/>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99"/>
    <w:semiHidden/>
    <w:rsid w:val="0098410D"/>
    <w:rPr>
      <w:color w:val="0072BC"/>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22">
    <w:name w:val="Dark List Accent 2"/>
    <w:basedOn w:val="a4"/>
    <w:uiPriority w:val="99"/>
    <w:semiHidden/>
    <w:rsid w:val="0098410D"/>
    <w:rPr>
      <w:color w:val="0072BC"/>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32">
    <w:name w:val="Dark List Accent 3"/>
    <w:basedOn w:val="a4"/>
    <w:uiPriority w:val="99"/>
    <w:semiHidden/>
    <w:rsid w:val="0098410D"/>
    <w:rPr>
      <w:color w:val="0072BC"/>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42">
    <w:name w:val="Dark List Accent 4"/>
    <w:basedOn w:val="a4"/>
    <w:uiPriority w:val="99"/>
    <w:semiHidden/>
    <w:rsid w:val="0098410D"/>
    <w:rPr>
      <w:color w:val="0072BC"/>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52">
    <w:name w:val="Dark List Accent 5"/>
    <w:basedOn w:val="a4"/>
    <w:uiPriority w:val="99"/>
    <w:semiHidden/>
    <w:rsid w:val="0098410D"/>
    <w:rPr>
      <w:color w:val="0072BC"/>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62">
    <w:name w:val="Dark List Accent 6"/>
    <w:basedOn w:val="a4"/>
    <w:uiPriority w:val="99"/>
    <w:semiHidden/>
    <w:rsid w:val="0098410D"/>
    <w:rPr>
      <w:color w:val="0072BC"/>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afff4">
    <w:name w:val="Date"/>
    <w:basedOn w:val="a2"/>
    <w:next w:val="a2"/>
    <w:link w:val="afff5"/>
    <w:uiPriority w:val="99"/>
    <w:semiHidden/>
    <w:rsid w:val="0098410D"/>
    <w:rPr>
      <w:szCs w:val="20"/>
      <w:lang w:bidi="he-IL"/>
    </w:rPr>
  </w:style>
  <w:style w:type="character" w:customStyle="1" w:styleId="afff5">
    <w:name w:val="Дата Знак"/>
    <w:link w:val="afff4"/>
    <w:uiPriority w:val="99"/>
    <w:semiHidden/>
    <w:rsid w:val="0098410D"/>
    <w:rPr>
      <w:rFonts w:eastAsia="Times New Roman"/>
      <w:sz w:val="24"/>
    </w:rPr>
  </w:style>
  <w:style w:type="paragraph" w:styleId="afff6">
    <w:name w:val="Document Map"/>
    <w:basedOn w:val="a2"/>
    <w:link w:val="afff7"/>
    <w:uiPriority w:val="99"/>
    <w:semiHidden/>
    <w:rsid w:val="0098410D"/>
    <w:rPr>
      <w:rFonts w:ascii="Tahoma" w:hAnsi="Tahoma"/>
      <w:sz w:val="16"/>
      <w:szCs w:val="16"/>
      <w:lang w:bidi="he-IL"/>
    </w:rPr>
  </w:style>
  <w:style w:type="character" w:customStyle="1" w:styleId="afff7">
    <w:name w:val="Схема документа Знак"/>
    <w:link w:val="afff6"/>
    <w:uiPriority w:val="99"/>
    <w:semiHidden/>
    <w:rsid w:val="0098410D"/>
    <w:rPr>
      <w:rFonts w:ascii="Tahoma" w:eastAsia="Times New Roman" w:hAnsi="Tahoma" w:cs="Tahoma"/>
      <w:sz w:val="16"/>
      <w:szCs w:val="16"/>
    </w:rPr>
  </w:style>
  <w:style w:type="paragraph" w:styleId="afff8">
    <w:name w:val="E-mail Signature"/>
    <w:basedOn w:val="a2"/>
    <w:link w:val="afff9"/>
    <w:uiPriority w:val="99"/>
    <w:semiHidden/>
    <w:rsid w:val="0098410D"/>
    <w:rPr>
      <w:szCs w:val="20"/>
      <w:lang w:bidi="he-IL"/>
    </w:rPr>
  </w:style>
  <w:style w:type="character" w:customStyle="1" w:styleId="afff9">
    <w:name w:val="Электронная подпись Знак"/>
    <w:link w:val="afff8"/>
    <w:uiPriority w:val="99"/>
    <w:semiHidden/>
    <w:rsid w:val="0098410D"/>
    <w:rPr>
      <w:rFonts w:eastAsia="Times New Roman"/>
      <w:sz w:val="24"/>
    </w:rPr>
  </w:style>
  <w:style w:type="character" w:styleId="afffa">
    <w:name w:val="endnote reference"/>
    <w:uiPriority w:val="99"/>
    <w:semiHidden/>
    <w:rsid w:val="007C6EE5"/>
    <w:rPr>
      <w:vertAlign w:val="superscript"/>
    </w:rPr>
  </w:style>
  <w:style w:type="paragraph" w:styleId="afffb">
    <w:name w:val="endnote text"/>
    <w:basedOn w:val="a2"/>
    <w:link w:val="afffc"/>
    <w:uiPriority w:val="99"/>
    <w:semiHidden/>
    <w:rsid w:val="007C6EE5"/>
    <w:rPr>
      <w:sz w:val="20"/>
      <w:szCs w:val="20"/>
      <w:lang w:bidi="he-IL"/>
    </w:rPr>
  </w:style>
  <w:style w:type="character" w:customStyle="1" w:styleId="afffc">
    <w:name w:val="Текст концевой сноски Знак"/>
    <w:link w:val="afffb"/>
    <w:uiPriority w:val="99"/>
    <w:semiHidden/>
    <w:rsid w:val="007C6EE5"/>
    <w:rPr>
      <w:rFonts w:eastAsia="Times New Roman"/>
      <w:sz w:val="20"/>
      <w:szCs w:val="20"/>
      <w:lang w:val="en-GB"/>
    </w:rPr>
  </w:style>
  <w:style w:type="paragraph" w:styleId="afffd">
    <w:name w:val="envelope address"/>
    <w:basedOn w:val="a2"/>
    <w:uiPriority w:val="99"/>
    <w:semiHidden/>
    <w:rsid w:val="0098410D"/>
    <w:pPr>
      <w:framePr w:w="7938" w:h="1985" w:hRule="exact" w:hSpace="141" w:wrap="auto" w:hAnchor="page" w:xAlign="center" w:yAlign="bottom"/>
      <w:ind w:left="2835"/>
    </w:pPr>
    <w:rPr>
      <w:szCs w:val="24"/>
    </w:rPr>
  </w:style>
  <w:style w:type="paragraph" w:styleId="2c">
    <w:name w:val="envelope return"/>
    <w:basedOn w:val="a2"/>
    <w:uiPriority w:val="99"/>
    <w:semiHidden/>
    <w:rsid w:val="0098410D"/>
    <w:rPr>
      <w:sz w:val="20"/>
      <w:szCs w:val="20"/>
    </w:rPr>
  </w:style>
  <w:style w:type="character" w:styleId="afffe">
    <w:name w:val="FollowedHyperlink"/>
    <w:uiPriority w:val="99"/>
    <w:semiHidden/>
    <w:rsid w:val="0098410D"/>
    <w:rPr>
      <w:color w:val="7030A0"/>
      <w:u w:val="single"/>
    </w:rPr>
  </w:style>
  <w:style w:type="character" w:styleId="HTML">
    <w:name w:val="HTML Acronym"/>
    <w:basedOn w:val="a3"/>
    <w:uiPriority w:val="99"/>
    <w:semiHidden/>
    <w:rsid w:val="0098410D"/>
  </w:style>
  <w:style w:type="paragraph" w:styleId="HTML0">
    <w:name w:val="HTML Address"/>
    <w:basedOn w:val="a2"/>
    <w:link w:val="HTML1"/>
    <w:uiPriority w:val="99"/>
    <w:semiHidden/>
    <w:rsid w:val="0098410D"/>
    <w:rPr>
      <w:i/>
      <w:iCs/>
      <w:szCs w:val="20"/>
      <w:lang w:bidi="he-IL"/>
    </w:rPr>
  </w:style>
  <w:style w:type="character" w:customStyle="1" w:styleId="HTML1">
    <w:name w:val="Адрес HTML Знак"/>
    <w:link w:val="HTML0"/>
    <w:uiPriority w:val="99"/>
    <w:semiHidden/>
    <w:rsid w:val="0098410D"/>
    <w:rPr>
      <w:rFonts w:eastAsia="Times New Roman"/>
      <w:i/>
      <w:iCs/>
      <w:sz w:val="24"/>
    </w:rPr>
  </w:style>
  <w:style w:type="character" w:styleId="HTML2">
    <w:name w:val="HTML Cite"/>
    <w:uiPriority w:val="99"/>
    <w:semiHidden/>
    <w:rsid w:val="0098410D"/>
    <w:rPr>
      <w:i/>
      <w:iCs/>
    </w:rPr>
  </w:style>
  <w:style w:type="character" w:styleId="HTML3">
    <w:name w:val="HTML Code"/>
    <w:uiPriority w:val="99"/>
    <w:semiHidden/>
    <w:rsid w:val="0098410D"/>
    <w:rPr>
      <w:rFonts w:ascii="Consolas" w:hAnsi="Consolas" w:cs="Consolas"/>
      <w:sz w:val="20"/>
      <w:szCs w:val="20"/>
    </w:rPr>
  </w:style>
  <w:style w:type="character" w:styleId="HTML4">
    <w:name w:val="HTML Definition"/>
    <w:uiPriority w:val="99"/>
    <w:semiHidden/>
    <w:rsid w:val="0098410D"/>
    <w:rPr>
      <w:i/>
      <w:iCs/>
    </w:rPr>
  </w:style>
  <w:style w:type="character" w:styleId="HTML5">
    <w:name w:val="HTML Keyboard"/>
    <w:uiPriority w:val="99"/>
    <w:semiHidden/>
    <w:rsid w:val="0098410D"/>
    <w:rPr>
      <w:rFonts w:ascii="Consolas" w:hAnsi="Consolas" w:cs="Consolas"/>
      <w:sz w:val="20"/>
      <w:szCs w:val="20"/>
    </w:rPr>
  </w:style>
  <w:style w:type="paragraph" w:styleId="HTML6">
    <w:name w:val="HTML Preformatted"/>
    <w:basedOn w:val="a2"/>
    <w:link w:val="HTML7"/>
    <w:uiPriority w:val="99"/>
    <w:semiHidden/>
    <w:rsid w:val="0098410D"/>
    <w:rPr>
      <w:rFonts w:ascii="Consolas" w:hAnsi="Consolas"/>
      <w:sz w:val="20"/>
      <w:szCs w:val="20"/>
      <w:lang w:bidi="he-IL"/>
    </w:rPr>
  </w:style>
  <w:style w:type="character" w:customStyle="1" w:styleId="HTML7">
    <w:name w:val="Стандартный HTML Знак"/>
    <w:link w:val="HTML6"/>
    <w:uiPriority w:val="99"/>
    <w:semiHidden/>
    <w:rsid w:val="0098410D"/>
    <w:rPr>
      <w:rFonts w:ascii="Consolas" w:eastAsia="Times New Roman" w:hAnsi="Consolas" w:cs="Consolas"/>
      <w:sz w:val="20"/>
      <w:szCs w:val="20"/>
    </w:rPr>
  </w:style>
  <w:style w:type="character" w:styleId="HTML8">
    <w:name w:val="HTML Sample"/>
    <w:uiPriority w:val="99"/>
    <w:semiHidden/>
    <w:rsid w:val="0098410D"/>
    <w:rPr>
      <w:rFonts w:ascii="Consolas" w:hAnsi="Consolas" w:cs="Consolas"/>
      <w:sz w:val="24"/>
      <w:szCs w:val="24"/>
    </w:rPr>
  </w:style>
  <w:style w:type="character" w:styleId="HTML9">
    <w:name w:val="HTML Typewriter"/>
    <w:uiPriority w:val="99"/>
    <w:semiHidden/>
    <w:rsid w:val="0098410D"/>
    <w:rPr>
      <w:rFonts w:ascii="Consolas" w:hAnsi="Consolas" w:cs="Consolas"/>
      <w:sz w:val="20"/>
      <w:szCs w:val="20"/>
    </w:rPr>
  </w:style>
  <w:style w:type="character" w:styleId="HTMLa">
    <w:name w:val="HTML Variable"/>
    <w:uiPriority w:val="99"/>
    <w:semiHidden/>
    <w:rsid w:val="0098410D"/>
    <w:rPr>
      <w:i/>
      <w:iCs/>
    </w:rPr>
  </w:style>
  <w:style w:type="paragraph" w:styleId="16">
    <w:name w:val="index 1"/>
    <w:basedOn w:val="a2"/>
    <w:next w:val="a2"/>
    <w:autoRedefine/>
    <w:uiPriority w:val="99"/>
    <w:semiHidden/>
    <w:rsid w:val="0098410D"/>
    <w:pPr>
      <w:ind w:left="240" w:hanging="240"/>
    </w:pPr>
  </w:style>
  <w:style w:type="paragraph" w:styleId="2d">
    <w:name w:val="index 2"/>
    <w:basedOn w:val="a2"/>
    <w:next w:val="a2"/>
    <w:autoRedefine/>
    <w:uiPriority w:val="99"/>
    <w:semiHidden/>
    <w:rsid w:val="0098410D"/>
    <w:pPr>
      <w:ind w:left="480" w:hanging="240"/>
    </w:pPr>
  </w:style>
  <w:style w:type="paragraph" w:styleId="38">
    <w:name w:val="index 3"/>
    <w:basedOn w:val="a2"/>
    <w:next w:val="a2"/>
    <w:autoRedefine/>
    <w:uiPriority w:val="99"/>
    <w:semiHidden/>
    <w:rsid w:val="0098410D"/>
    <w:pPr>
      <w:ind w:left="720" w:hanging="240"/>
    </w:pPr>
  </w:style>
  <w:style w:type="paragraph" w:styleId="44">
    <w:name w:val="index 4"/>
    <w:basedOn w:val="a2"/>
    <w:next w:val="a2"/>
    <w:autoRedefine/>
    <w:uiPriority w:val="99"/>
    <w:semiHidden/>
    <w:rsid w:val="0098410D"/>
    <w:pPr>
      <w:ind w:left="960" w:hanging="240"/>
    </w:pPr>
  </w:style>
  <w:style w:type="paragraph" w:styleId="54">
    <w:name w:val="index 5"/>
    <w:basedOn w:val="a2"/>
    <w:next w:val="a2"/>
    <w:autoRedefine/>
    <w:uiPriority w:val="99"/>
    <w:semiHidden/>
    <w:rsid w:val="0098410D"/>
    <w:pPr>
      <w:ind w:left="1200" w:hanging="240"/>
    </w:pPr>
  </w:style>
  <w:style w:type="paragraph" w:styleId="61">
    <w:name w:val="index 6"/>
    <w:basedOn w:val="a2"/>
    <w:next w:val="a2"/>
    <w:autoRedefine/>
    <w:uiPriority w:val="99"/>
    <w:semiHidden/>
    <w:rsid w:val="0098410D"/>
    <w:pPr>
      <w:ind w:left="1440" w:hanging="240"/>
    </w:pPr>
  </w:style>
  <w:style w:type="paragraph" w:styleId="71">
    <w:name w:val="index 7"/>
    <w:basedOn w:val="a2"/>
    <w:next w:val="a2"/>
    <w:autoRedefine/>
    <w:uiPriority w:val="99"/>
    <w:semiHidden/>
    <w:rsid w:val="0098410D"/>
    <w:pPr>
      <w:ind w:left="1680" w:hanging="240"/>
    </w:pPr>
  </w:style>
  <w:style w:type="paragraph" w:styleId="81">
    <w:name w:val="index 8"/>
    <w:basedOn w:val="a2"/>
    <w:next w:val="a2"/>
    <w:autoRedefine/>
    <w:uiPriority w:val="99"/>
    <w:semiHidden/>
    <w:rsid w:val="0098410D"/>
    <w:pPr>
      <w:ind w:left="1920" w:hanging="240"/>
    </w:pPr>
  </w:style>
  <w:style w:type="paragraph" w:styleId="91">
    <w:name w:val="index 9"/>
    <w:basedOn w:val="a2"/>
    <w:next w:val="a2"/>
    <w:autoRedefine/>
    <w:uiPriority w:val="99"/>
    <w:semiHidden/>
    <w:rsid w:val="0098410D"/>
    <w:pPr>
      <w:ind w:left="2160" w:hanging="240"/>
    </w:pPr>
  </w:style>
  <w:style w:type="paragraph" w:styleId="affff">
    <w:name w:val="index heading"/>
    <w:basedOn w:val="a2"/>
    <w:next w:val="16"/>
    <w:uiPriority w:val="99"/>
    <w:semiHidden/>
    <w:rsid w:val="0098410D"/>
    <w:rPr>
      <w:b/>
      <w:bCs/>
    </w:rPr>
  </w:style>
  <w:style w:type="table" w:customStyle="1" w:styleId="17">
    <w:name w:val="Светлая сетка1"/>
    <w:basedOn w:val="a4"/>
    <w:uiPriority w:val="99"/>
    <w:semiHidden/>
    <w:rsid w:val="0098410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99"/>
    <w:semiHidden/>
    <w:rsid w:val="0098410D"/>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23">
    <w:name w:val="Light Grid Accent 2"/>
    <w:basedOn w:val="a4"/>
    <w:uiPriority w:val="99"/>
    <w:semiHidden/>
    <w:rsid w:val="0098410D"/>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33">
    <w:name w:val="Light Grid Accent 3"/>
    <w:basedOn w:val="a4"/>
    <w:uiPriority w:val="99"/>
    <w:semiHidden/>
    <w:rsid w:val="0098410D"/>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43">
    <w:name w:val="Light Grid Accent 4"/>
    <w:basedOn w:val="a4"/>
    <w:uiPriority w:val="99"/>
    <w:semiHidden/>
    <w:rsid w:val="0098410D"/>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53">
    <w:name w:val="Light Grid Accent 5"/>
    <w:basedOn w:val="a4"/>
    <w:uiPriority w:val="99"/>
    <w:semiHidden/>
    <w:rsid w:val="0098410D"/>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63">
    <w:name w:val="Light Grid Accent 6"/>
    <w:basedOn w:val="a4"/>
    <w:uiPriority w:val="99"/>
    <w:semiHidden/>
    <w:rsid w:val="0098410D"/>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18">
    <w:name w:val="Светлый список1"/>
    <w:basedOn w:val="a4"/>
    <w:uiPriority w:val="99"/>
    <w:semiHidden/>
    <w:rsid w:val="009841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99"/>
    <w:semiHidden/>
    <w:rsid w:val="0098410D"/>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24">
    <w:name w:val="Light List Accent 2"/>
    <w:basedOn w:val="a4"/>
    <w:uiPriority w:val="99"/>
    <w:semiHidden/>
    <w:rsid w:val="0098410D"/>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34">
    <w:name w:val="Light List Accent 3"/>
    <w:basedOn w:val="a4"/>
    <w:uiPriority w:val="99"/>
    <w:semiHidden/>
    <w:rsid w:val="0098410D"/>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44">
    <w:name w:val="Light List Accent 4"/>
    <w:basedOn w:val="a4"/>
    <w:uiPriority w:val="99"/>
    <w:semiHidden/>
    <w:rsid w:val="0098410D"/>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54">
    <w:name w:val="Light List Accent 5"/>
    <w:basedOn w:val="a4"/>
    <w:uiPriority w:val="99"/>
    <w:semiHidden/>
    <w:rsid w:val="0098410D"/>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64">
    <w:name w:val="Light List Accent 6"/>
    <w:basedOn w:val="a4"/>
    <w:uiPriority w:val="99"/>
    <w:semiHidden/>
    <w:rsid w:val="0098410D"/>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19">
    <w:name w:val="Светлая заливка1"/>
    <w:basedOn w:val="a4"/>
    <w:uiPriority w:val="99"/>
    <w:semiHidden/>
    <w:rsid w:val="00984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4"/>
    <w:uiPriority w:val="99"/>
    <w:semiHidden/>
    <w:rsid w:val="0098410D"/>
    <w:rPr>
      <w:color w:val="00548C"/>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25">
    <w:name w:val="Light Shading Accent 2"/>
    <w:basedOn w:val="a4"/>
    <w:uiPriority w:val="99"/>
    <w:semiHidden/>
    <w:rsid w:val="0098410D"/>
    <w:rPr>
      <w:color w:val="8F000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35">
    <w:name w:val="Light Shading Accent 3"/>
    <w:basedOn w:val="a4"/>
    <w:uiPriority w:val="99"/>
    <w:semiHidden/>
    <w:rsid w:val="0098410D"/>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45">
    <w:name w:val="Light Shading Accent 4"/>
    <w:basedOn w:val="a4"/>
    <w:uiPriority w:val="99"/>
    <w:semiHidden/>
    <w:rsid w:val="0098410D"/>
    <w:rPr>
      <w:color w:val="70707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55">
    <w:name w:val="Light Shading Accent 5"/>
    <w:basedOn w:val="a4"/>
    <w:uiPriority w:val="99"/>
    <w:semiHidden/>
    <w:rsid w:val="0098410D"/>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65">
    <w:name w:val="Light Shading Accent 6"/>
    <w:basedOn w:val="a4"/>
    <w:uiPriority w:val="99"/>
    <w:semiHidden/>
    <w:rsid w:val="0098410D"/>
    <w:rPr>
      <w:color w:val="393939"/>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affff0">
    <w:name w:val="line number"/>
    <w:basedOn w:val="a3"/>
    <w:uiPriority w:val="99"/>
    <w:semiHidden/>
    <w:rsid w:val="0098410D"/>
  </w:style>
  <w:style w:type="paragraph" w:styleId="affff1">
    <w:name w:val="List"/>
    <w:basedOn w:val="a2"/>
    <w:uiPriority w:val="99"/>
    <w:semiHidden/>
    <w:rsid w:val="0098410D"/>
    <w:pPr>
      <w:ind w:left="283" w:hanging="283"/>
      <w:contextualSpacing/>
    </w:pPr>
  </w:style>
  <w:style w:type="paragraph" w:styleId="2e">
    <w:name w:val="List 2"/>
    <w:basedOn w:val="a2"/>
    <w:uiPriority w:val="99"/>
    <w:semiHidden/>
    <w:rsid w:val="0098410D"/>
    <w:pPr>
      <w:ind w:left="566" w:hanging="283"/>
      <w:contextualSpacing/>
    </w:pPr>
  </w:style>
  <w:style w:type="paragraph" w:styleId="39">
    <w:name w:val="List 3"/>
    <w:basedOn w:val="a2"/>
    <w:uiPriority w:val="99"/>
    <w:semiHidden/>
    <w:rsid w:val="0098410D"/>
    <w:pPr>
      <w:ind w:left="849" w:hanging="283"/>
      <w:contextualSpacing/>
    </w:pPr>
  </w:style>
  <w:style w:type="paragraph" w:styleId="45">
    <w:name w:val="List 4"/>
    <w:basedOn w:val="a2"/>
    <w:uiPriority w:val="99"/>
    <w:semiHidden/>
    <w:rsid w:val="0098410D"/>
    <w:pPr>
      <w:ind w:left="1132" w:hanging="283"/>
      <w:contextualSpacing/>
    </w:pPr>
  </w:style>
  <w:style w:type="paragraph" w:styleId="55">
    <w:name w:val="List 5"/>
    <w:basedOn w:val="a2"/>
    <w:uiPriority w:val="99"/>
    <w:semiHidden/>
    <w:rsid w:val="0098410D"/>
    <w:pPr>
      <w:ind w:left="1415" w:hanging="283"/>
      <w:contextualSpacing/>
    </w:pPr>
  </w:style>
  <w:style w:type="paragraph" w:styleId="20">
    <w:name w:val="List Bullet 2"/>
    <w:basedOn w:val="a2"/>
    <w:uiPriority w:val="99"/>
    <w:semiHidden/>
    <w:rsid w:val="0098410D"/>
    <w:pPr>
      <w:numPr>
        <w:numId w:val="13"/>
      </w:numPr>
      <w:contextualSpacing/>
    </w:pPr>
  </w:style>
  <w:style w:type="paragraph" w:styleId="40">
    <w:name w:val="List Bullet 4"/>
    <w:basedOn w:val="a2"/>
    <w:uiPriority w:val="99"/>
    <w:semiHidden/>
    <w:rsid w:val="0098410D"/>
    <w:pPr>
      <w:numPr>
        <w:numId w:val="14"/>
      </w:numPr>
      <w:contextualSpacing/>
    </w:pPr>
  </w:style>
  <w:style w:type="paragraph" w:styleId="50">
    <w:name w:val="List Bullet 5"/>
    <w:basedOn w:val="a2"/>
    <w:uiPriority w:val="99"/>
    <w:semiHidden/>
    <w:rsid w:val="0098410D"/>
    <w:pPr>
      <w:numPr>
        <w:numId w:val="15"/>
      </w:numPr>
      <w:contextualSpacing/>
    </w:pPr>
  </w:style>
  <w:style w:type="paragraph" w:styleId="affff2">
    <w:name w:val="List Continue"/>
    <w:basedOn w:val="a2"/>
    <w:uiPriority w:val="99"/>
    <w:semiHidden/>
    <w:rsid w:val="0098410D"/>
    <w:pPr>
      <w:spacing w:after="120"/>
      <w:ind w:left="283"/>
      <w:contextualSpacing/>
    </w:pPr>
  </w:style>
  <w:style w:type="paragraph" w:styleId="2f">
    <w:name w:val="List Continue 2"/>
    <w:basedOn w:val="a2"/>
    <w:uiPriority w:val="99"/>
    <w:semiHidden/>
    <w:rsid w:val="0098410D"/>
    <w:pPr>
      <w:spacing w:after="120"/>
      <w:ind w:left="566"/>
      <w:contextualSpacing/>
    </w:pPr>
  </w:style>
  <w:style w:type="paragraph" w:styleId="3a">
    <w:name w:val="List Continue 3"/>
    <w:basedOn w:val="a2"/>
    <w:uiPriority w:val="99"/>
    <w:semiHidden/>
    <w:rsid w:val="0098410D"/>
    <w:pPr>
      <w:spacing w:after="120"/>
      <w:ind w:left="849"/>
      <w:contextualSpacing/>
    </w:pPr>
  </w:style>
  <w:style w:type="paragraph" w:styleId="46">
    <w:name w:val="List Continue 4"/>
    <w:basedOn w:val="a2"/>
    <w:uiPriority w:val="99"/>
    <w:semiHidden/>
    <w:rsid w:val="0098410D"/>
    <w:pPr>
      <w:spacing w:after="120"/>
      <w:ind w:left="1132"/>
      <w:contextualSpacing/>
    </w:pPr>
  </w:style>
  <w:style w:type="paragraph" w:styleId="56">
    <w:name w:val="List Continue 5"/>
    <w:basedOn w:val="a2"/>
    <w:uiPriority w:val="99"/>
    <w:semiHidden/>
    <w:rsid w:val="0098410D"/>
    <w:pPr>
      <w:spacing w:after="120"/>
      <w:ind w:left="1415"/>
      <w:contextualSpacing/>
    </w:pPr>
  </w:style>
  <w:style w:type="paragraph" w:styleId="a">
    <w:name w:val="List Number"/>
    <w:basedOn w:val="a2"/>
    <w:uiPriority w:val="99"/>
    <w:semiHidden/>
    <w:rsid w:val="0098410D"/>
    <w:pPr>
      <w:numPr>
        <w:numId w:val="16"/>
      </w:numPr>
      <w:contextualSpacing/>
    </w:pPr>
  </w:style>
  <w:style w:type="paragraph" w:styleId="2">
    <w:name w:val="List Number 2"/>
    <w:basedOn w:val="a2"/>
    <w:uiPriority w:val="99"/>
    <w:semiHidden/>
    <w:rsid w:val="0098410D"/>
    <w:pPr>
      <w:numPr>
        <w:numId w:val="17"/>
      </w:numPr>
      <w:contextualSpacing/>
    </w:pPr>
  </w:style>
  <w:style w:type="paragraph" w:styleId="3">
    <w:name w:val="List Number 3"/>
    <w:basedOn w:val="a2"/>
    <w:uiPriority w:val="99"/>
    <w:semiHidden/>
    <w:rsid w:val="0098410D"/>
    <w:pPr>
      <w:numPr>
        <w:numId w:val="18"/>
      </w:numPr>
      <w:contextualSpacing/>
    </w:pPr>
  </w:style>
  <w:style w:type="paragraph" w:styleId="4">
    <w:name w:val="List Number 4"/>
    <w:basedOn w:val="a2"/>
    <w:uiPriority w:val="99"/>
    <w:semiHidden/>
    <w:rsid w:val="0098410D"/>
    <w:pPr>
      <w:numPr>
        <w:numId w:val="19"/>
      </w:numPr>
      <w:contextualSpacing/>
    </w:pPr>
  </w:style>
  <w:style w:type="paragraph" w:styleId="5">
    <w:name w:val="List Number 5"/>
    <w:basedOn w:val="a2"/>
    <w:uiPriority w:val="99"/>
    <w:semiHidden/>
    <w:rsid w:val="0098410D"/>
    <w:pPr>
      <w:numPr>
        <w:numId w:val="20"/>
      </w:numPr>
      <w:contextualSpacing/>
    </w:pPr>
  </w:style>
  <w:style w:type="paragraph" w:styleId="affff3">
    <w:name w:val="macro"/>
    <w:link w:val="affff4"/>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US" w:eastAsia="en-US" w:bidi="ar-SA"/>
    </w:rPr>
  </w:style>
  <w:style w:type="character" w:customStyle="1" w:styleId="affff4">
    <w:name w:val="Текст макроса Знак"/>
    <w:link w:val="affff3"/>
    <w:uiPriority w:val="99"/>
    <w:semiHidden/>
    <w:rsid w:val="0098410D"/>
    <w:rPr>
      <w:rFonts w:ascii="Consolas" w:hAnsi="Consolas" w:cs="Consolas"/>
      <w:lang w:val="en-US" w:eastAsia="en-US" w:bidi="ar-SA"/>
    </w:rPr>
  </w:style>
  <w:style w:type="table" w:customStyle="1" w:styleId="110">
    <w:name w:val="Средняя сетка 11"/>
    <w:basedOn w:val="a4"/>
    <w:uiPriority w:val="99"/>
    <w:semiHidden/>
    <w:rsid w:val="0098410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99"/>
    <w:semiHidden/>
    <w:rsid w:val="0098410D"/>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1-2">
    <w:name w:val="Medium Grid 1 Accent 2"/>
    <w:basedOn w:val="a4"/>
    <w:uiPriority w:val="99"/>
    <w:semiHidden/>
    <w:rsid w:val="0098410D"/>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1-3">
    <w:name w:val="Medium Grid 1 Accent 3"/>
    <w:basedOn w:val="a4"/>
    <w:uiPriority w:val="99"/>
    <w:semiHidden/>
    <w:rsid w:val="0098410D"/>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1-4">
    <w:name w:val="Medium Grid 1 Accent 4"/>
    <w:basedOn w:val="a4"/>
    <w:uiPriority w:val="99"/>
    <w:semiHidden/>
    <w:rsid w:val="0098410D"/>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1-5">
    <w:name w:val="Medium Grid 1 Accent 5"/>
    <w:basedOn w:val="a4"/>
    <w:uiPriority w:val="99"/>
    <w:semiHidden/>
    <w:rsid w:val="0098410D"/>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1-6">
    <w:name w:val="Medium Grid 1 Accent 6"/>
    <w:basedOn w:val="a4"/>
    <w:uiPriority w:val="99"/>
    <w:semiHidden/>
    <w:rsid w:val="0098410D"/>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210">
    <w:name w:val="Средняя сетка 21"/>
    <w:basedOn w:val="a4"/>
    <w:uiPriority w:val="99"/>
    <w:semiHidden/>
    <w:rsid w:val="0098410D"/>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2-1">
    <w:name w:val="Medium Grid 2 Accent 1"/>
    <w:basedOn w:val="a4"/>
    <w:uiPriority w:val="99"/>
    <w:semiHidden/>
    <w:rsid w:val="0098410D"/>
    <w:rPr>
      <w:color w:val="00000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2-2">
    <w:name w:val="Medium Grid 2 Accent 2"/>
    <w:basedOn w:val="a4"/>
    <w:uiPriority w:val="99"/>
    <w:semiHidden/>
    <w:rsid w:val="0098410D"/>
    <w:rPr>
      <w:color w:val="00000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2-3">
    <w:name w:val="Medium Grid 2 Accent 3"/>
    <w:basedOn w:val="a4"/>
    <w:uiPriority w:val="99"/>
    <w:semiHidden/>
    <w:rsid w:val="0098410D"/>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2-4">
    <w:name w:val="Medium Grid 2 Accent 4"/>
    <w:basedOn w:val="a4"/>
    <w:uiPriority w:val="99"/>
    <w:semiHidden/>
    <w:rsid w:val="0098410D"/>
    <w:rPr>
      <w:color w:val="00000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2-5">
    <w:name w:val="Medium Grid 2 Accent 5"/>
    <w:basedOn w:val="a4"/>
    <w:uiPriority w:val="99"/>
    <w:semiHidden/>
    <w:rsid w:val="0098410D"/>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2-6">
    <w:name w:val="Medium Grid 2 Accent 6"/>
    <w:basedOn w:val="a4"/>
    <w:uiPriority w:val="99"/>
    <w:semiHidden/>
    <w:rsid w:val="0098410D"/>
    <w:rPr>
      <w:color w:val="00000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310">
    <w:name w:val="Средняя сетка 31"/>
    <w:basedOn w:val="a4"/>
    <w:uiPriority w:val="99"/>
    <w:semiHidden/>
    <w:rsid w:val="0098410D"/>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3-1">
    <w:name w:val="Medium Grid 3 Accent 1"/>
    <w:basedOn w:val="a4"/>
    <w:uiPriority w:val="99"/>
    <w:semiHidden/>
    <w:rsid w:val="0098410D"/>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3-2">
    <w:name w:val="Medium Grid 3 Accent 2"/>
    <w:basedOn w:val="a4"/>
    <w:uiPriority w:val="99"/>
    <w:semiHidden/>
    <w:rsid w:val="0098410D"/>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3-3">
    <w:name w:val="Medium Grid 3 Accent 3"/>
    <w:basedOn w:val="a4"/>
    <w:uiPriority w:val="99"/>
    <w:semiHidden/>
    <w:rsid w:val="0098410D"/>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3-4">
    <w:name w:val="Medium Grid 3 Accent 4"/>
    <w:basedOn w:val="a4"/>
    <w:uiPriority w:val="99"/>
    <w:semiHidden/>
    <w:rsid w:val="0098410D"/>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3-5">
    <w:name w:val="Medium Grid 3 Accent 5"/>
    <w:basedOn w:val="a4"/>
    <w:uiPriority w:val="99"/>
    <w:semiHidden/>
    <w:rsid w:val="0098410D"/>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3-6">
    <w:name w:val="Medium Grid 3 Accent 6"/>
    <w:basedOn w:val="a4"/>
    <w:uiPriority w:val="99"/>
    <w:semiHidden/>
    <w:rsid w:val="0098410D"/>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111">
    <w:name w:val="Средний список 11"/>
    <w:basedOn w:val="a4"/>
    <w:uiPriority w:val="99"/>
    <w:semiHidden/>
    <w:rsid w:val="00984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99"/>
    <w:semiHidden/>
    <w:rsid w:val="0098410D"/>
    <w:rPr>
      <w:color w:val="00000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1-20">
    <w:name w:val="Medium List 1 Accent 2"/>
    <w:basedOn w:val="a4"/>
    <w:uiPriority w:val="99"/>
    <w:semiHidden/>
    <w:rsid w:val="0098410D"/>
    <w:rPr>
      <w:color w:val="00000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1-30">
    <w:name w:val="Medium List 1 Accent 3"/>
    <w:basedOn w:val="a4"/>
    <w:uiPriority w:val="99"/>
    <w:semiHidden/>
    <w:rsid w:val="0098410D"/>
    <w:rPr>
      <w:color w:val="00000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1-40">
    <w:name w:val="Medium List 1 Accent 4"/>
    <w:basedOn w:val="a4"/>
    <w:uiPriority w:val="99"/>
    <w:semiHidden/>
    <w:rsid w:val="0098410D"/>
    <w:rPr>
      <w:color w:val="00000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1-50">
    <w:name w:val="Medium List 1 Accent 5"/>
    <w:basedOn w:val="a4"/>
    <w:uiPriority w:val="99"/>
    <w:semiHidden/>
    <w:rsid w:val="0098410D"/>
    <w:rPr>
      <w:color w:val="00000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1-60">
    <w:name w:val="Medium List 1 Accent 6"/>
    <w:basedOn w:val="a4"/>
    <w:uiPriority w:val="99"/>
    <w:semiHidden/>
    <w:rsid w:val="0098410D"/>
    <w:rPr>
      <w:color w:val="00000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211">
    <w:name w:val="Средний список 21"/>
    <w:basedOn w:val="a4"/>
    <w:uiPriority w:val="99"/>
    <w:semiHidden/>
    <w:rsid w:val="0098410D"/>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2-10">
    <w:name w:val="Medium List 2 Accent 1"/>
    <w:basedOn w:val="a4"/>
    <w:uiPriority w:val="99"/>
    <w:semiHidden/>
    <w:rsid w:val="0098410D"/>
    <w:rPr>
      <w:color w:val="00000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2-20">
    <w:name w:val="Medium List 2 Accent 2"/>
    <w:basedOn w:val="a4"/>
    <w:uiPriority w:val="99"/>
    <w:semiHidden/>
    <w:rsid w:val="0098410D"/>
    <w:rPr>
      <w:color w:val="00000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2-30">
    <w:name w:val="Medium List 2 Accent 3"/>
    <w:basedOn w:val="a4"/>
    <w:uiPriority w:val="99"/>
    <w:semiHidden/>
    <w:rsid w:val="0098410D"/>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2-40">
    <w:name w:val="Medium List 2 Accent 4"/>
    <w:basedOn w:val="a4"/>
    <w:uiPriority w:val="99"/>
    <w:semiHidden/>
    <w:rsid w:val="0098410D"/>
    <w:rPr>
      <w:color w:val="00000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2-50">
    <w:name w:val="Medium List 2 Accent 5"/>
    <w:basedOn w:val="a4"/>
    <w:uiPriority w:val="99"/>
    <w:semiHidden/>
    <w:rsid w:val="0098410D"/>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2-60">
    <w:name w:val="Medium List 2 Accent 6"/>
    <w:basedOn w:val="a4"/>
    <w:uiPriority w:val="99"/>
    <w:semiHidden/>
    <w:rsid w:val="0098410D"/>
    <w:rPr>
      <w:color w:val="00000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112">
    <w:name w:val="Средняя заливка 11"/>
    <w:basedOn w:val="a4"/>
    <w:uiPriority w:val="99"/>
    <w:semiHidden/>
    <w:rsid w:val="0098410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99"/>
    <w:semiHidden/>
    <w:rsid w:val="0098410D"/>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1-21">
    <w:name w:val="Medium Shading 1 Accent 2"/>
    <w:basedOn w:val="a4"/>
    <w:uiPriority w:val="99"/>
    <w:semiHidden/>
    <w:rsid w:val="0098410D"/>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1-31">
    <w:name w:val="Medium Shading 1 Accent 3"/>
    <w:basedOn w:val="a4"/>
    <w:uiPriority w:val="99"/>
    <w:semiHidden/>
    <w:rsid w:val="0098410D"/>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1-41">
    <w:name w:val="Medium Shading 1 Accent 4"/>
    <w:basedOn w:val="a4"/>
    <w:uiPriority w:val="99"/>
    <w:semiHidden/>
    <w:rsid w:val="0098410D"/>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1-51">
    <w:name w:val="Medium Shading 1 Accent 5"/>
    <w:basedOn w:val="a4"/>
    <w:uiPriority w:val="99"/>
    <w:semiHidden/>
    <w:rsid w:val="0098410D"/>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1-61">
    <w:name w:val="Medium Shading 1 Accent 6"/>
    <w:basedOn w:val="a4"/>
    <w:uiPriority w:val="99"/>
    <w:semiHidden/>
    <w:rsid w:val="0098410D"/>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212">
    <w:name w:val="Средняя заливка 21"/>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affff5">
    <w:name w:val="Message Header"/>
    <w:basedOn w:val="a2"/>
    <w:link w:val="affff6"/>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szCs w:val="24"/>
      <w:lang w:bidi="he-IL"/>
    </w:rPr>
  </w:style>
  <w:style w:type="character" w:customStyle="1" w:styleId="affff6">
    <w:name w:val="Шапка Знак"/>
    <w:link w:val="affff5"/>
    <w:uiPriority w:val="99"/>
    <w:semiHidden/>
    <w:rsid w:val="0098410D"/>
    <w:rPr>
      <w:rFonts w:ascii="Times New Roman" w:eastAsia="Times New Roman" w:hAnsi="Times New Roman" w:cs="Times New Roman"/>
      <w:sz w:val="24"/>
      <w:szCs w:val="24"/>
      <w:shd w:val="pct20" w:color="auto" w:fill="auto"/>
    </w:rPr>
  </w:style>
  <w:style w:type="paragraph" w:styleId="affff7">
    <w:name w:val="Normal (Web)"/>
    <w:basedOn w:val="a2"/>
    <w:uiPriority w:val="99"/>
    <w:semiHidden/>
    <w:rsid w:val="0098410D"/>
    <w:rPr>
      <w:szCs w:val="24"/>
    </w:rPr>
  </w:style>
  <w:style w:type="paragraph" w:styleId="affff8">
    <w:name w:val="Normal Indent"/>
    <w:basedOn w:val="a2"/>
    <w:uiPriority w:val="99"/>
    <w:semiHidden/>
    <w:rsid w:val="0098410D"/>
    <w:pPr>
      <w:ind w:left="720"/>
    </w:pPr>
  </w:style>
  <w:style w:type="paragraph" w:styleId="affff9">
    <w:name w:val="Note Heading"/>
    <w:basedOn w:val="a2"/>
    <w:next w:val="a2"/>
    <w:link w:val="affffa"/>
    <w:uiPriority w:val="99"/>
    <w:semiHidden/>
    <w:rsid w:val="0098410D"/>
    <w:rPr>
      <w:szCs w:val="20"/>
      <w:lang w:bidi="he-IL"/>
    </w:rPr>
  </w:style>
  <w:style w:type="character" w:customStyle="1" w:styleId="affffa">
    <w:name w:val="Заголовок записки Знак"/>
    <w:link w:val="affff9"/>
    <w:uiPriority w:val="99"/>
    <w:semiHidden/>
    <w:rsid w:val="0098410D"/>
    <w:rPr>
      <w:rFonts w:eastAsia="Times New Roman"/>
      <w:sz w:val="24"/>
    </w:rPr>
  </w:style>
  <w:style w:type="character" w:styleId="affffb">
    <w:name w:val="Placeholder Text"/>
    <w:uiPriority w:val="99"/>
    <w:semiHidden/>
    <w:rsid w:val="007C6EE5"/>
    <w:rPr>
      <w:color w:val="auto"/>
      <w:bdr w:val="none" w:sz="0" w:space="0" w:color="auto"/>
      <w:shd w:val="clear" w:color="auto" w:fill="DFDFDF"/>
    </w:rPr>
  </w:style>
  <w:style w:type="paragraph" w:styleId="affffc">
    <w:name w:val="Plain Text"/>
    <w:basedOn w:val="a2"/>
    <w:link w:val="affffd"/>
    <w:uiPriority w:val="99"/>
    <w:semiHidden/>
    <w:rsid w:val="0098410D"/>
    <w:rPr>
      <w:rFonts w:ascii="Consolas" w:hAnsi="Consolas"/>
      <w:sz w:val="21"/>
      <w:szCs w:val="21"/>
      <w:lang w:bidi="he-IL"/>
    </w:rPr>
  </w:style>
  <w:style w:type="character" w:customStyle="1" w:styleId="affffd">
    <w:name w:val="Текст Знак"/>
    <w:link w:val="affffc"/>
    <w:uiPriority w:val="99"/>
    <w:semiHidden/>
    <w:rsid w:val="0098410D"/>
    <w:rPr>
      <w:rFonts w:ascii="Consolas" w:eastAsia="Times New Roman" w:hAnsi="Consolas" w:cs="Consolas"/>
      <w:sz w:val="21"/>
      <w:szCs w:val="21"/>
    </w:rPr>
  </w:style>
  <w:style w:type="paragraph" w:styleId="affffe">
    <w:name w:val="Salutation"/>
    <w:basedOn w:val="a2"/>
    <w:next w:val="a2"/>
    <w:link w:val="afffff"/>
    <w:uiPriority w:val="99"/>
    <w:semiHidden/>
    <w:rsid w:val="0098410D"/>
    <w:rPr>
      <w:szCs w:val="20"/>
      <w:lang w:bidi="he-IL"/>
    </w:rPr>
  </w:style>
  <w:style w:type="character" w:customStyle="1" w:styleId="afffff">
    <w:name w:val="Приветствие Знак"/>
    <w:link w:val="affffe"/>
    <w:uiPriority w:val="99"/>
    <w:semiHidden/>
    <w:rsid w:val="0098410D"/>
    <w:rPr>
      <w:rFonts w:eastAsia="Times New Roman"/>
      <w:sz w:val="24"/>
    </w:rPr>
  </w:style>
  <w:style w:type="paragraph" w:styleId="afffff0">
    <w:name w:val="Signature"/>
    <w:basedOn w:val="a2"/>
    <w:link w:val="afffff1"/>
    <w:uiPriority w:val="99"/>
    <w:semiHidden/>
    <w:rsid w:val="0098410D"/>
    <w:pPr>
      <w:ind w:left="4252"/>
    </w:pPr>
    <w:rPr>
      <w:szCs w:val="20"/>
      <w:lang w:bidi="he-IL"/>
    </w:rPr>
  </w:style>
  <w:style w:type="character" w:customStyle="1" w:styleId="afffff1">
    <w:name w:val="Подпись Знак"/>
    <w:link w:val="afffff0"/>
    <w:uiPriority w:val="99"/>
    <w:semiHidden/>
    <w:rsid w:val="0098410D"/>
    <w:rPr>
      <w:rFonts w:eastAsia="Times New Roman"/>
      <w:sz w:val="24"/>
    </w:rPr>
  </w:style>
  <w:style w:type="table" w:styleId="1a">
    <w:name w:val="Table 3D effects 1"/>
    <w:basedOn w:val="a4"/>
    <w:uiPriority w:val="99"/>
    <w:semiHidden/>
    <w:unhideWhenUsed/>
    <w:rsid w:val="0098410D"/>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4"/>
    <w:uiPriority w:val="99"/>
    <w:semiHidden/>
    <w:unhideWhenUsed/>
    <w:rsid w:val="0098410D"/>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unhideWhenUsed/>
    <w:rsid w:val="0098410D"/>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Classic 1"/>
    <w:basedOn w:val="a4"/>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98410D"/>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98410D"/>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Colorful 1"/>
    <w:basedOn w:val="a4"/>
    <w:uiPriority w:val="99"/>
    <w:semiHidden/>
    <w:unhideWhenUsed/>
    <w:rsid w:val="0098410D"/>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98410D"/>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98410D"/>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d">
    <w:name w:val="Table Columns 1"/>
    <w:basedOn w:val="a4"/>
    <w:uiPriority w:val="99"/>
    <w:semiHidden/>
    <w:unhideWhenUsed/>
    <w:rsid w:val="0098410D"/>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98410D"/>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98410D"/>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8410D"/>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8410D"/>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Contemporary"/>
    <w:basedOn w:val="a4"/>
    <w:uiPriority w:val="99"/>
    <w:semiHidden/>
    <w:unhideWhenUsed/>
    <w:rsid w:val="0098410D"/>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4"/>
    <w:uiPriority w:val="99"/>
    <w:semiHidden/>
    <w:unhideWhenUsed/>
    <w:rsid w:val="0098410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Grid 1"/>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98410D"/>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98410D"/>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98410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8410D"/>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8410D"/>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4"/>
    <w:uiPriority w:val="99"/>
    <w:semiHidden/>
    <w:unhideWhenUsed/>
    <w:rsid w:val="0098410D"/>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98410D"/>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98410D"/>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98410D"/>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4">
    <w:name w:val="table of authorities"/>
    <w:basedOn w:val="a2"/>
    <w:next w:val="a2"/>
    <w:uiPriority w:val="99"/>
    <w:semiHidden/>
    <w:rsid w:val="0098410D"/>
    <w:pPr>
      <w:ind w:left="240" w:hanging="240"/>
    </w:pPr>
  </w:style>
  <w:style w:type="paragraph" w:styleId="afffff5">
    <w:name w:val="table of figures"/>
    <w:basedOn w:val="a2"/>
    <w:next w:val="a2"/>
    <w:uiPriority w:val="99"/>
    <w:semiHidden/>
    <w:rsid w:val="0098410D"/>
  </w:style>
  <w:style w:type="table" w:styleId="afffff6">
    <w:name w:val="Table Professional"/>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
    <w:name w:val="Table Simple 1"/>
    <w:basedOn w:val="a4"/>
    <w:uiPriority w:val="99"/>
    <w:semiHidden/>
    <w:unhideWhenUsed/>
    <w:rsid w:val="0098410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unhideWhenUsed/>
    <w:rsid w:val="0098410D"/>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98410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98410D"/>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Theme"/>
    <w:basedOn w:val="a4"/>
    <w:uiPriority w:val="99"/>
    <w:semiHidden/>
    <w:unhideWhenUsed/>
    <w:rsid w:val="0098410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Web 1"/>
    <w:basedOn w:val="a4"/>
    <w:uiPriority w:val="99"/>
    <w:semiHidden/>
    <w:unhideWhenUsed/>
    <w:rsid w:val="0098410D"/>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98410D"/>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98410D"/>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7C6EE5"/>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7C6EE5"/>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98410D"/>
    <w:pPr>
      <w:spacing w:after="100"/>
      <w:ind w:left="1680"/>
    </w:pPr>
  </w:style>
  <w:style w:type="paragraph" w:styleId="92">
    <w:name w:val="toc 9"/>
    <w:basedOn w:val="a2"/>
    <w:next w:val="a2"/>
    <w:autoRedefine/>
    <w:uiPriority w:val="99"/>
    <w:semiHidden/>
    <w:rsid w:val="0098410D"/>
    <w:pPr>
      <w:spacing w:after="100"/>
      <w:ind w:left="1920"/>
    </w:pPr>
  </w:style>
  <w:style w:type="paragraph" w:customStyle="1" w:styleId="DecHTitle">
    <w:name w:val="Dec_H_Title"/>
    <w:basedOn w:val="ECHRTitleCentre1"/>
    <w:uiPriority w:val="7"/>
    <w:semiHidden/>
    <w:qFormat/>
    <w:rsid w:val="007C6EE5"/>
  </w:style>
  <w:style w:type="paragraph" w:customStyle="1" w:styleId="DecList">
    <w:name w:val="Dec_List"/>
    <w:basedOn w:val="a2"/>
    <w:uiPriority w:val="9"/>
    <w:semiHidden/>
    <w:qFormat/>
    <w:rsid w:val="007C6EE5"/>
    <w:pPr>
      <w:spacing w:before="240"/>
      <w:ind w:left="284"/>
    </w:pPr>
  </w:style>
  <w:style w:type="paragraph" w:customStyle="1" w:styleId="ECHRFooter">
    <w:name w:val="ECHR_Footer"/>
    <w:aliases w:val="Footer_ECHR"/>
    <w:basedOn w:val="af2"/>
    <w:uiPriority w:val="57"/>
    <w:semiHidden/>
    <w:rsid w:val="007C6EE5"/>
    <w:pPr>
      <w:jc w:val="left"/>
    </w:pPr>
    <w:rPr>
      <w:sz w:val="8"/>
    </w:rPr>
  </w:style>
  <w:style w:type="paragraph" w:customStyle="1" w:styleId="ECHRFooterLine">
    <w:name w:val="ECHR_Footer_Line"/>
    <w:aliases w:val="Footer_Line"/>
    <w:basedOn w:val="a2"/>
    <w:next w:val="ECHRFooter"/>
    <w:uiPriority w:val="57"/>
    <w:semiHidden/>
    <w:rsid w:val="007C6EE5"/>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a2"/>
    <w:next w:val="ECHRPara"/>
    <w:uiPriority w:val="8"/>
    <w:qFormat/>
    <w:rsid w:val="007C6EE5"/>
    <w:pPr>
      <w:spacing w:after="240"/>
      <w:jc w:val="center"/>
      <w:outlineLvl w:val="0"/>
    </w:pPr>
  </w:style>
  <w:style w:type="paragraph" w:customStyle="1" w:styleId="JuAppQuestion">
    <w:name w:val="Ju_App_Question"/>
    <w:basedOn w:val="a2"/>
    <w:uiPriority w:val="5"/>
    <w:semiHidden/>
    <w:qFormat/>
    <w:rsid w:val="007C6EE5"/>
    <w:pPr>
      <w:numPr>
        <w:numId w:val="36"/>
      </w:numPr>
      <w:jc w:val="left"/>
    </w:pPr>
    <w:rPr>
      <w:b/>
    </w:rPr>
  </w:style>
  <w:style w:type="paragraph" w:customStyle="1" w:styleId="JuHeaderLandscape">
    <w:name w:val="Ju_Header_Landscape"/>
    <w:basedOn w:val="ECHRHeader"/>
    <w:uiPriority w:val="4"/>
    <w:qFormat/>
    <w:rsid w:val="007C6EE5"/>
    <w:pPr>
      <w:tabs>
        <w:tab w:val="clear" w:pos="3686"/>
        <w:tab w:val="clear" w:pos="7371"/>
        <w:tab w:val="center" w:pos="6146"/>
        <w:tab w:val="right" w:pos="12293"/>
      </w:tabs>
    </w:pPr>
  </w:style>
  <w:style w:type="paragraph" w:customStyle="1" w:styleId="JuTitle">
    <w:name w:val="Ju_Title"/>
    <w:basedOn w:val="a2"/>
    <w:next w:val="ECHRPara"/>
    <w:uiPriority w:val="3"/>
    <w:semiHidden/>
    <w:qFormat/>
    <w:rsid w:val="007C6EE5"/>
    <w:pPr>
      <w:spacing w:before="720" w:after="240"/>
      <w:jc w:val="center"/>
      <w:outlineLvl w:val="0"/>
    </w:pPr>
    <w:rPr>
      <w:b/>
      <w:caps/>
    </w:rPr>
  </w:style>
  <w:style w:type="character" w:customStyle="1" w:styleId="ECHRParaChar1">
    <w:name w:val="ECHR_Para Char1"/>
    <w:aliases w:val="Ju_Para Char1"/>
    <w:link w:val="ECHRPara"/>
    <w:uiPriority w:val="12"/>
    <w:rsid w:val="00D83351"/>
    <w:rPr>
      <w:rFonts w:eastAsia="Times New Roman"/>
      <w:sz w:val="24"/>
      <w:lang w:val="en-GB"/>
    </w:rPr>
  </w:style>
  <w:style w:type="character" w:customStyle="1" w:styleId="JuQuotChar">
    <w:name w:val="Ju_Quot Char"/>
    <w:link w:val="ECHRParaQuote"/>
    <w:uiPriority w:val="14"/>
    <w:rsid w:val="00D83351"/>
    <w:rPr>
      <w:rFonts w:eastAsia="Times New Roman"/>
      <w:sz w:val="20"/>
      <w:lang w:val="en-GB"/>
    </w:rPr>
  </w:style>
  <w:style w:type="paragraph" w:styleId="afffff8">
    <w:name w:val="Revision"/>
    <w:hidden/>
    <w:uiPriority w:val="99"/>
    <w:semiHidden/>
    <w:rsid w:val="00D83351"/>
    <w:rPr>
      <w:sz w:val="24"/>
      <w:szCs w:val="22"/>
      <w:lang w:val="en-US" w:eastAsia="en-US" w:bidi="ar-SA"/>
    </w:rPr>
  </w:style>
  <w:style w:type="character" w:customStyle="1" w:styleId="ECHRParaChar">
    <w:name w:val="ECHR_Para Char"/>
    <w:aliases w:val="Ju_Para Char"/>
    <w:uiPriority w:val="12"/>
    <w:rsid w:val="00D83351"/>
    <w:rPr>
      <w:rFonts w:eastAsia="Times New Roman"/>
      <w:sz w:val="24"/>
      <w:lang w:val="en-US" w:eastAsia="en-US"/>
    </w:rPr>
  </w:style>
  <w:style w:type="character" w:customStyle="1" w:styleId="hps">
    <w:name w:val="hps"/>
    <w:basedOn w:val="a3"/>
    <w:rsid w:val="003A399B"/>
  </w:style>
</w:styles>
</file>

<file path=word/webSettings.xml><?xml version="1.0" encoding="utf-8"?>
<w:webSettings xmlns:r="http://schemas.openxmlformats.org/officeDocument/2006/relationships" xmlns:w="http://schemas.openxmlformats.org/wordprocessingml/2006/main">
  <w:divs>
    <w:div w:id="12465843">
      <w:bodyDiv w:val="1"/>
      <w:marLeft w:val="0"/>
      <w:marRight w:val="0"/>
      <w:marTop w:val="0"/>
      <w:marBottom w:val="0"/>
      <w:divBdr>
        <w:top w:val="none" w:sz="0" w:space="0" w:color="auto"/>
        <w:left w:val="none" w:sz="0" w:space="0" w:color="auto"/>
        <w:bottom w:val="none" w:sz="0" w:space="0" w:color="auto"/>
        <w:right w:val="none" w:sz="0" w:space="0" w:color="auto"/>
      </w:divBdr>
    </w:div>
    <w:div w:id="95371175">
      <w:bodyDiv w:val="1"/>
      <w:marLeft w:val="0"/>
      <w:marRight w:val="0"/>
      <w:marTop w:val="0"/>
      <w:marBottom w:val="0"/>
      <w:divBdr>
        <w:top w:val="none" w:sz="0" w:space="0" w:color="auto"/>
        <w:left w:val="none" w:sz="0" w:space="0" w:color="auto"/>
        <w:bottom w:val="none" w:sz="0" w:space="0" w:color="auto"/>
        <w:right w:val="none" w:sz="0" w:space="0" w:color="auto"/>
      </w:divBdr>
    </w:div>
    <w:div w:id="121778787">
      <w:bodyDiv w:val="1"/>
      <w:marLeft w:val="0"/>
      <w:marRight w:val="0"/>
      <w:marTop w:val="0"/>
      <w:marBottom w:val="0"/>
      <w:divBdr>
        <w:top w:val="none" w:sz="0" w:space="0" w:color="auto"/>
        <w:left w:val="none" w:sz="0" w:space="0" w:color="auto"/>
        <w:bottom w:val="none" w:sz="0" w:space="0" w:color="auto"/>
        <w:right w:val="none" w:sz="0" w:space="0" w:color="auto"/>
      </w:divBdr>
    </w:div>
    <w:div w:id="128328108">
      <w:bodyDiv w:val="1"/>
      <w:marLeft w:val="0"/>
      <w:marRight w:val="0"/>
      <w:marTop w:val="0"/>
      <w:marBottom w:val="0"/>
      <w:divBdr>
        <w:top w:val="none" w:sz="0" w:space="0" w:color="auto"/>
        <w:left w:val="none" w:sz="0" w:space="0" w:color="auto"/>
        <w:bottom w:val="none" w:sz="0" w:space="0" w:color="auto"/>
        <w:right w:val="none" w:sz="0" w:space="0" w:color="auto"/>
      </w:divBdr>
    </w:div>
    <w:div w:id="134376369">
      <w:bodyDiv w:val="1"/>
      <w:marLeft w:val="0"/>
      <w:marRight w:val="0"/>
      <w:marTop w:val="0"/>
      <w:marBottom w:val="0"/>
      <w:divBdr>
        <w:top w:val="none" w:sz="0" w:space="0" w:color="auto"/>
        <w:left w:val="none" w:sz="0" w:space="0" w:color="auto"/>
        <w:bottom w:val="none" w:sz="0" w:space="0" w:color="auto"/>
        <w:right w:val="none" w:sz="0" w:space="0" w:color="auto"/>
      </w:divBdr>
    </w:div>
    <w:div w:id="152331021">
      <w:bodyDiv w:val="1"/>
      <w:marLeft w:val="0"/>
      <w:marRight w:val="0"/>
      <w:marTop w:val="0"/>
      <w:marBottom w:val="0"/>
      <w:divBdr>
        <w:top w:val="none" w:sz="0" w:space="0" w:color="auto"/>
        <w:left w:val="none" w:sz="0" w:space="0" w:color="auto"/>
        <w:bottom w:val="none" w:sz="0" w:space="0" w:color="auto"/>
        <w:right w:val="none" w:sz="0" w:space="0" w:color="auto"/>
      </w:divBdr>
    </w:div>
    <w:div w:id="396713221">
      <w:bodyDiv w:val="1"/>
      <w:marLeft w:val="0"/>
      <w:marRight w:val="0"/>
      <w:marTop w:val="0"/>
      <w:marBottom w:val="0"/>
      <w:divBdr>
        <w:top w:val="none" w:sz="0" w:space="0" w:color="auto"/>
        <w:left w:val="none" w:sz="0" w:space="0" w:color="auto"/>
        <w:bottom w:val="none" w:sz="0" w:space="0" w:color="auto"/>
        <w:right w:val="none" w:sz="0" w:space="0" w:color="auto"/>
      </w:divBdr>
    </w:div>
    <w:div w:id="406149652">
      <w:bodyDiv w:val="1"/>
      <w:marLeft w:val="0"/>
      <w:marRight w:val="0"/>
      <w:marTop w:val="0"/>
      <w:marBottom w:val="0"/>
      <w:divBdr>
        <w:top w:val="none" w:sz="0" w:space="0" w:color="auto"/>
        <w:left w:val="none" w:sz="0" w:space="0" w:color="auto"/>
        <w:bottom w:val="none" w:sz="0" w:space="0" w:color="auto"/>
        <w:right w:val="none" w:sz="0" w:space="0" w:color="auto"/>
      </w:divBdr>
    </w:div>
    <w:div w:id="447550632">
      <w:bodyDiv w:val="1"/>
      <w:marLeft w:val="0"/>
      <w:marRight w:val="0"/>
      <w:marTop w:val="0"/>
      <w:marBottom w:val="0"/>
      <w:divBdr>
        <w:top w:val="none" w:sz="0" w:space="0" w:color="auto"/>
        <w:left w:val="none" w:sz="0" w:space="0" w:color="auto"/>
        <w:bottom w:val="none" w:sz="0" w:space="0" w:color="auto"/>
        <w:right w:val="none" w:sz="0" w:space="0" w:color="auto"/>
      </w:divBdr>
    </w:div>
    <w:div w:id="569967463">
      <w:bodyDiv w:val="1"/>
      <w:marLeft w:val="0"/>
      <w:marRight w:val="0"/>
      <w:marTop w:val="0"/>
      <w:marBottom w:val="0"/>
      <w:divBdr>
        <w:top w:val="none" w:sz="0" w:space="0" w:color="auto"/>
        <w:left w:val="none" w:sz="0" w:space="0" w:color="auto"/>
        <w:bottom w:val="none" w:sz="0" w:space="0" w:color="auto"/>
        <w:right w:val="none" w:sz="0" w:space="0" w:color="auto"/>
      </w:divBdr>
    </w:div>
    <w:div w:id="638455244">
      <w:bodyDiv w:val="1"/>
      <w:marLeft w:val="0"/>
      <w:marRight w:val="0"/>
      <w:marTop w:val="0"/>
      <w:marBottom w:val="0"/>
      <w:divBdr>
        <w:top w:val="none" w:sz="0" w:space="0" w:color="auto"/>
        <w:left w:val="none" w:sz="0" w:space="0" w:color="auto"/>
        <w:bottom w:val="none" w:sz="0" w:space="0" w:color="auto"/>
        <w:right w:val="none" w:sz="0" w:space="0" w:color="auto"/>
      </w:divBdr>
    </w:div>
    <w:div w:id="656500796">
      <w:bodyDiv w:val="1"/>
      <w:marLeft w:val="0"/>
      <w:marRight w:val="0"/>
      <w:marTop w:val="0"/>
      <w:marBottom w:val="0"/>
      <w:divBdr>
        <w:top w:val="none" w:sz="0" w:space="0" w:color="auto"/>
        <w:left w:val="none" w:sz="0" w:space="0" w:color="auto"/>
        <w:bottom w:val="none" w:sz="0" w:space="0" w:color="auto"/>
        <w:right w:val="none" w:sz="0" w:space="0" w:color="auto"/>
      </w:divBdr>
    </w:div>
    <w:div w:id="737173548">
      <w:bodyDiv w:val="1"/>
      <w:marLeft w:val="0"/>
      <w:marRight w:val="0"/>
      <w:marTop w:val="0"/>
      <w:marBottom w:val="0"/>
      <w:divBdr>
        <w:top w:val="none" w:sz="0" w:space="0" w:color="auto"/>
        <w:left w:val="none" w:sz="0" w:space="0" w:color="auto"/>
        <w:bottom w:val="none" w:sz="0" w:space="0" w:color="auto"/>
        <w:right w:val="none" w:sz="0" w:space="0" w:color="auto"/>
      </w:divBdr>
    </w:div>
    <w:div w:id="750926231">
      <w:bodyDiv w:val="1"/>
      <w:marLeft w:val="0"/>
      <w:marRight w:val="0"/>
      <w:marTop w:val="0"/>
      <w:marBottom w:val="0"/>
      <w:divBdr>
        <w:top w:val="none" w:sz="0" w:space="0" w:color="auto"/>
        <w:left w:val="none" w:sz="0" w:space="0" w:color="auto"/>
        <w:bottom w:val="none" w:sz="0" w:space="0" w:color="auto"/>
        <w:right w:val="none" w:sz="0" w:space="0" w:color="auto"/>
      </w:divBdr>
    </w:div>
    <w:div w:id="777791653">
      <w:bodyDiv w:val="1"/>
      <w:marLeft w:val="0"/>
      <w:marRight w:val="0"/>
      <w:marTop w:val="0"/>
      <w:marBottom w:val="0"/>
      <w:divBdr>
        <w:top w:val="none" w:sz="0" w:space="0" w:color="auto"/>
        <w:left w:val="none" w:sz="0" w:space="0" w:color="auto"/>
        <w:bottom w:val="none" w:sz="0" w:space="0" w:color="auto"/>
        <w:right w:val="none" w:sz="0" w:space="0" w:color="auto"/>
      </w:divBdr>
    </w:div>
    <w:div w:id="852188257">
      <w:bodyDiv w:val="1"/>
      <w:marLeft w:val="0"/>
      <w:marRight w:val="0"/>
      <w:marTop w:val="0"/>
      <w:marBottom w:val="0"/>
      <w:divBdr>
        <w:top w:val="none" w:sz="0" w:space="0" w:color="auto"/>
        <w:left w:val="none" w:sz="0" w:space="0" w:color="auto"/>
        <w:bottom w:val="none" w:sz="0" w:space="0" w:color="auto"/>
        <w:right w:val="none" w:sz="0" w:space="0" w:color="auto"/>
      </w:divBdr>
    </w:div>
    <w:div w:id="890653273">
      <w:bodyDiv w:val="1"/>
      <w:marLeft w:val="0"/>
      <w:marRight w:val="0"/>
      <w:marTop w:val="0"/>
      <w:marBottom w:val="0"/>
      <w:divBdr>
        <w:top w:val="none" w:sz="0" w:space="0" w:color="auto"/>
        <w:left w:val="none" w:sz="0" w:space="0" w:color="auto"/>
        <w:bottom w:val="none" w:sz="0" w:space="0" w:color="auto"/>
        <w:right w:val="none" w:sz="0" w:space="0" w:color="auto"/>
      </w:divBdr>
    </w:div>
    <w:div w:id="918028538">
      <w:bodyDiv w:val="1"/>
      <w:marLeft w:val="0"/>
      <w:marRight w:val="0"/>
      <w:marTop w:val="0"/>
      <w:marBottom w:val="0"/>
      <w:divBdr>
        <w:top w:val="none" w:sz="0" w:space="0" w:color="auto"/>
        <w:left w:val="none" w:sz="0" w:space="0" w:color="auto"/>
        <w:bottom w:val="none" w:sz="0" w:space="0" w:color="auto"/>
        <w:right w:val="none" w:sz="0" w:space="0" w:color="auto"/>
      </w:divBdr>
    </w:div>
    <w:div w:id="920600347">
      <w:bodyDiv w:val="1"/>
      <w:marLeft w:val="0"/>
      <w:marRight w:val="0"/>
      <w:marTop w:val="0"/>
      <w:marBottom w:val="0"/>
      <w:divBdr>
        <w:top w:val="none" w:sz="0" w:space="0" w:color="auto"/>
        <w:left w:val="none" w:sz="0" w:space="0" w:color="auto"/>
        <w:bottom w:val="none" w:sz="0" w:space="0" w:color="auto"/>
        <w:right w:val="none" w:sz="0" w:space="0" w:color="auto"/>
      </w:divBdr>
    </w:div>
    <w:div w:id="953908122">
      <w:bodyDiv w:val="1"/>
      <w:marLeft w:val="0"/>
      <w:marRight w:val="0"/>
      <w:marTop w:val="0"/>
      <w:marBottom w:val="0"/>
      <w:divBdr>
        <w:top w:val="none" w:sz="0" w:space="0" w:color="auto"/>
        <w:left w:val="none" w:sz="0" w:space="0" w:color="auto"/>
        <w:bottom w:val="none" w:sz="0" w:space="0" w:color="auto"/>
        <w:right w:val="none" w:sz="0" w:space="0" w:color="auto"/>
      </w:divBdr>
    </w:div>
    <w:div w:id="976879661">
      <w:bodyDiv w:val="1"/>
      <w:marLeft w:val="0"/>
      <w:marRight w:val="0"/>
      <w:marTop w:val="0"/>
      <w:marBottom w:val="0"/>
      <w:divBdr>
        <w:top w:val="none" w:sz="0" w:space="0" w:color="auto"/>
        <w:left w:val="none" w:sz="0" w:space="0" w:color="auto"/>
        <w:bottom w:val="none" w:sz="0" w:space="0" w:color="auto"/>
        <w:right w:val="none" w:sz="0" w:space="0" w:color="auto"/>
      </w:divBdr>
    </w:div>
    <w:div w:id="991181100">
      <w:bodyDiv w:val="1"/>
      <w:marLeft w:val="0"/>
      <w:marRight w:val="0"/>
      <w:marTop w:val="0"/>
      <w:marBottom w:val="0"/>
      <w:divBdr>
        <w:top w:val="none" w:sz="0" w:space="0" w:color="auto"/>
        <w:left w:val="none" w:sz="0" w:space="0" w:color="auto"/>
        <w:bottom w:val="none" w:sz="0" w:space="0" w:color="auto"/>
        <w:right w:val="none" w:sz="0" w:space="0" w:color="auto"/>
      </w:divBdr>
    </w:div>
    <w:div w:id="1008604587">
      <w:bodyDiv w:val="1"/>
      <w:marLeft w:val="0"/>
      <w:marRight w:val="0"/>
      <w:marTop w:val="0"/>
      <w:marBottom w:val="0"/>
      <w:divBdr>
        <w:top w:val="none" w:sz="0" w:space="0" w:color="auto"/>
        <w:left w:val="none" w:sz="0" w:space="0" w:color="auto"/>
        <w:bottom w:val="none" w:sz="0" w:space="0" w:color="auto"/>
        <w:right w:val="none" w:sz="0" w:space="0" w:color="auto"/>
      </w:divBdr>
    </w:div>
    <w:div w:id="1048723155">
      <w:bodyDiv w:val="1"/>
      <w:marLeft w:val="0"/>
      <w:marRight w:val="0"/>
      <w:marTop w:val="0"/>
      <w:marBottom w:val="0"/>
      <w:divBdr>
        <w:top w:val="none" w:sz="0" w:space="0" w:color="auto"/>
        <w:left w:val="none" w:sz="0" w:space="0" w:color="auto"/>
        <w:bottom w:val="none" w:sz="0" w:space="0" w:color="auto"/>
        <w:right w:val="none" w:sz="0" w:space="0" w:color="auto"/>
      </w:divBdr>
    </w:div>
    <w:div w:id="1205215282">
      <w:bodyDiv w:val="1"/>
      <w:marLeft w:val="0"/>
      <w:marRight w:val="0"/>
      <w:marTop w:val="0"/>
      <w:marBottom w:val="0"/>
      <w:divBdr>
        <w:top w:val="none" w:sz="0" w:space="0" w:color="auto"/>
        <w:left w:val="none" w:sz="0" w:space="0" w:color="auto"/>
        <w:bottom w:val="none" w:sz="0" w:space="0" w:color="auto"/>
        <w:right w:val="none" w:sz="0" w:space="0" w:color="auto"/>
      </w:divBdr>
    </w:div>
    <w:div w:id="1224678959">
      <w:bodyDiv w:val="1"/>
      <w:marLeft w:val="0"/>
      <w:marRight w:val="0"/>
      <w:marTop w:val="0"/>
      <w:marBottom w:val="0"/>
      <w:divBdr>
        <w:top w:val="none" w:sz="0" w:space="0" w:color="auto"/>
        <w:left w:val="none" w:sz="0" w:space="0" w:color="auto"/>
        <w:bottom w:val="none" w:sz="0" w:space="0" w:color="auto"/>
        <w:right w:val="none" w:sz="0" w:space="0" w:color="auto"/>
      </w:divBdr>
    </w:div>
    <w:div w:id="1258444259">
      <w:bodyDiv w:val="1"/>
      <w:marLeft w:val="0"/>
      <w:marRight w:val="0"/>
      <w:marTop w:val="0"/>
      <w:marBottom w:val="0"/>
      <w:divBdr>
        <w:top w:val="none" w:sz="0" w:space="0" w:color="auto"/>
        <w:left w:val="none" w:sz="0" w:space="0" w:color="auto"/>
        <w:bottom w:val="none" w:sz="0" w:space="0" w:color="auto"/>
        <w:right w:val="none" w:sz="0" w:space="0" w:color="auto"/>
      </w:divBdr>
    </w:div>
    <w:div w:id="1465855799">
      <w:bodyDiv w:val="1"/>
      <w:marLeft w:val="0"/>
      <w:marRight w:val="0"/>
      <w:marTop w:val="0"/>
      <w:marBottom w:val="0"/>
      <w:divBdr>
        <w:top w:val="none" w:sz="0" w:space="0" w:color="auto"/>
        <w:left w:val="none" w:sz="0" w:space="0" w:color="auto"/>
        <w:bottom w:val="none" w:sz="0" w:space="0" w:color="auto"/>
        <w:right w:val="none" w:sz="0" w:space="0" w:color="auto"/>
      </w:divBdr>
    </w:div>
    <w:div w:id="1530138974">
      <w:bodyDiv w:val="1"/>
      <w:marLeft w:val="0"/>
      <w:marRight w:val="0"/>
      <w:marTop w:val="0"/>
      <w:marBottom w:val="0"/>
      <w:divBdr>
        <w:top w:val="none" w:sz="0" w:space="0" w:color="auto"/>
        <w:left w:val="none" w:sz="0" w:space="0" w:color="auto"/>
        <w:bottom w:val="none" w:sz="0" w:space="0" w:color="auto"/>
        <w:right w:val="none" w:sz="0" w:space="0" w:color="auto"/>
      </w:divBdr>
    </w:div>
    <w:div w:id="1605073346">
      <w:bodyDiv w:val="1"/>
      <w:marLeft w:val="0"/>
      <w:marRight w:val="0"/>
      <w:marTop w:val="0"/>
      <w:marBottom w:val="0"/>
      <w:divBdr>
        <w:top w:val="none" w:sz="0" w:space="0" w:color="auto"/>
        <w:left w:val="none" w:sz="0" w:space="0" w:color="auto"/>
        <w:bottom w:val="none" w:sz="0" w:space="0" w:color="auto"/>
        <w:right w:val="none" w:sz="0" w:space="0" w:color="auto"/>
      </w:divBdr>
    </w:div>
    <w:div w:id="1630933660">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64964506">
      <w:bodyDiv w:val="1"/>
      <w:marLeft w:val="0"/>
      <w:marRight w:val="0"/>
      <w:marTop w:val="0"/>
      <w:marBottom w:val="0"/>
      <w:divBdr>
        <w:top w:val="none" w:sz="0" w:space="0" w:color="auto"/>
        <w:left w:val="none" w:sz="0" w:space="0" w:color="auto"/>
        <w:bottom w:val="none" w:sz="0" w:space="0" w:color="auto"/>
        <w:right w:val="none" w:sz="0" w:space="0" w:color="auto"/>
      </w:divBdr>
    </w:div>
    <w:div w:id="1669940295">
      <w:bodyDiv w:val="1"/>
      <w:marLeft w:val="0"/>
      <w:marRight w:val="0"/>
      <w:marTop w:val="0"/>
      <w:marBottom w:val="0"/>
      <w:divBdr>
        <w:top w:val="none" w:sz="0" w:space="0" w:color="auto"/>
        <w:left w:val="none" w:sz="0" w:space="0" w:color="auto"/>
        <w:bottom w:val="none" w:sz="0" w:space="0" w:color="auto"/>
        <w:right w:val="none" w:sz="0" w:space="0" w:color="auto"/>
      </w:divBdr>
    </w:div>
    <w:div w:id="1700887526">
      <w:bodyDiv w:val="1"/>
      <w:marLeft w:val="0"/>
      <w:marRight w:val="0"/>
      <w:marTop w:val="0"/>
      <w:marBottom w:val="0"/>
      <w:divBdr>
        <w:top w:val="none" w:sz="0" w:space="0" w:color="auto"/>
        <w:left w:val="none" w:sz="0" w:space="0" w:color="auto"/>
        <w:bottom w:val="none" w:sz="0" w:space="0" w:color="auto"/>
        <w:right w:val="none" w:sz="0" w:space="0" w:color="auto"/>
      </w:divBdr>
    </w:div>
    <w:div w:id="1709182788">
      <w:bodyDiv w:val="1"/>
      <w:marLeft w:val="0"/>
      <w:marRight w:val="0"/>
      <w:marTop w:val="0"/>
      <w:marBottom w:val="0"/>
      <w:divBdr>
        <w:top w:val="none" w:sz="0" w:space="0" w:color="auto"/>
        <w:left w:val="none" w:sz="0" w:space="0" w:color="auto"/>
        <w:bottom w:val="none" w:sz="0" w:space="0" w:color="auto"/>
        <w:right w:val="none" w:sz="0" w:space="0" w:color="auto"/>
      </w:divBdr>
    </w:div>
    <w:div w:id="1713840404">
      <w:bodyDiv w:val="1"/>
      <w:marLeft w:val="0"/>
      <w:marRight w:val="0"/>
      <w:marTop w:val="0"/>
      <w:marBottom w:val="0"/>
      <w:divBdr>
        <w:top w:val="none" w:sz="0" w:space="0" w:color="auto"/>
        <w:left w:val="none" w:sz="0" w:space="0" w:color="auto"/>
        <w:bottom w:val="none" w:sz="0" w:space="0" w:color="auto"/>
        <w:right w:val="none" w:sz="0" w:space="0" w:color="auto"/>
      </w:divBdr>
    </w:div>
    <w:div w:id="1736977079">
      <w:bodyDiv w:val="1"/>
      <w:marLeft w:val="0"/>
      <w:marRight w:val="0"/>
      <w:marTop w:val="0"/>
      <w:marBottom w:val="0"/>
      <w:divBdr>
        <w:top w:val="none" w:sz="0" w:space="0" w:color="auto"/>
        <w:left w:val="none" w:sz="0" w:space="0" w:color="auto"/>
        <w:bottom w:val="none" w:sz="0" w:space="0" w:color="auto"/>
        <w:right w:val="none" w:sz="0" w:space="0" w:color="auto"/>
      </w:divBdr>
    </w:div>
    <w:div w:id="1799101937">
      <w:bodyDiv w:val="1"/>
      <w:marLeft w:val="0"/>
      <w:marRight w:val="0"/>
      <w:marTop w:val="0"/>
      <w:marBottom w:val="0"/>
      <w:divBdr>
        <w:top w:val="none" w:sz="0" w:space="0" w:color="auto"/>
        <w:left w:val="none" w:sz="0" w:space="0" w:color="auto"/>
        <w:bottom w:val="none" w:sz="0" w:space="0" w:color="auto"/>
        <w:right w:val="none" w:sz="0" w:space="0" w:color="auto"/>
      </w:divBdr>
    </w:div>
    <w:div w:id="1921334072">
      <w:bodyDiv w:val="1"/>
      <w:marLeft w:val="0"/>
      <w:marRight w:val="0"/>
      <w:marTop w:val="0"/>
      <w:marBottom w:val="0"/>
      <w:divBdr>
        <w:top w:val="none" w:sz="0" w:space="0" w:color="auto"/>
        <w:left w:val="none" w:sz="0" w:space="0" w:color="auto"/>
        <w:bottom w:val="none" w:sz="0" w:space="0" w:color="auto"/>
        <w:right w:val="none" w:sz="0" w:space="0" w:color="auto"/>
      </w:divBdr>
    </w:div>
    <w:div w:id="1961690491">
      <w:bodyDiv w:val="1"/>
      <w:marLeft w:val="0"/>
      <w:marRight w:val="0"/>
      <w:marTop w:val="0"/>
      <w:marBottom w:val="0"/>
      <w:divBdr>
        <w:top w:val="none" w:sz="0" w:space="0" w:color="auto"/>
        <w:left w:val="none" w:sz="0" w:space="0" w:color="auto"/>
        <w:bottom w:val="none" w:sz="0" w:space="0" w:color="auto"/>
        <w:right w:val="none" w:sz="0" w:space="0" w:color="auto"/>
      </w:divBdr>
    </w:div>
    <w:div w:id="1985887561">
      <w:bodyDiv w:val="1"/>
      <w:marLeft w:val="0"/>
      <w:marRight w:val="0"/>
      <w:marTop w:val="0"/>
      <w:marBottom w:val="0"/>
      <w:divBdr>
        <w:top w:val="none" w:sz="0" w:space="0" w:color="auto"/>
        <w:left w:val="none" w:sz="0" w:space="0" w:color="auto"/>
        <w:bottom w:val="none" w:sz="0" w:space="0" w:color="auto"/>
        <w:right w:val="none" w:sz="0" w:space="0" w:color="auto"/>
      </w:divBdr>
    </w:div>
    <w:div w:id="20264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aoYl6D2x0-w" TargetMode="External"/><Relationship Id="rId1" Type="http://schemas.openxmlformats.org/officeDocument/2006/relationships/hyperlink" Target="https://www.youtube.com/watch?v=chOJV43g4Vw&amp;t=104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360DC-BCAD-4041-A64B-EF660810B542}">
  <ds:schemaRefs>
    <ds:schemaRef ds:uri="http://schemas.microsoft.com/sharepoint/v3/contenttype/forms"/>
  </ds:schemaRefs>
</ds:datastoreItem>
</file>

<file path=customXml/itemProps2.xml><?xml version="1.0" encoding="utf-8"?>
<ds:datastoreItem xmlns:ds="http://schemas.openxmlformats.org/officeDocument/2006/customXml" ds:itemID="{0D287646-5743-441D-9005-B4FFB3B0C9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ECE623-C830-445D-A2BF-FAF4E8B02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98C6B4-E28B-472F-8315-DEFA7697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33578</Words>
  <Characters>191396</Characters>
  <Application>Microsoft Office Word</Application>
  <DocSecurity>0</DocSecurity>
  <Lines>1594</Lines>
  <Paragraphs>449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ECHR</vt:lpstr>
      <vt:lpstr>ECHR</vt:lpstr>
      <vt:lpstr>ECHR</vt:lpstr>
    </vt:vector>
  </TitlesOfParts>
  <LinksUpToDate>false</LinksUpToDate>
  <CharactersWithSpaces>224525</CharactersWithSpaces>
  <SharedDoc>false</SharedDoc>
  <HLinks>
    <vt:vector size="12" baseType="variant">
      <vt:variant>
        <vt:i4>7143523</vt:i4>
      </vt:variant>
      <vt:variant>
        <vt:i4>3</vt:i4>
      </vt:variant>
      <vt:variant>
        <vt:i4>0</vt:i4>
      </vt:variant>
      <vt:variant>
        <vt:i4>5</vt:i4>
      </vt:variant>
      <vt:variant>
        <vt:lpwstr>https://www.youtube.com/watch?v=aoYl6D2x0-w</vt:lpwstr>
      </vt:variant>
      <vt:variant>
        <vt:lpwstr/>
      </vt:variant>
      <vt:variant>
        <vt:i4>2097204</vt:i4>
      </vt:variant>
      <vt:variant>
        <vt:i4>0</vt:i4>
      </vt:variant>
      <vt:variant>
        <vt:i4>0</vt:i4>
      </vt:variant>
      <vt:variant>
        <vt:i4>5</vt:i4>
      </vt:variant>
      <vt:variant>
        <vt:lpwstr>https://www.youtube.com/watch?v=chOJV43g4Vw&amp;t=104s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dc:description/>
  <cp:lastModifiedBy/>
  <cp:revision>1</cp:revision>
  <dcterms:created xsi:type="dcterms:W3CDTF">2019-06-26T21:44:00Z</dcterms:created>
  <dcterms:modified xsi:type="dcterms:W3CDTF">2019-07-03T06:13:00Z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74768/10</vt:lpwstr>
  </property>
  <property fmtid="{D5CDD505-2E9C-101B-9397-08002B2CF9AE}" pid="4" name="CASEID">
    <vt:lpwstr>688799</vt:lpwstr>
  </property>
  <property fmtid="{D5CDD505-2E9C-101B-9397-08002B2CF9AE}" pid="5" name="ContentTypeId">
    <vt:lpwstr>0x010100558EB02BDB9E204AB350EDD385B68E10</vt:lpwstr>
  </property>
</Properties>
</file>